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Georgia" w:hAnsi="Georgia" w:cs="Georgia" w:eastAsia="Georgia"/>
          <w:b/>
          <w:i w:val="0"/>
          <w:color w:val="6E8FCC"/>
          <w:sz w:val="28"/>
        </w:rPr>
        <w:t>VERITY</w:t>
      </w:r>
    </w:p>
    <w:p>
      <w:pPr>
        <w:spacing w:before="80" w:after="80"/>
        <w:jc w:val="center"/>
      </w:pPr>
      <w:r>
        <w:rPr>
          <w:rFonts w:ascii="Georgia" w:hAnsi="Georgia" w:cs="Georgia" w:eastAsia="Georgia"/>
          <w:b w:val="0"/>
          <w:i w:val="0"/>
          <w:color w:val="6B6B6B"/>
          <w:sz w:val="22"/>
        </w:rPr>
        <w:t>Compliance Report</w:t>
      </w:r>
    </w:p>
    <w:p>
      <w:pPr>
        <w:spacing w:before="560" w:after="160"/>
        <w:jc w:val="center"/>
      </w:pPr>
      <w:r>
        <w:rPr>
          <w:rFonts w:ascii="Georgia" w:hAnsi="Georgia" w:cs="Georgia" w:eastAsia="Georgia"/>
          <w:b/>
          <w:i w:val="0"/>
          <w:color w:val="1A365D"/>
          <w:sz w:val="72"/>
        </w:rPr>
        <w:t>{{ report_title }}</w:t>
      </w:r>
    </w:p>
    <w:p>
      <w:pPr>
        <w:spacing w:before="400"/>
        <w:jc w:val="center"/>
      </w:pPr>
      <w:r>
        <w:rPr>
          <w:rFonts w:ascii="Poppins" w:hAnsi="Poppins" w:cs="Poppins" w:eastAsia="Poppins"/>
          <w:b w:val="0"/>
          <w:i w:val="0"/>
          <w:color w:val="333333"/>
          <w:sz w:val="24"/>
        </w:rPr>
        <w:t>Generated {{ generated_at_str }}</w:t>
      </w:r>
    </w:p>
    <w:p>
      <w:pPr>
        <w:spacing w:before="40"/>
        <w:jc w:val="center"/>
      </w:pPr>
      <w:r>
        <w:rPr>
          <w:rFonts w:ascii="Poppins" w:hAnsi="Poppins" w:cs="Poppins" w:eastAsia="Poppins"/>
          <w:b w:val="0"/>
          <w:i/>
          <w:color w:val="6B6B6B"/>
          <w:sz w:val="22"/>
        </w:rPr>
        <w:t>Scope: {{ scope_summary }}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Purpose and Audience</w:t>
      </w:r>
    </w:p>
    <w:p>
      <w:pPr>
        <w:spacing w:before="200" w:after="80"/>
        <w:jc w:val="left"/>
      </w:pPr>
      <w:r>
        <w:rPr>
          <w:rFonts w:ascii="Georgia" w:hAnsi="Georgia" w:cs="Georgia" w:eastAsia="Georgia"/>
          <w:b/>
          <w:i w:val="0"/>
          <w:color w:val="1A365D"/>
          <w:sz w:val="26"/>
        </w:rPr>
        <w:t>Purpose</w:t>
      </w:r>
    </w:p>
    <w:p>
      <w:pPr>
        <w:spacing w:before="0" w:after="20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report_description }}</w:t>
      </w:r>
    </w:p>
    <w:p>
      <w:pPr>
        <w:spacing w:before="0" w:after="28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This report enumerates {{ total_count }} AI asset version(s) registered to Verity at the time of generation: {{ agent_count }} agent(s), {{ task_count }} task(s), and {{ prompt_count }} prompt(s). The breakdown by materiality is {{ high_count }} high, {{ medium_count }} medium, and {{ low_count }} low.</w:t>
      </w:r>
    </w:p>
    <w:p>
      <w:pPr>
        <w:spacing w:before="200" w:after="80"/>
        <w:jc w:val="left"/>
      </w:pPr>
      <w:r>
        <w:rPr>
          <w:rFonts w:ascii="Georgia" w:hAnsi="Georgia" w:cs="Georgia" w:eastAsia="Georgia"/>
          <w:b/>
          <w:i w:val="0"/>
          <w:color w:val="1A365D"/>
          <w:sz w:val="26"/>
        </w:rPr>
        <w:t>Intended audience</w:t>
      </w:r>
    </w:p>
    <w:p>
      <w:pPr>
        <w:spacing w:before="0" w:after="20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Model Risk Management committees, compliance officers, internal audit teams, and external regulatory examiners. The report is organized to be read top-to-bottom: cover → this purpose page → executive summary → AI asset inventory (grouped by asset type, with one card per registered asset) → recent lifecycle changes → regulatory coverage table mapping the report sections back to the canonical regulatory requirements they evidence.</w:t>
      </w:r>
    </w:p>
    <w:p>
      <w:pPr>
        <w:spacing w:before="200" w:after="80"/>
        <w:jc w:val="left"/>
      </w:pPr>
      <w:r>
        <w:rPr>
          <w:rFonts w:ascii="Georgia" w:hAnsi="Georgia" w:cs="Georgia" w:eastAsia="Georgia"/>
          <w:b/>
          <w:i w:val="0"/>
          <w:color w:val="1A365D"/>
          <w:sz w:val="26"/>
        </w:rPr>
        <w:t>Data lineage</w:t>
      </w:r>
    </w:p>
    <w:p>
      <w:pPr>
        <w:spacing w:before="0" w:after="8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All figures in this report are queried at generation time from the Verity compliance metamodel — frameworks, provisions, canonical requirements, Verity features, and the bidirectional bridges that connect them. No data is imported from external systems; nothing is computed offline. Every value is traceable back to a source row in the metamodel.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Executive Summary</w:t>
      </w:r>
    </w:p>
    <w:p>
      <w:pPr>
        <w:spacing w:before="0" w:after="16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At the time of generation, Verity governs {{ total_count }} AI asset version(s) across {{ by_entity_type|length }} asset type(s). The asset inventory is broken down as follows:</w:t>
      </w:r>
    </w:p>
    <w:p>
      <w:pPr>
        <w:spacing w:before="0" w:after="160"/>
        <w:jc w:val="left"/>
      </w:pPr>
      <w:r>
        <w:rPr>
          <w:rFonts w:ascii="Poppins" w:hAnsi="Poppins" w:cs="Poppins" w:eastAsia="Poppins"/>
          <w:b/>
          <w:i w:val="0"/>
          <w:color w:val="1A365D"/>
          <w:sz w:val="22"/>
        </w:rPr>
        <w:t>• Agents: {{ agent_count }}     • Tasks: {{ task_count }}     • Prompts: {{ prompt_count }}</w:t>
      </w:r>
    </w:p>
    <w:p>
      <w:pPr>
        <w:spacing w:before="0" w:after="8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By materiality tier: {{ high_count }} high, {{ medium_count }} medium, {{ low_count }} low. {{ lifecycle_events_total }} lifecycle state transitions are recorded in the recent-changes section of this report.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AI Asset Inventory</w:t>
      </w:r>
    </w:p>
    <w:p>
      <w:pPr>
        <w:spacing w:before="0" w:after="28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Every AI asset registered to Verity is listed below, grouped by asset type. Each card shows the asset's display name, current version label, lifecycle state, plain-language description, materiality tier, named owner, and the applications it serves.</w:t>
      </w:r>
    </w:p>
    <w:p>
      <w:pPr>
        <w:spacing w:before="120" w:after="120"/>
      </w:pPr>
      <w:r>
        <w:rPr>
          <w:rFonts w:ascii="Georgia" w:hAnsi="Georgia" w:cs="Georgia" w:eastAsia="Georgia"/>
          <w:b/>
          <w:i w:val="0"/>
          <w:color w:val="1A365D"/>
          <w:sz w:val="32"/>
        </w:rPr>
        <w:t>Agents ({{ agent_count }})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</w:tcPr>
          <w:p>
            <w:r/>
            <w:r>
              <w:t>{%tr for a in agents %}</w:t>
            </w:r>
          </w:p>
        </w:tc>
      </w:tr>
      <w:tr>
        <w:tc>
          <w:tcPr>
            <w:tcW w:type="dxa" w:w="9360"/>
            <w:shd w:val="clear" w:color="auto" w:fill="F4F6FA"/>
            <w:tcBorders>
              <w:top w:val="single" w:sz="6" w:space="0" w:color="C5CDDC"/>
              <w:left w:val="single" w:sz="6" w:space="0" w:color="C5CDDC"/>
              <w:bottom w:val="single" w:sz="6" w:space="0" w:color="C5CDDC"/>
              <w:right w:val="single" w:sz="6" w:space="0" w:color="C5CDDC"/>
            </w:tcBorders>
            <w:vAlign w:val="top"/>
          </w:tcPr>
          <w:p>
            <w:pPr>
              <w:spacing w:before="160" w:after="40"/>
            </w:pPr>
            <w:r>
              <w:rPr>
                <w:rFonts w:ascii="Poppins" w:hAnsi="Poppins" w:cs="Poppins" w:eastAsia="Poppins"/>
                <w:b/>
                <w:i w:val="0"/>
                <w:color w:val="1A365D"/>
                <w:sz w:val="26"/>
              </w:rPr>
              <w:t>{{ a.display_name }}</w:t>
            </w: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2"/>
              </w:rPr>
              <w:t xml:space="preserve">    v{{ a.version_label }}    ·    </w:t>
            </w:r>
            <w:r>
              <w:rPr>
                <w:rFonts w:ascii="Poppins" w:hAnsi="Poppins" w:cs="Poppins" w:eastAsia="Poppins"/>
                <w:b/>
                <w:i w:val="0"/>
                <w:color w:val="6E8FCC"/>
                <w:sz w:val="22"/>
              </w:rPr>
              <w:t>{{ a.lifecycle_state_display }}</w:t>
            </w:r>
          </w:p>
          <w:p>
            <w:pPr>
              <w:spacing w:before="0" w:after="80"/>
            </w:pPr>
            <w:r>
              <w:rPr>
                <w:rFonts w:ascii="Poppins" w:hAnsi="Poppins" w:cs="Poppins" w:eastAsia="Poppins"/>
                <w:b w:val="0"/>
                <w:i/>
                <w:color w:val="6B6B6B"/>
                <w:sz w:val="20"/>
              </w:rPr>
              <w:t>{{ a.entity_description or '—' }}</w:t>
            </w:r>
          </w:p>
          <w:p>
            <w:pPr>
              <w:spacing w:before="40" w:after="160"/>
            </w:pP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0"/>
              </w:rPr>
              <w:t xml:space="preserve">Materiality: </w:t>
            </w:r>
            <w:r>
              <w:rPr>
                <w:rFonts w:ascii="Poppins" w:hAnsi="Poppins" w:cs="Poppins" w:eastAsia="Poppins"/>
                <w:b/>
                <w:i w:val="0"/>
                <w:color w:val="333333"/>
                <w:sz w:val="20"/>
              </w:rPr>
              <w:t>{{ a.materiality_display }}</w:t>
            </w: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0"/>
              </w:rPr>
              <w:t xml:space="preserve">    ·    Owner: </w:t>
            </w:r>
            <w:r>
              <w:rPr>
                <w:rFonts w:ascii="Poppins" w:hAnsi="Poppins" w:cs="Poppins" w:eastAsia="Poppins"/>
                <w:b/>
                <w:i w:val="0"/>
                <w:color w:val="333333"/>
                <w:sz w:val="20"/>
              </w:rPr>
              <w:t>{{ a.owner_name or '—' }}</w:t>
            </w: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0"/>
              </w:rPr>
              <w:t xml:space="preserve">    ·    Application(s): </w:t>
            </w:r>
            <w:r>
              <w:rPr>
                <w:rFonts w:ascii="Poppins" w:hAnsi="Poppins" w:cs="Poppins" w:eastAsia="Poppins"/>
                <w:b/>
                <w:i w:val="0"/>
                <w:color w:val="333333"/>
                <w:sz w:val="20"/>
              </w:rPr>
              <w:t>{{ a.applications }}</w:t>
            </w:r>
          </w:p>
        </w:tc>
      </w:tr>
      <w:tr>
        <w:tc>
          <w:tcPr>
            <w:tcW w:type="dxa" w:w="9648"/>
          </w:tcPr>
          <w:p>
            <w:r/>
            <w:r>
              <w:t>{%tr endfor %}</w:t>
            </w:r>
          </w:p>
        </w:tc>
      </w:tr>
    </w:tbl>
    <w:p>
      <w:pPr>
        <w:spacing w:before="120" w:after="120"/>
      </w:pPr>
      <w:r>
        <w:rPr>
          <w:rFonts w:ascii="Georgia" w:hAnsi="Georgia" w:cs="Georgia" w:eastAsia="Georgia"/>
          <w:b/>
          <w:i w:val="0"/>
          <w:color w:val="1A365D"/>
          <w:sz w:val="32"/>
        </w:rPr>
        <w:t>Tasks ({{ task_count }})</w:t>
      </w:r>
    </w:p>
    <w:p>
      <w:pPr>
        <w:spacing w:before="160" w:after="8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</w:tcPr>
          <w:p>
            <w:r/>
            <w:r>
              <w:t>{%tr for a in tasks %}</w:t>
            </w:r>
          </w:p>
        </w:tc>
      </w:tr>
      <w:tr>
        <w:tc>
          <w:tcPr>
            <w:tcW w:type="dxa" w:w="9360"/>
            <w:shd w:val="clear" w:color="auto" w:fill="F4F6FA"/>
            <w:tcBorders>
              <w:top w:val="single" w:sz="6" w:space="0" w:color="C5CDDC"/>
              <w:left w:val="single" w:sz="6" w:space="0" w:color="C5CDDC"/>
              <w:bottom w:val="single" w:sz="6" w:space="0" w:color="C5CDDC"/>
              <w:right w:val="single" w:sz="6" w:space="0" w:color="C5CDDC"/>
            </w:tcBorders>
            <w:vAlign w:val="top"/>
          </w:tcPr>
          <w:p>
            <w:pPr>
              <w:spacing w:before="160" w:after="40"/>
            </w:pPr>
            <w:r>
              <w:rPr>
                <w:rFonts w:ascii="Poppins" w:hAnsi="Poppins" w:cs="Poppins" w:eastAsia="Poppins"/>
                <w:b/>
                <w:i w:val="0"/>
                <w:color w:val="1A365D"/>
                <w:sz w:val="26"/>
              </w:rPr>
              <w:t>{{ a.display_name }}</w:t>
            </w: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2"/>
              </w:rPr>
              <w:t xml:space="preserve">    v{{ a.version_label }}    ·    </w:t>
            </w:r>
            <w:r>
              <w:rPr>
                <w:rFonts w:ascii="Poppins" w:hAnsi="Poppins" w:cs="Poppins" w:eastAsia="Poppins"/>
                <w:b/>
                <w:i w:val="0"/>
                <w:color w:val="6E8FCC"/>
                <w:sz w:val="22"/>
              </w:rPr>
              <w:t>{{ a.lifecycle_state_display }}</w:t>
            </w:r>
          </w:p>
          <w:p>
            <w:pPr>
              <w:spacing w:before="0" w:after="80"/>
            </w:pPr>
            <w:r>
              <w:rPr>
                <w:rFonts w:ascii="Poppins" w:hAnsi="Poppins" w:cs="Poppins" w:eastAsia="Poppins"/>
                <w:b w:val="0"/>
                <w:i/>
                <w:color w:val="6B6B6B"/>
                <w:sz w:val="20"/>
              </w:rPr>
              <w:t>{{ a.entity_description or '—' }}</w:t>
            </w:r>
          </w:p>
          <w:p>
            <w:pPr>
              <w:spacing w:before="40" w:after="160"/>
            </w:pP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0"/>
              </w:rPr>
              <w:t xml:space="preserve">Materiality: </w:t>
            </w:r>
            <w:r>
              <w:rPr>
                <w:rFonts w:ascii="Poppins" w:hAnsi="Poppins" w:cs="Poppins" w:eastAsia="Poppins"/>
                <w:b/>
                <w:i w:val="0"/>
                <w:color w:val="333333"/>
                <w:sz w:val="20"/>
              </w:rPr>
              <w:t>{{ a.materiality_display }}</w:t>
            </w: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0"/>
              </w:rPr>
              <w:t xml:space="preserve">    ·    Owner: </w:t>
            </w:r>
            <w:r>
              <w:rPr>
                <w:rFonts w:ascii="Poppins" w:hAnsi="Poppins" w:cs="Poppins" w:eastAsia="Poppins"/>
                <w:b/>
                <w:i w:val="0"/>
                <w:color w:val="333333"/>
                <w:sz w:val="20"/>
              </w:rPr>
              <w:t>{{ a.owner_name or '—' }}</w:t>
            </w: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0"/>
              </w:rPr>
              <w:t xml:space="preserve">    ·    Application(s): </w:t>
            </w:r>
            <w:r>
              <w:rPr>
                <w:rFonts w:ascii="Poppins" w:hAnsi="Poppins" w:cs="Poppins" w:eastAsia="Poppins"/>
                <w:b/>
                <w:i w:val="0"/>
                <w:color w:val="333333"/>
                <w:sz w:val="20"/>
              </w:rPr>
              <w:t>{{ a.applications }}</w:t>
            </w:r>
          </w:p>
        </w:tc>
      </w:tr>
      <w:tr>
        <w:tc>
          <w:tcPr>
            <w:tcW w:type="dxa" w:w="9648"/>
          </w:tcPr>
          <w:p>
            <w:r/>
            <w:r>
              <w:t>{%tr endfor %}</w:t>
            </w:r>
          </w:p>
        </w:tc>
      </w:tr>
    </w:tbl>
    <w:p>
      <w:pPr>
        <w:spacing w:before="120" w:after="120"/>
      </w:pPr>
      <w:r>
        <w:rPr>
          <w:rFonts w:ascii="Georgia" w:hAnsi="Georgia" w:cs="Georgia" w:eastAsia="Georgia"/>
          <w:b/>
          <w:i w:val="0"/>
          <w:color w:val="1A365D"/>
          <w:sz w:val="32"/>
        </w:rPr>
        <w:t>Prompts ({{ prompt_count }})</w:t>
      </w:r>
    </w:p>
    <w:p>
      <w:pPr>
        <w:spacing w:before="160" w:after="8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</w:tcPr>
          <w:p>
            <w:r/>
            <w:r>
              <w:t>{%tr for a in prompts %}</w:t>
            </w:r>
          </w:p>
        </w:tc>
      </w:tr>
      <w:tr>
        <w:tc>
          <w:tcPr>
            <w:tcW w:type="dxa" w:w="9360"/>
            <w:shd w:val="clear" w:color="auto" w:fill="F4F6FA"/>
            <w:tcBorders>
              <w:top w:val="single" w:sz="6" w:space="0" w:color="C5CDDC"/>
              <w:left w:val="single" w:sz="6" w:space="0" w:color="C5CDDC"/>
              <w:bottom w:val="single" w:sz="6" w:space="0" w:color="C5CDDC"/>
              <w:right w:val="single" w:sz="6" w:space="0" w:color="C5CDDC"/>
            </w:tcBorders>
            <w:vAlign w:val="top"/>
          </w:tcPr>
          <w:p>
            <w:pPr>
              <w:spacing w:before="160" w:after="40"/>
            </w:pPr>
            <w:r>
              <w:rPr>
                <w:rFonts w:ascii="Poppins" w:hAnsi="Poppins" w:cs="Poppins" w:eastAsia="Poppins"/>
                <w:b/>
                <w:i w:val="0"/>
                <w:color w:val="1A365D"/>
                <w:sz w:val="26"/>
              </w:rPr>
              <w:t>{{ a.display_name }}</w:t>
            </w: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2"/>
              </w:rPr>
              <w:t xml:space="preserve">    v{{ a.version_label }}    ·    </w:t>
            </w:r>
            <w:r>
              <w:rPr>
                <w:rFonts w:ascii="Poppins" w:hAnsi="Poppins" w:cs="Poppins" w:eastAsia="Poppins"/>
                <w:b/>
                <w:i w:val="0"/>
                <w:color w:val="6E8FCC"/>
                <w:sz w:val="22"/>
              </w:rPr>
              <w:t>{{ a.lifecycle_state_display }}</w:t>
            </w:r>
          </w:p>
          <w:p>
            <w:pPr>
              <w:spacing w:before="0" w:after="80"/>
            </w:pPr>
            <w:r>
              <w:rPr>
                <w:rFonts w:ascii="Poppins" w:hAnsi="Poppins" w:cs="Poppins" w:eastAsia="Poppins"/>
                <w:b w:val="0"/>
                <w:i/>
                <w:color w:val="6B6B6B"/>
                <w:sz w:val="20"/>
              </w:rPr>
              <w:t>{{ a.entity_description or '—' }}</w:t>
            </w:r>
          </w:p>
          <w:p>
            <w:pPr>
              <w:spacing w:before="40" w:after="160"/>
            </w:pP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0"/>
              </w:rPr>
              <w:t xml:space="preserve">Materiality: </w:t>
            </w:r>
            <w:r>
              <w:rPr>
                <w:rFonts w:ascii="Poppins" w:hAnsi="Poppins" w:cs="Poppins" w:eastAsia="Poppins"/>
                <w:b/>
                <w:i w:val="0"/>
                <w:color w:val="333333"/>
                <w:sz w:val="20"/>
              </w:rPr>
              <w:t>{{ a.materiality_display }}</w:t>
            </w: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0"/>
              </w:rPr>
              <w:t xml:space="preserve">    ·    Owner: </w:t>
            </w:r>
            <w:r>
              <w:rPr>
                <w:rFonts w:ascii="Poppins" w:hAnsi="Poppins" w:cs="Poppins" w:eastAsia="Poppins"/>
                <w:b/>
                <w:i w:val="0"/>
                <w:color w:val="333333"/>
                <w:sz w:val="20"/>
              </w:rPr>
              <w:t>{{ a.owner_name or '—' }}</w:t>
            </w:r>
            <w:r>
              <w:rPr>
                <w:rFonts w:ascii="Poppins" w:hAnsi="Poppins" w:cs="Poppins" w:eastAsia="Poppins"/>
                <w:b w:val="0"/>
                <w:i w:val="0"/>
                <w:color w:val="6B6B6B"/>
                <w:sz w:val="20"/>
              </w:rPr>
              <w:t xml:space="preserve">    ·    Application(s): </w:t>
            </w:r>
            <w:r>
              <w:rPr>
                <w:rFonts w:ascii="Poppins" w:hAnsi="Poppins" w:cs="Poppins" w:eastAsia="Poppins"/>
                <w:b/>
                <w:i w:val="0"/>
                <w:color w:val="333333"/>
                <w:sz w:val="20"/>
              </w:rPr>
              <w:t>{{ a.applications }}</w:t>
            </w:r>
          </w:p>
        </w:tc>
      </w:tr>
      <w:tr>
        <w:tc>
          <w:tcPr>
            <w:tcW w:type="dxa" w:w="9648"/>
          </w:tcPr>
          <w:p>
            <w:r/>
            <w:r>
              <w:t>{%tr endfor %}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Recent Lifecycle Changes</w:t>
      </w:r>
    </w:p>
    <w:p>
      <w:pPr>
        <w:spacing w:before="0" w:after="20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Up to the 50 most recent state transitions across all assets, sub-grouped by asset type. Each row reflects a HITL approval gate.</w:t>
      </w:r>
    </w:p>
    <w:p>
      <w:pPr>
        <w:spacing w:before="120" w:after="120"/>
      </w:pPr>
      <w:r>
        <w:rPr>
          <w:rFonts w:ascii="Georgia" w:hAnsi="Georgia" w:cs="Georgia" w:eastAsia="Georgia"/>
          <w:b/>
          <w:i w:val="0"/>
          <w:color w:val="1A365D"/>
          <w:sz w:val="32"/>
        </w:rPr>
        <w:t>Agents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Asset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Transition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Gate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Approver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Approved At</w:t>
            </w:r>
          </w:p>
        </w:tc>
      </w:tr>
      <w:tr>
        <w:tc>
          <w:tcPr>
            <w:tcW w:type="dxa" w:w="9650"/>
            <w:gridSpan w:val="5"/>
          </w:tcPr>
          <w:p>
            <w:r>
              <w:t>{%tr for ev in lifecycle_agents %}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ev.asset_display_name }}  v{{ ev.version_label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ev.from_state_display }} → {{ ev.to_state_display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ev.gate_type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ev.approver_name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ev.approved_at.strftime('%Y-%m-%d %H:%M') if ev.approved_at else '—' }}</w:t>
            </w:r>
          </w:p>
        </w:tc>
      </w:tr>
      <w:tr>
        <w:tc>
          <w:tcPr>
            <w:tcW w:type="dxa" w:w="9650"/>
            <w:gridSpan w:val="5"/>
          </w:tcPr>
          <w:p>
            <w:r>
              <w:t>{%tr endfor %}</w:t>
            </w:r>
          </w:p>
        </w:tc>
      </w:tr>
    </w:tbl>
    <w:p>
      <w:pPr>
        <w:spacing w:before="200" w:after="80"/>
        <w:jc w:val="left"/>
      </w:pPr>
    </w:p>
    <w:p>
      <w:pPr>
        <w:spacing w:before="120" w:after="120"/>
      </w:pPr>
      <w:r>
        <w:rPr>
          <w:rFonts w:ascii="Georgia" w:hAnsi="Georgia" w:cs="Georgia" w:eastAsia="Georgia"/>
          <w:b/>
          <w:i w:val="0"/>
          <w:color w:val="1A365D"/>
          <w:sz w:val="32"/>
        </w:rPr>
        <w:t>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Asset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Transition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Gate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Approver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Approved At</w:t>
            </w:r>
          </w:p>
        </w:tc>
      </w:tr>
      <w:tr>
        <w:tc>
          <w:tcPr>
            <w:tcW w:type="dxa" w:w="9650"/>
            <w:gridSpan w:val="5"/>
          </w:tcPr>
          <w:p>
            <w:r>
              <w:t>{%tr for ev in lifecycle_tasks %}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ev.asset_display_name }}  v{{ ev.version_label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ev.from_state_display }} → {{ ev.to_state_display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ev.gate_type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ev.approver_name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ev.approved_at.strftime('%Y-%m-%d %H:%M') if ev.approved_at else '—' }}</w:t>
            </w:r>
          </w:p>
        </w:tc>
      </w:tr>
      <w:tr>
        <w:tc>
          <w:tcPr>
            <w:tcW w:type="dxa" w:w="9650"/>
            <w:gridSpan w:val="5"/>
          </w:tcPr>
          <w:p>
            <w:r>
              <w:t>{%tr endfor %}</w:t>
            </w:r>
          </w:p>
        </w:tc>
      </w:tr>
    </w:tbl>
    <w:p>
      <w:pPr>
        <w:spacing w:before="200" w:after="80"/>
        <w:jc w:val="left"/>
      </w:pPr>
    </w:p>
    <w:p>
      <w:pPr>
        <w:spacing w:before="120" w:after="120"/>
      </w:pPr>
      <w:r>
        <w:rPr>
          <w:rFonts w:ascii="Georgia" w:hAnsi="Georgia" w:cs="Georgia" w:eastAsia="Georgia"/>
          <w:b/>
          <w:i w:val="0"/>
          <w:color w:val="1A365D"/>
          <w:sz w:val="32"/>
        </w:rPr>
        <w:t>Prompts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Asset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Transition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Gate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Approver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Approved At</w:t>
            </w:r>
          </w:p>
        </w:tc>
      </w:tr>
      <w:tr>
        <w:tc>
          <w:tcPr>
            <w:tcW w:type="dxa" w:w="9650"/>
            <w:gridSpan w:val="5"/>
          </w:tcPr>
          <w:p>
            <w:r>
              <w:t>{%tr for ev in lifecycle_prompts %}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ev.asset_display_name }}  v{{ ev.version_label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ev.from_state_display }} → {{ ev.to_state_display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ev.gate_type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ev.approver_name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ev.approved_at.strftime('%Y-%m-%d %H:%M') if ev.approved_at else '—' }}</w:t>
            </w:r>
          </w:p>
        </w:tc>
      </w:tr>
      <w:tr>
        <w:tc>
          <w:tcPr>
            <w:tcW w:type="dxa" w:w="9650"/>
            <w:gridSpan w:val="5"/>
          </w:tcPr>
          <w:p>
            <w:r>
              <w:t>{%tr endfor %}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Regulatory Coverage</w:t>
      </w:r>
    </w:p>
    <w:p>
      <w:pPr>
        <w:spacing w:before="0" w:after="20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This report provides evidence for the following canonical regulatory requirements within the Verity compliance metamodel.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Theme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Canonical Requirement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Coverage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Section</w:t>
            </w:r>
          </w:p>
        </w:tc>
      </w:tr>
      <w:tr>
        <w:tc>
          <w:tcPr>
            <w:tcW w:type="dxa" w:w="9648"/>
            <w:gridSpan w:val="4"/>
          </w:tcPr>
          <w:p>
            <w:r>
              <w:t>{%tr for c in canonicals %}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c.theme_name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c.title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c.coverage_level or '—'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c.section or '—' }}</w:t>
            </w:r>
          </w:p>
        </w:tc>
      </w:tr>
      <w:tr>
        <w:tc>
          <w:tcPr>
            <w:tcW w:type="dxa" w:w="9648"/>
            <w:gridSpan w:val="4"/>
          </w:tcPr>
          <w:p>
            <w:r>
              <w:t>{%tr endfor %}</w:t>
            </w:r>
          </w:p>
        </w:tc>
      </w:tr>
    </w:tbl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24" w:right="1296" w:bottom="1224" w:left="1296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Poppins" w:hAnsi="Poppins" w:cs="Poppins" w:eastAsia="Poppins"/>
        <w:b w:val="0"/>
        <w:i w:val="0"/>
        <w:color w:val="6B6B6B"/>
        <w:sz w:val="16"/>
      </w:rPr>
      <w:t>{{ report_title }}  ·  Generated {{ generated_at_str }}  ·  Scope: {{ scope_summary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 w:cs="Georgia" w:eastAsia="Georgia"/>
        <w:b/>
        <w:i w:val="0"/>
        <w:color w:val="1A365D"/>
        <w:sz w:val="18"/>
      </w:rPr>
      <w:t>VERITY · {{ report_title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Poppins" w:hAnsi="Poppins" w:cs="Poppins" w:eastAsia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