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Georgia" w:hAnsi="Georgia" w:cs="Georgia" w:eastAsia="Georgia"/>
          <w:b/>
          <w:i w:val="0"/>
          <w:color w:val="6E8FCC"/>
          <w:sz w:val="28"/>
        </w:rPr>
        <w:t>VERITY</w:t>
      </w:r>
    </w:p>
    <w:p>
      <w:pPr>
        <w:spacing w:before="80" w:after="80"/>
        <w:jc w:val="center"/>
      </w:pPr>
      <w:r>
        <w:rPr>
          <w:rFonts w:ascii="Georgia" w:hAnsi="Georgia" w:cs="Georgia" w:eastAsia="Georgia"/>
          <w:b w:val="0"/>
          <w:i w:val="0"/>
          <w:color w:val="6B6B6B"/>
          <w:sz w:val="22"/>
        </w:rPr>
        <w:t>Compliance Report</w:t>
      </w:r>
    </w:p>
    <w:p>
      <w:pPr>
        <w:spacing w:before="560" w:after="160"/>
        <w:jc w:val="center"/>
      </w:pPr>
      <w:r>
        <w:rPr>
          <w:rFonts w:ascii="Georgia" w:hAnsi="Georgia" w:cs="Georgia" w:eastAsia="Georgia"/>
          <w:b/>
          <w:i w:val="0"/>
          <w:color w:val="1A365D"/>
          <w:sz w:val="72"/>
        </w:rPr>
        <w:t>{{ report_title }}</w:t>
      </w:r>
    </w:p>
    <w:p>
      <w:pPr>
        <w:spacing w:before="400"/>
        <w:jc w:val="center"/>
      </w:pPr>
      <w:r>
        <w:rPr>
          <w:rFonts w:ascii="Poppins" w:hAnsi="Poppins" w:cs="Poppins" w:eastAsia="Poppins"/>
          <w:b w:val="0"/>
          <w:i w:val="0"/>
          <w:color w:val="333333"/>
          <w:sz w:val="24"/>
        </w:rPr>
        <w:t>Generated {{ generated_at_str }}</w:t>
      </w:r>
    </w:p>
    <w:p>
      <w:pPr>
        <w:spacing w:before="40"/>
        <w:jc w:val="center"/>
      </w:pPr>
      <w:r>
        <w:rPr>
          <w:rFonts w:ascii="Poppins" w:hAnsi="Poppins" w:cs="Poppins" w:eastAsia="Poppins"/>
          <w:b w:val="0"/>
          <w:i/>
          <w:color w:val="6B6B6B"/>
          <w:sz w:val="22"/>
        </w:rPr>
        <w:t>Scope: {{ scope_summary }}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Purpose and Audience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Purpose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{{ report_description }}</w:t>
      </w:r>
    </w:p>
    <w:p>
      <w:pPr>
        <w:spacing w:before="0" w:after="2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This report enumerates {{ total_count }} AI asset version(s) registered to Verity at the time of generation: {{ agent_count }} agent(s), {{ task_count }} task(s), and {{ prompt_count }} prompt(s). The breakdown by materiality is {{ high_count }} high, {{ medium_count }} medium, and {{ low_count }} low.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Intended audience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Model Risk Management committees, compliance officers, internal audit teams, and external regulatory examiners. The report is organized to be read top-to-bottom: cover → this purpose page → executive summary → AI asset inventory (grouped by asset type, with one card per registered asset) → recent lifecycle changes → regulatory coverage table mapping the report sections back to the canonical regulatory requirements they evidence.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Data lineage</w:t>
      </w:r>
    </w:p>
    <w:p>
      <w:pPr>
        <w:spacing w:before="0" w:after="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All figures in this report are queried at generation time from the Verity compliance metamodel — frameworks, provisions, canonical requirements, Verity features, and the bidirectional bridges that connect them. No data is imported from external systems; nothing is computed offline. Every value is traceable back to a source row in the metamodel.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Executive Summary</w:t>
      </w:r>
    </w:p>
    <w:p>
      <w:pPr>
        <w:spacing w:before="0" w:after="16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At the time of generation, Verity governs {{ total_count }} AI asset version(s) across {{ by_entity_type|length }} asset type(s). The asset inventory is broken down as follows:</w:t>
      </w:r>
    </w:p>
    <w:p>
      <w:pPr>
        <w:spacing w:before="0" w:after="160"/>
        <w:jc w:val="left"/>
      </w:pPr>
      <w:r>
        <w:rPr>
          <w:rFonts w:ascii="Poppins" w:hAnsi="Poppins" w:cs="Poppins" w:eastAsia="Poppins"/>
          <w:b/>
          <w:i w:val="0"/>
          <w:color w:val="1A365D"/>
          <w:sz w:val="22"/>
        </w:rPr>
        <w:t>• Agents: {{ agent_count }}     • Tasks: {{ task_count }}     • Prompts: {{ prompt_count }}</w:t>
      </w:r>
    </w:p>
    <w:p>
      <w:pPr>
        <w:spacing w:before="0" w:after="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By materiality tier: {{ high_count }} high, {{ medium_count }} medium, {{ low_count }} low. {{ lifecycle_events_total }} lifecycle state transitions are recorded in the recent-changes section of this report.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AI Asset Inventory</w:t>
      </w:r>
    </w:p>
    <w:p>
      <w:pPr>
        <w:spacing w:before="0" w:after="2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Every AI asset registered to Verity is listed below, grouped by asset type. Each card shows the asset's display name, current version label, lifecycle state, plain-language description, materiality tier, named owner, and the applications it serves.</w:t>
      </w: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Agents ({{ agent_count }})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agents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Use case: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a.intake_code }} · {{ a.intake_risk_tier }} risk · {{ a.intake_status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Human-in-the-loop: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a.hitl_strategy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Trigger: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a.hitl_review_threshold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Tasks ({{ task_count }})</w:t>
      </w:r>
    </w:p>
    <w:p>
      <w:pPr>
        <w:spacing w:before="160" w:after="8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tasks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Use case: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a.intake_code }} · {{ a.intake_risk_tier }} risk · {{ a.intake_status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Human-in-the-loop: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a.hitl_strategy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Trigger: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a.hitl_review_threshold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Prompts ({{ prompt_count }})</w:t>
      </w:r>
    </w:p>
    <w:p>
      <w:pPr>
        <w:spacing w:before="160" w:after="8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prompts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  <w:p>
            <w:pPr>
              <w:spacing w:before="40" w:after="4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Use case: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a.intake_code }} · {{ a.intake_risk_tier }} risk · {{ a.intake_status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Human-in-the-loop: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a.hitl_strategy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Trigger: </w:t>
            </w:r>
            <w:r>
              <w:rPr>
                <w:rFonts w:ascii="Poppins" w:hAnsi="Poppins" w:cs="Poppins" w:eastAsia="Poppins"/>
                <w:b w:val="0"/>
                <w:i/>
                <w:color w:val="333333"/>
                <w:sz w:val="20"/>
              </w:rPr>
              <w:t>{{ a.hitl_review_threshold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Recent Lifecycle Changes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Up to the 50 most recent state transitions across all assets, sub-grouped by asset type. Each row reflects a HITL approval gate.</w:t>
      </w: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Agents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lifecycle_agents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pPr>
        <w:spacing w:before="200" w:after="80"/>
        <w:jc w:val="left"/>
      </w:pP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lifecycle_tasks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pPr>
        <w:spacing w:before="200" w:after="80"/>
        <w:jc w:val="left"/>
      </w:pP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Prompts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lifecycle_prompts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Regulatory Coverage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This report provides evidence for the following canonical regulatory requirements within the Verity compliance metamodel.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Theme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Canonical Requirement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Coverage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Section</w:t>
            </w:r>
          </w:p>
        </w:tc>
      </w:tr>
      <w:tr>
        <w:tc>
          <w:tcPr>
            <w:tcW w:type="dxa" w:w="9648"/>
            <w:gridSpan w:val="4"/>
          </w:tcPr>
          <w:p>
            <w:r>
              <w:t>{%tr for c in canonicals %}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c.theme_name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c.title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c.coverage_level or '—'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c.section or '—' }}</w:t>
            </w:r>
          </w:p>
        </w:tc>
      </w:tr>
      <w:tr>
        <w:tc>
          <w:tcPr>
            <w:tcW w:type="dxa" w:w="9648"/>
            <w:gridSpan w:val="4"/>
          </w:tcPr>
          <w:p>
            <w:r>
              <w:t>{%tr endfor %}</w:t>
            </w:r>
          </w:p>
        </w:tc>
      </w:tr>
    </w:tbl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224" w:right="1296" w:bottom="1224" w:left="1296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oppins" w:hAnsi="Poppins" w:cs="Poppins" w:eastAsia="Poppins"/>
        <w:b w:val="0"/>
        <w:i w:val="0"/>
        <w:color w:val="6B6B6B"/>
        <w:sz w:val="16"/>
      </w:rPr>
      <w:t>{{ report_title }}  ·  Generated {{ generated_at_str }}  ·  Scope: {{ scope_summary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 w:cs="Georgia" w:eastAsia="Georgia"/>
        <w:b/>
        <w:i w:val="0"/>
        <w:color w:val="1A365D"/>
        <w:sz w:val="18"/>
      </w:rPr>
      <w:t>VERITY · {{ report_title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ascii="Poppins" w:hAnsi="Poppins" w:cs="Poppins" w:eastAsia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