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Exp No: 1.a — Analyze the Trend of Data Science Job Postings</w:t>
      </w:r>
    </w:p>
    <w:p>
      <w:pPr>
        <w:pStyle w:val="Heading1"/>
      </w:pPr>
      <w:r>
        <w:t xml:space="preserve">Aim</w:t>
      </w:r>
    </w:p>
    <w:p>
      <w:r>
        <w:t xml:space="preserve">To analyze the trend of data science job postings over the last decade using Python.</w:t>
      </w:r>
    </w:p>
    <w:p>
      <w:pPr>
        <w:pStyle w:val="Heading1"/>
      </w:pPr>
      <w:r>
        <w:t xml:space="preserve">Description</w:t>
      </w:r>
    </w:p>
    <w:p>
      <w:r>
        <w:t xml:space="preserve">Web scraping (e.g., BeautifulSoup) or APIs (e.g., LinkedIn API) can be used to gather data on the number of data science job postings each year. In this experiment, pandas is used for data manipulation and matplotlib is used for visualization of a representative dataset.</w:t>
      </w:r>
    </w:p>
    <w:p>
      <w:pPr>
        <w:pStyle w:val="Heading1"/>
      </w:pPr>
      <w:r>
        <w:t xml:space="preserve">Code</w:t>
      </w:r>
    </w:p>
    <w:p>
      <w:pPr>
        <w:spacing w:after="0"/>
      </w:pPr>
      <w:r>
        <w:rPr>
          <w:rFonts w:ascii="Consolas" w:cs="Consolas" w:eastAsia="Consolas" w:hAnsi="Consolas"/>
          <w:sz w:val="20"/>
          <w:szCs w:val="20"/>
        </w:rPr>
        <w:t xml:space="preserve">import pandas as pd</w:t>
      </w:r>
    </w:p>
    <w:p>
      <w:pPr>
        <w:spacing w:after="0"/>
      </w:pPr>
      <w:r>
        <w:rPr>
          <w:rFonts w:ascii="Consolas" w:cs="Consolas" w:eastAsia="Consolas" w:hAnsi="Consolas"/>
          <w:sz w:val="20"/>
          <w:szCs w:val="20"/>
        </w:rPr>
        <w:t xml:space="preserve">import matplotlib.pyplot as plt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data = {'Year': list(range(2010, 2021)),</w:t>
      </w:r>
    </w:p>
    <w:p>
      <w:pPr>
        <w:spacing w:after="0"/>
      </w:pPr>
      <w:r>
        <w:rPr>
          <w:rFonts w:ascii="Consolas" w:cs="Consolas" w:eastAsia="Consolas" w:hAnsi="Consolas"/>
          <w:sz w:val="20"/>
          <w:szCs w:val="20"/>
        </w:rPr>
        <w:t xml:space="preserve">        'Job Postings': [150, 300, 450, 600, 800, 1200, 1600, 2100, 2700, 3400, 4200]}</w:t>
      </w:r>
    </w:p>
    <w:p>
      <w:pPr>
        <w:spacing w:after="0"/>
      </w:pPr>
      <w:r>
        <w:rPr>
          <w:rFonts w:ascii="Consolas" w:cs="Consolas" w:eastAsia="Consolas" w:hAnsi="Consolas"/>
          <w:sz w:val="20"/>
          <w:szCs w:val="20"/>
        </w:rPr>
        <w:t xml:space="preserve">df = pd.DataFrame(data)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plt.plot(df['Year'], df['Job Postings'], marker='o')</w:t>
      </w:r>
    </w:p>
    <w:p>
      <w:pPr>
        <w:spacing w:after="0"/>
      </w:pPr>
      <w:r>
        <w:rPr>
          <w:rFonts w:ascii="Consolas" w:cs="Consolas" w:eastAsia="Consolas" w:hAnsi="Consolas"/>
          <w:sz w:val="20"/>
          <w:szCs w:val="20"/>
        </w:rPr>
        <w:t xml:space="preserve">plt.title('Trend of Data Science Job Postings')</w:t>
      </w:r>
    </w:p>
    <w:p>
      <w:pPr>
        <w:spacing w:after="0"/>
      </w:pPr>
      <w:r>
        <w:rPr>
          <w:rFonts w:ascii="Consolas" w:cs="Consolas" w:eastAsia="Consolas" w:hAnsi="Consolas"/>
          <w:sz w:val="20"/>
          <w:szCs w:val="20"/>
        </w:rPr>
        <w:t xml:space="preserve">plt.xlabel('Year')</w:t>
      </w:r>
    </w:p>
    <w:p>
      <w:pPr>
        <w:spacing w:after="0"/>
      </w:pPr>
      <w:r>
        <w:rPr>
          <w:rFonts w:ascii="Consolas" w:cs="Consolas" w:eastAsia="Consolas" w:hAnsi="Consolas"/>
          <w:sz w:val="20"/>
          <w:szCs w:val="20"/>
        </w:rPr>
        <w:t xml:space="preserve">plt.ylabel('Number of Job Postings')</w:t>
      </w:r>
    </w:p>
    <w:p>
      <w:pPr>
        <w:spacing w:after="0"/>
      </w:pPr>
      <w:r>
        <w:rPr>
          <w:rFonts w:ascii="Consolas" w:cs="Consolas" w:eastAsia="Consolas" w:hAnsi="Consolas"/>
          <w:sz w:val="20"/>
          <w:szCs w:val="20"/>
        </w:rPr>
        <w:t xml:space="preserve">plt.show()</w:t>
      </w:r>
    </w:p>
    <w:p>
      <w:pPr>
        <w:pStyle w:val="Heading1"/>
        <w:spacing w:before="200"/>
      </w:pPr>
      <w:r>
        <w:t xml:space="preserve">Sample Data</w:t>
      </w:r>
    </w:p>
    <w:p>
      <w:r>
        <w:t xml:space="preserve">Year = 2010 to 2020</w:t>
      </w:r>
    </w:p>
    <w:p>
      <w:pPr>
        <w:spacing w:after="200"/>
      </w:pPr>
      <w:r>
        <w:t xml:space="preserve">Job Postings = 150, 300, 450, 600, 800, 1200, 1600, 2100, 2700, 3400, 4200</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D9E2F3" w:color="auto" w:val="clear"/>
          </w:tcPr>
          <w:p>
            <w:pPr>
              <w:jc w:val="center"/>
            </w:pPr>
            <w:r>
              <w:rPr>
                <w:b/>
                <w:bCs/>
              </w:rPr>
              <w:t xml:space="preserve">Year</w:t>
            </w:r>
          </w:p>
        </w:tc>
        <w:tc>
          <w:tcPr>
            <w:tcW w:type="dxa" w:w="2500"/>
            <w:shd w:fill="D9E2F3" w:color="auto" w:val="clear"/>
          </w:tcPr>
          <w:p>
            <w:pPr>
              <w:jc w:val="center"/>
            </w:pPr>
            <w:r>
              <w:rPr>
                <w:b/>
                <w:bCs/>
              </w:rPr>
              <w:t xml:space="preserve">Job Postings</w:t>
            </w:r>
          </w:p>
        </w:tc>
      </w:tr>
      <w:tr>
        <w:tc>
          <w:tcPr>
            <w:tcW w:type="dxa" w:w="2500"/>
          </w:tcPr>
          <w:p>
            <w:pPr>
              <w:jc w:val="center"/>
            </w:pPr>
            <w:r>
              <w:rPr>
                <w:b w:val="false"/>
                <w:bCs w:val="false"/>
              </w:rPr>
              <w:t xml:space="preserve">2010</w:t>
            </w:r>
          </w:p>
        </w:tc>
        <w:tc>
          <w:tcPr>
            <w:tcW w:type="dxa" w:w="2500"/>
          </w:tcPr>
          <w:p>
            <w:pPr>
              <w:jc w:val="center"/>
            </w:pPr>
            <w:r>
              <w:rPr>
                <w:b w:val="false"/>
                <w:bCs w:val="false"/>
              </w:rPr>
              <w:t xml:space="preserve">150</w:t>
            </w:r>
          </w:p>
        </w:tc>
      </w:tr>
      <w:tr>
        <w:tc>
          <w:tcPr>
            <w:tcW w:type="dxa" w:w="2500"/>
          </w:tcPr>
          <w:p>
            <w:pPr>
              <w:jc w:val="center"/>
            </w:pPr>
            <w:r>
              <w:rPr>
                <w:b w:val="false"/>
                <w:bCs w:val="false"/>
              </w:rPr>
              <w:t xml:space="preserve">2011</w:t>
            </w:r>
          </w:p>
        </w:tc>
        <w:tc>
          <w:tcPr>
            <w:tcW w:type="dxa" w:w="2500"/>
          </w:tcPr>
          <w:p>
            <w:pPr>
              <w:jc w:val="center"/>
            </w:pPr>
            <w:r>
              <w:rPr>
                <w:b w:val="false"/>
                <w:bCs w:val="false"/>
              </w:rPr>
              <w:t xml:space="preserve">300</w:t>
            </w:r>
          </w:p>
        </w:tc>
      </w:tr>
      <w:tr>
        <w:tc>
          <w:tcPr>
            <w:tcW w:type="dxa" w:w="2500"/>
          </w:tcPr>
          <w:p>
            <w:pPr>
              <w:jc w:val="center"/>
            </w:pPr>
            <w:r>
              <w:rPr>
                <w:b w:val="false"/>
                <w:bCs w:val="false"/>
              </w:rPr>
              <w:t xml:space="preserve">2012</w:t>
            </w:r>
          </w:p>
        </w:tc>
        <w:tc>
          <w:tcPr>
            <w:tcW w:type="dxa" w:w="2500"/>
          </w:tcPr>
          <w:p>
            <w:pPr>
              <w:jc w:val="center"/>
            </w:pPr>
            <w:r>
              <w:rPr>
                <w:b w:val="false"/>
                <w:bCs w:val="false"/>
              </w:rPr>
              <w:t xml:space="preserve">450</w:t>
            </w:r>
          </w:p>
        </w:tc>
      </w:tr>
      <w:tr>
        <w:tc>
          <w:tcPr>
            <w:tcW w:type="dxa" w:w="2500"/>
          </w:tcPr>
          <w:p>
            <w:pPr>
              <w:jc w:val="center"/>
            </w:pPr>
            <w:r>
              <w:rPr>
                <w:b w:val="false"/>
                <w:bCs w:val="false"/>
              </w:rPr>
              <w:t xml:space="preserve">2013</w:t>
            </w:r>
          </w:p>
        </w:tc>
        <w:tc>
          <w:tcPr>
            <w:tcW w:type="dxa" w:w="2500"/>
          </w:tcPr>
          <w:p>
            <w:pPr>
              <w:jc w:val="center"/>
            </w:pPr>
            <w:r>
              <w:rPr>
                <w:b w:val="false"/>
                <w:bCs w:val="false"/>
              </w:rPr>
              <w:t xml:space="preserve">600</w:t>
            </w:r>
          </w:p>
        </w:tc>
      </w:tr>
      <w:tr>
        <w:tc>
          <w:tcPr>
            <w:tcW w:type="dxa" w:w="2500"/>
          </w:tcPr>
          <w:p>
            <w:pPr>
              <w:jc w:val="center"/>
            </w:pPr>
            <w:r>
              <w:rPr>
                <w:b w:val="false"/>
                <w:bCs w:val="false"/>
              </w:rPr>
              <w:t xml:space="preserve">2014</w:t>
            </w:r>
          </w:p>
        </w:tc>
        <w:tc>
          <w:tcPr>
            <w:tcW w:type="dxa" w:w="2500"/>
          </w:tcPr>
          <w:p>
            <w:pPr>
              <w:jc w:val="center"/>
            </w:pPr>
            <w:r>
              <w:rPr>
                <w:b w:val="false"/>
                <w:bCs w:val="false"/>
              </w:rPr>
              <w:t xml:space="preserve">800</w:t>
            </w:r>
          </w:p>
        </w:tc>
      </w:tr>
      <w:tr>
        <w:tc>
          <w:tcPr>
            <w:tcW w:type="dxa" w:w="2500"/>
          </w:tcPr>
          <w:p>
            <w:pPr>
              <w:jc w:val="center"/>
            </w:pPr>
            <w:r>
              <w:rPr>
                <w:b w:val="false"/>
                <w:bCs w:val="false"/>
              </w:rPr>
              <w:t xml:space="preserve">2015</w:t>
            </w:r>
          </w:p>
        </w:tc>
        <w:tc>
          <w:tcPr>
            <w:tcW w:type="dxa" w:w="2500"/>
          </w:tcPr>
          <w:p>
            <w:pPr>
              <w:jc w:val="center"/>
            </w:pPr>
            <w:r>
              <w:rPr>
                <w:b w:val="false"/>
                <w:bCs w:val="false"/>
              </w:rPr>
              <w:t xml:space="preserve">1200</w:t>
            </w:r>
          </w:p>
        </w:tc>
      </w:tr>
      <w:tr>
        <w:tc>
          <w:tcPr>
            <w:tcW w:type="dxa" w:w="2500"/>
          </w:tcPr>
          <w:p>
            <w:pPr>
              <w:jc w:val="center"/>
            </w:pPr>
            <w:r>
              <w:rPr>
                <w:b w:val="false"/>
                <w:bCs w:val="false"/>
              </w:rPr>
              <w:t xml:space="preserve">2016</w:t>
            </w:r>
          </w:p>
        </w:tc>
        <w:tc>
          <w:tcPr>
            <w:tcW w:type="dxa" w:w="2500"/>
          </w:tcPr>
          <w:p>
            <w:pPr>
              <w:jc w:val="center"/>
            </w:pPr>
            <w:r>
              <w:rPr>
                <w:b w:val="false"/>
                <w:bCs w:val="false"/>
              </w:rPr>
              <w:t xml:space="preserve">1600</w:t>
            </w:r>
          </w:p>
        </w:tc>
      </w:tr>
      <w:tr>
        <w:tc>
          <w:tcPr>
            <w:tcW w:type="dxa" w:w="2500"/>
          </w:tcPr>
          <w:p>
            <w:pPr>
              <w:jc w:val="center"/>
            </w:pPr>
            <w:r>
              <w:rPr>
                <w:b w:val="false"/>
                <w:bCs w:val="false"/>
              </w:rPr>
              <w:t xml:space="preserve">2017</w:t>
            </w:r>
          </w:p>
        </w:tc>
        <w:tc>
          <w:tcPr>
            <w:tcW w:type="dxa" w:w="2500"/>
          </w:tcPr>
          <w:p>
            <w:pPr>
              <w:jc w:val="center"/>
            </w:pPr>
            <w:r>
              <w:rPr>
                <w:b w:val="false"/>
                <w:bCs w:val="false"/>
              </w:rPr>
              <w:t xml:space="preserve">2100</w:t>
            </w:r>
          </w:p>
        </w:tc>
      </w:tr>
      <w:tr>
        <w:tc>
          <w:tcPr>
            <w:tcW w:type="dxa" w:w="2500"/>
          </w:tcPr>
          <w:p>
            <w:pPr>
              <w:jc w:val="center"/>
            </w:pPr>
            <w:r>
              <w:rPr>
                <w:b w:val="false"/>
                <w:bCs w:val="false"/>
              </w:rPr>
              <w:t xml:space="preserve">2018</w:t>
            </w:r>
          </w:p>
        </w:tc>
        <w:tc>
          <w:tcPr>
            <w:tcW w:type="dxa" w:w="2500"/>
          </w:tcPr>
          <w:p>
            <w:pPr>
              <w:jc w:val="center"/>
            </w:pPr>
            <w:r>
              <w:rPr>
                <w:b w:val="false"/>
                <w:bCs w:val="false"/>
              </w:rPr>
              <w:t xml:space="preserve">2700</w:t>
            </w:r>
          </w:p>
        </w:tc>
      </w:tr>
      <w:tr>
        <w:tc>
          <w:tcPr>
            <w:tcW w:type="dxa" w:w="2500"/>
          </w:tcPr>
          <w:p>
            <w:pPr>
              <w:jc w:val="center"/>
            </w:pPr>
            <w:r>
              <w:rPr>
                <w:b w:val="false"/>
                <w:bCs w:val="false"/>
              </w:rPr>
              <w:t xml:space="preserve">2019</w:t>
            </w:r>
          </w:p>
        </w:tc>
        <w:tc>
          <w:tcPr>
            <w:tcW w:type="dxa" w:w="2500"/>
          </w:tcPr>
          <w:p>
            <w:pPr>
              <w:jc w:val="center"/>
            </w:pPr>
            <w:r>
              <w:rPr>
                <w:b w:val="false"/>
                <w:bCs w:val="false"/>
              </w:rPr>
              <w:t xml:space="preserve">3400</w:t>
            </w:r>
          </w:p>
        </w:tc>
      </w:tr>
      <w:tr>
        <w:tc>
          <w:tcPr>
            <w:tcW w:type="dxa" w:w="2500"/>
          </w:tcPr>
          <w:p>
            <w:pPr>
              <w:jc w:val="center"/>
            </w:pPr>
            <w:r>
              <w:rPr>
                <w:b w:val="false"/>
                <w:bCs w:val="false"/>
              </w:rPr>
              <w:t xml:space="preserve">2020</w:t>
            </w:r>
          </w:p>
        </w:tc>
        <w:tc>
          <w:tcPr>
            <w:tcW w:type="dxa" w:w="2500"/>
          </w:tcPr>
          <w:p>
            <w:pPr>
              <w:jc w:val="center"/>
            </w:pPr>
            <w:r>
              <w:rPr>
                <w:b w:val="false"/>
                <w:bCs w:val="false"/>
              </w:rPr>
              <w:t xml:space="preserve">4200</w:t>
            </w:r>
          </w:p>
        </w:tc>
      </w:tr>
    </w:tbl>
    <w:p>
      <w:pPr>
        <w:pStyle w:val="Heading1"/>
        <w:spacing w:before="300"/>
      </w:pPr>
      <w:r>
        <w:t xml:space="preserve">Output</w:t>
      </w:r>
    </w:p>
    <w:p>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76600"/>
                    </a:xfrm>
                    <a:prstGeom prst="rect">
                      <a:avLst/>
                    </a:prstGeom>
                  </pic:spPr>
                </pic:pic>
              </a:graphicData>
            </a:graphic>
          </wp:inline>
        </w:drawing>
      </w:r>
    </w:p>
    <w:p>
      <w:pPr>
        <w:pStyle w:val="Heading1"/>
        <w:spacing w:before="300"/>
      </w:pPr>
      <w:r>
        <w:t xml:space="preserve">Analysis / Result</w:t>
      </w:r>
    </w:p>
    <w:p>
      <w:r>
        <w:t xml:space="preserve">• Job postings grew from 150 in 2010 to 4,200 in 2020 — roughly a 28x increase over the decade.</w:t>
      </w:r>
    </w:p>
    <w:p>
      <w:r>
        <w:t xml:space="preserve">• Growth was slow but steady from 2010-2014, reflecting the early, niche stage of data science as a discipline.</w:t>
      </w:r>
    </w:p>
    <w:p>
      <w:r>
        <w:t xml:space="preserve">• From 2015 onward, growth accelerates sharply, coinciding with wider industry adoption of big data, machine learning, and cloud computing.</w:t>
      </w:r>
    </w:p>
    <w:p>
      <w:pPr>
        <w:spacing w:after="200"/>
      </w:pPr>
      <w:r>
        <w:t xml:space="preserve">• The overall pattern resembles exponential growth, consistent with real-world reports naming Data Scientist one of the fastest-growing job titles of the 2010s.</w:t>
      </w:r>
    </w:p>
    <w:p>
      <w:pPr>
        <w:pStyle w:val="Heading1"/>
      </w:pPr>
      <w:r>
        <w:t xml:space="preserve">Conclusion</w:t>
      </w:r>
    </w:p>
    <w:p>
      <w:r>
        <w:t xml:space="preserve">The program successfully demonstrates the use of pandas and matplotlib to analyze and visualize the increasing trend of data science job postings over the last decade.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6de6cabf8c49ed3fa1805d588f5cbd41dc752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2026-08-03T08:47:09.379Z</dcterms:created>
  <dcterms:modified xsi:type="dcterms:W3CDTF">2026-08-03T08:47:09.404Z</dcterms:modified>
</cp:coreProperties>
</file>

<file path=docProps/custom.xml><?xml version="1.0" encoding="utf-8"?>
<Properties xmlns="http://schemas.openxmlformats.org/officeDocument/2006/custom-properties" xmlns:vt="http://schemas.openxmlformats.org/officeDocument/2006/docPropsVTypes"/>
</file>