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METAPOINTER ENTERPRISE PROPOSAL STRUCTURE</w:t>
      </w:r>
    </w:p>
    <w:p>
      <w:pPr>
        <w:jc w:val="left"/>
      </w:pPr>
      <w:r>
        <w:t>(With Section Classification – STANDARD vs PROJECT-SPECIFIC)</w:t>
      </w:r>
    </w:p>
    <w:p/>
    <w:p>
      <w:pPr>
        <w:pStyle w:val="Heading2"/>
      </w:pPr>
      <w:r>
        <w:t>1. Cover Page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Client Name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Proposal Version</w:t>
      </w:r>
    </w:p>
    <w:p>
      <w:pPr>
        <w:pStyle w:val="ListBullet"/>
      </w:pPr>
      <w:r>
        <w:t>Date</w:t>
      </w:r>
    </w:p>
    <w:p/>
    <w:p>
      <w:pPr>
        <w:pStyle w:val="Heading2"/>
      </w:pPr>
      <w:r>
        <w:t>2. Document Control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Author</w:t>
      </w:r>
    </w:p>
    <w:p>
      <w:pPr>
        <w:pStyle w:val="ListBullet"/>
      </w:pPr>
      <w:r>
        <w:t>Reviewers</w:t>
      </w:r>
    </w:p>
    <w:p/>
    <w:p>
      <w:pPr>
        <w:pStyle w:val="Heading2"/>
      </w:pPr>
      <w:r>
        <w:t>3. Executive Summary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Business context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Proposed solution</w:t>
      </w:r>
    </w:p>
    <w:p>
      <w:pPr>
        <w:pStyle w:val="ListBullet"/>
      </w:pPr>
      <w:r>
        <w:t>Timeline summary</w:t>
      </w:r>
    </w:p>
    <w:p>
      <w:pPr>
        <w:pStyle w:val="ListBullet"/>
      </w:pPr>
      <w:r>
        <w:t>Commercial summary</w:t>
      </w:r>
    </w:p>
    <w:p/>
    <w:p>
      <w:pPr>
        <w:pStyle w:val="Heading2"/>
      </w:pPr>
      <w:r>
        <w:t>4. Business Understanding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Current state</w:t>
      </w:r>
    </w:p>
    <w:p>
      <w:pPr>
        <w:pStyle w:val="ListBullet"/>
      </w:pPr>
      <w:r>
        <w:t>Key challenges</w:t>
      </w:r>
    </w:p>
    <w:p>
      <w:pPr>
        <w:pStyle w:val="ListBullet"/>
      </w:pPr>
      <w:r>
        <w:t>Target state</w:t>
      </w:r>
    </w:p>
    <w:p>
      <w:pPr>
        <w:pStyle w:val="ListBullet"/>
      </w:pPr>
      <w:r>
        <w:t>Assumptions</w:t>
      </w:r>
    </w:p>
    <w:p/>
    <w:p>
      <w:pPr>
        <w:pStyle w:val="Heading2"/>
      </w:pPr>
      <w:r>
        <w:t>5. Scope of Work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/>
    <w:p>
      <w:pPr>
        <w:pStyle w:val="Heading2"/>
      </w:pPr>
      <w:r>
        <w:t>6. Solution Overview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Solution vision</w:t>
      </w:r>
    </w:p>
    <w:p>
      <w:pPr>
        <w:pStyle w:val="ListBullet"/>
      </w:pPr>
      <w:r>
        <w:t>Capability map</w:t>
      </w:r>
    </w:p>
    <w:p>
      <w:pPr>
        <w:pStyle w:val="ListBullet"/>
      </w:pPr>
      <w:r>
        <w:t>High-level workflow</w:t>
      </w:r>
    </w:p>
    <w:p/>
    <w:p>
      <w:pPr>
        <w:pStyle w:val="Heading2"/>
      </w:pPr>
      <w:r>
        <w:t>7. Solution Architecture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Architecture overview</w:t>
      </w:r>
    </w:p>
    <w:p>
      <w:pPr>
        <w:pStyle w:val="ListBullet"/>
      </w:pPr>
      <w:r>
        <w:t>Application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Integration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Deployment architecture</w:t>
      </w:r>
    </w:p>
    <w:p/>
    <w:p>
      <w:pPr>
        <w:pStyle w:val="Heading2"/>
      </w:pPr>
      <w:r>
        <w:t>8. Non-Functional Requirements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Compliance</w:t>
      </w:r>
    </w:p>
    <w:p/>
    <w:p>
      <w:pPr>
        <w:pStyle w:val="Heading2"/>
      </w:pPr>
      <w:r>
        <w:t>9. DevOps &amp; Release Management</w:t>
      </w:r>
    </w:p>
    <w:p>
      <w:r>
        <w:t>Classification: STANDARD CORE + PROJECT ADAPTATION</w:t>
      </w:r>
    </w:p>
    <w:p>
      <w:r>
        <w:t>Includes:</w:t>
      </w:r>
    </w:p>
    <w:p>
      <w:pPr>
        <w:pStyle w:val="ListBullet"/>
      </w:pPr>
      <w:r>
        <w:t>CI/CD framework</w:t>
      </w:r>
    </w:p>
    <w:p>
      <w:pPr>
        <w:pStyle w:val="ListBullet"/>
      </w:pPr>
      <w:r>
        <w:t>Environment promotion</w:t>
      </w:r>
    </w:p>
    <w:p>
      <w:pPr>
        <w:pStyle w:val="ListBullet"/>
      </w:pPr>
      <w:r>
        <w:t>Rollback strategy</w:t>
      </w:r>
    </w:p>
    <w:p>
      <w:pPr>
        <w:pStyle w:val="ListBullet"/>
      </w:pPr>
      <w:r>
        <w:t>Project-specific tooling</w:t>
      </w:r>
    </w:p>
    <w:p/>
    <w:p>
      <w:pPr>
        <w:pStyle w:val="Heading2"/>
      </w:pPr>
      <w:r>
        <w:t>10. Delivery Approach</w:t>
      </w:r>
    </w:p>
    <w:p>
      <w:r>
        <w:t>Classification: STANDARD CORE + PROJECT ADAPTATION</w:t>
      </w:r>
    </w:p>
    <w:p>
      <w:r>
        <w:t>Includes:</w:t>
      </w:r>
    </w:p>
    <w:p>
      <w:pPr>
        <w:pStyle w:val="ListBullet"/>
      </w:pPr>
      <w:r>
        <w:t>Engagement model</w:t>
      </w:r>
    </w:p>
    <w:p>
      <w:pPr>
        <w:pStyle w:val="ListBullet"/>
      </w:pPr>
      <w:r>
        <w:t>Phased implementation plan</w:t>
      </w:r>
    </w:p>
    <w:p>
      <w:pPr>
        <w:pStyle w:val="ListBullet"/>
      </w:pPr>
      <w:r>
        <w:t>Governance model</w:t>
      </w:r>
    </w:p>
    <w:p>
      <w:pPr>
        <w:pStyle w:val="ListBullet"/>
      </w:pPr>
      <w:r>
        <w:t>Communication cadence</w:t>
      </w:r>
    </w:p>
    <w:p/>
    <w:p>
      <w:pPr>
        <w:pStyle w:val="Heading2"/>
      </w:pPr>
      <w:r>
        <w:t>11. Project Plan &amp; Milestones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Phase breakdown</w:t>
      </w:r>
    </w:p>
    <w:p>
      <w:pPr>
        <w:pStyle w:val="ListBullet"/>
      </w:pPr>
      <w:r>
        <w:t>Timeline</w:t>
      </w:r>
    </w:p>
    <w:p>
      <w:pPr>
        <w:pStyle w:val="ListBullet"/>
      </w:pPr>
      <w:r>
        <w:t>Key deliverables</w:t>
      </w:r>
    </w:p>
    <w:p/>
    <w:p>
      <w:pPr>
        <w:pStyle w:val="Heading2"/>
      </w:pPr>
      <w:r>
        <w:t>12. Team Structure</w:t>
      </w:r>
    </w:p>
    <w:p>
      <w:r>
        <w:t>Classification: STANDARD CORE + PROJECT ALLOCATION</w:t>
      </w:r>
    </w:p>
    <w:p>
      <w:r>
        <w:t>Includes:</w:t>
      </w:r>
    </w:p>
    <w:p>
      <w:pPr>
        <w:pStyle w:val="ListBullet"/>
      </w:pPr>
      <w:r>
        <w:t>Role descriptions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Project-specific allocation</w:t>
      </w:r>
    </w:p>
    <w:p/>
    <w:p>
      <w:pPr>
        <w:pStyle w:val="Heading2"/>
      </w:pPr>
      <w:r>
        <w:t>13. Quality Assurance Framework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Testing strategy</w:t>
      </w:r>
    </w:p>
    <w:p>
      <w:pPr>
        <w:pStyle w:val="ListBullet"/>
      </w:pPr>
      <w:r>
        <w:t>Defect lifecycle</w:t>
      </w:r>
    </w:p>
    <w:p>
      <w:pPr>
        <w:pStyle w:val="ListBullet"/>
      </w:pPr>
      <w:r>
        <w:t>Release gating</w:t>
      </w:r>
    </w:p>
    <w:p/>
    <w:p>
      <w:pPr>
        <w:pStyle w:val="Heading2"/>
      </w:pPr>
      <w:r>
        <w:t>14. Data Migration Strategy</w:t>
      </w:r>
    </w:p>
    <w:p>
      <w:r>
        <w:t>Classification: CONDITIONAL – PROJECT-SPECIFIC</w:t>
      </w:r>
    </w:p>
    <w:p>
      <w:r>
        <w:t>Includes:</w:t>
      </w:r>
    </w:p>
    <w:p>
      <w:pPr>
        <w:pStyle w:val="ListBullet"/>
      </w:pPr>
      <w:r>
        <w:t>Migration approach</w:t>
      </w:r>
    </w:p>
    <w:p>
      <w:pPr>
        <w:pStyle w:val="ListBullet"/>
      </w:pPr>
      <w:r>
        <w:t>Validation</w:t>
      </w:r>
    </w:p>
    <w:p>
      <w:pPr>
        <w:pStyle w:val="ListBullet"/>
      </w:pPr>
      <w:r>
        <w:t>Cutover plan</w:t>
      </w:r>
    </w:p>
    <w:p>
      <w:pPr>
        <w:pStyle w:val="ListBullet"/>
      </w:pPr>
      <w:r>
        <w:t>Rollback plan</w:t>
      </w:r>
    </w:p>
    <w:p/>
    <w:p>
      <w:pPr>
        <w:pStyle w:val="Heading2"/>
      </w:pPr>
      <w:r>
        <w:t>15. Risk Management</w:t>
      </w:r>
    </w:p>
    <w:p>
      <w:r>
        <w:t>Classification: STANDARD FRAMEWORK + PROJECT RISKS</w:t>
      </w:r>
    </w:p>
    <w:p>
      <w:r>
        <w:t>Includes:</w:t>
      </w:r>
    </w:p>
    <w:p>
      <w:pPr>
        <w:pStyle w:val="ListBullet"/>
      </w:pPr>
      <w:r>
        <w:t>Risk methodology</w:t>
      </w:r>
    </w:p>
    <w:p>
      <w:pPr>
        <w:pStyle w:val="ListBullet"/>
      </w:pPr>
      <w:r>
        <w:t>Project-specific risks</w:t>
      </w:r>
    </w:p>
    <w:p>
      <w:pPr>
        <w:pStyle w:val="ListBullet"/>
      </w:pPr>
      <w:r>
        <w:t>Mitigation strategies</w:t>
      </w:r>
    </w:p>
    <w:p/>
    <w:p>
      <w:pPr>
        <w:pStyle w:val="Heading2"/>
      </w:pPr>
      <w:r>
        <w:t>16. Change Management Process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Change request submission</w:t>
      </w:r>
    </w:p>
    <w:p>
      <w:pPr>
        <w:pStyle w:val="ListBullet"/>
      </w:pPr>
      <w:r>
        <w:t>Impact analysis</w:t>
      </w:r>
    </w:p>
    <w:p>
      <w:pPr>
        <w:pStyle w:val="ListBullet"/>
      </w:pPr>
      <w:r>
        <w:t>Commercial approval</w:t>
      </w:r>
    </w:p>
    <w:p>
      <w:pPr>
        <w:pStyle w:val="ListBullet"/>
      </w:pPr>
      <w:r>
        <w:t>Scheduling</w:t>
      </w:r>
    </w:p>
    <w:p/>
    <w:p>
      <w:pPr>
        <w:pStyle w:val="Heading2"/>
      </w:pPr>
      <w:r>
        <w:t>17. Security &amp; Compliance Controls</w:t>
      </w:r>
    </w:p>
    <w:p>
      <w:r>
        <w:t>Classification: STANDARD CORE + PROJECT ADAPTATION</w:t>
      </w:r>
    </w:p>
    <w:p>
      <w:r>
        <w:t>Includes:</w:t>
      </w:r>
    </w:p>
    <w:p>
      <w:pPr>
        <w:pStyle w:val="ListBullet"/>
      </w:pPr>
      <w:r>
        <w:t>Access control model</w:t>
      </w:r>
    </w:p>
    <w:p>
      <w:pPr>
        <w:pStyle w:val="ListBullet"/>
      </w:pPr>
      <w:r>
        <w:t>Encryption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Project-specific regulatory alignment</w:t>
      </w:r>
    </w:p>
    <w:p/>
    <w:p>
      <w:pPr>
        <w:pStyle w:val="Heading2"/>
      </w:pPr>
      <w:r>
        <w:t>18. Documentation &amp; Knowledge Transfer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Architecture documentation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KT sessions</w:t>
      </w:r>
    </w:p>
    <w:p/>
    <w:p>
      <w:pPr>
        <w:pStyle w:val="Heading2"/>
      </w:pPr>
      <w:r>
        <w:t>19. Support &amp; Warranty Model</w:t>
      </w:r>
    </w:p>
    <w:p>
      <w:r>
        <w:t>Classification: STANDARD CORE + PROJECT TERMS</w:t>
      </w:r>
    </w:p>
    <w:p>
      <w:r>
        <w:t>Includes:</w:t>
      </w:r>
    </w:p>
    <w:p>
      <w:pPr>
        <w:pStyle w:val="ListBullet"/>
      </w:pPr>
      <w:r>
        <w:t>Support structure</w:t>
      </w:r>
    </w:p>
    <w:p>
      <w:pPr>
        <w:pStyle w:val="ListBullet"/>
      </w:pPr>
      <w:r>
        <w:t>SLA (if applicable)</w:t>
      </w:r>
    </w:p>
    <w:p>
      <w:pPr>
        <w:pStyle w:val="ListBullet"/>
      </w:pPr>
      <w:r>
        <w:t>Escalation process</w:t>
      </w:r>
    </w:p>
    <w:p>
      <w:pPr>
        <w:pStyle w:val="ListBullet"/>
      </w:pPr>
      <w:r>
        <w:t>Project-specific duration</w:t>
      </w:r>
    </w:p>
    <w:p/>
    <w:p>
      <w:pPr>
        <w:pStyle w:val="Heading2"/>
      </w:pPr>
      <w:r>
        <w:t>20. Commercial Proposal</w:t>
      </w:r>
    </w:p>
    <w:p>
      <w:r>
        <w:t>Classification: PROJECT-SPECIFIC</w:t>
      </w:r>
    </w:p>
    <w:p>
      <w:r>
        <w:t>Includes:</w:t>
      </w:r>
    </w:p>
    <w:p>
      <w:pPr>
        <w:pStyle w:val="ListBullet"/>
      </w:pPr>
      <w:r>
        <w:t>Pricing structure</w:t>
      </w:r>
    </w:p>
    <w:p>
      <w:pPr>
        <w:pStyle w:val="ListBullet"/>
      </w:pPr>
      <w:r>
        <w:t>Milestone payment plan</w:t>
      </w:r>
    </w:p>
    <w:p>
      <w:pPr>
        <w:pStyle w:val="ListBullet"/>
      </w:pPr>
      <w:r>
        <w:t>Assumptions</w:t>
      </w:r>
    </w:p>
    <w:p>
      <w:pPr>
        <w:pStyle w:val="ListBullet"/>
      </w:pPr>
      <w:r>
        <w:t>Change billing model</w:t>
      </w:r>
    </w:p>
    <w:p/>
    <w:p>
      <w:pPr>
        <w:pStyle w:val="Heading2"/>
      </w:pPr>
      <w:r>
        <w:t>21. Legal &amp; Contractual Terms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IP ownership</w:t>
      </w:r>
    </w:p>
    <w:p>
      <w:pPr>
        <w:pStyle w:val="ListBullet"/>
      </w:pPr>
      <w:r>
        <w:t>Liability limitations</w:t>
      </w:r>
    </w:p>
    <w:p>
      <w:pPr>
        <w:pStyle w:val="ListBullet"/>
      </w:pPr>
      <w:r>
        <w:t>Termination terms</w:t>
      </w:r>
    </w:p>
    <w:p>
      <w:pPr>
        <w:pStyle w:val="ListBullet"/>
      </w:pPr>
      <w:r>
        <w:t>Validity period</w:t>
      </w:r>
    </w:p>
    <w:p/>
    <w:p>
      <w:pPr>
        <w:pStyle w:val="Heading2"/>
      </w:pPr>
      <w:r>
        <w:t>22. About Metapointer</w:t>
      </w:r>
    </w:p>
    <w:p>
      <w:r>
        <w:t>Classification: STANDARD</w:t>
      </w:r>
    </w:p>
    <w:p>
      <w:r>
        <w:t>Includes:</w:t>
      </w:r>
    </w:p>
    <w:p>
      <w:pPr>
        <w:pStyle w:val="ListBullet"/>
      </w:pPr>
      <w:r>
        <w:t>Company overview</w:t>
      </w:r>
    </w:p>
    <w:p>
      <w:pPr>
        <w:pStyle w:val="ListBullet"/>
      </w:pPr>
      <w:r>
        <w:t>Technical capability</w:t>
      </w:r>
    </w:p>
    <w:p>
      <w:pPr>
        <w:pStyle w:val="ListBullet"/>
      </w:pPr>
      <w:r>
        <w:t>Delivery governance</w:t>
      </w:r>
    </w:p>
    <w:p>
      <w:pPr>
        <w:pStyle w:val="ListBullet"/>
      </w:pPr>
      <w:r>
        <w:t>Relevant experience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