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0"/>
        </w:rPr>
        <w:t>AP SUPPLIER PORTAL</w:t>
      </w:r>
    </w:p>
    <w:p>
      <w:pPr>
        <w:jc w:val="center"/>
      </w:pPr>
      <w:r>
        <w:rPr>
          <w:b/>
          <w:color w:val="003366"/>
          <w:sz w:val="40"/>
        </w:rPr>
        <w:t>TECHNICAL SPECIFICATIONS</w:t>
      </w:r>
    </w:p>
    <w:p/>
    <w:p>
      <w:pPr>
        <w:jc w:val="center"/>
      </w:pPr>
      <w:r>
        <w:rPr>
          <w:color w:val="646464"/>
          <w:sz w:val="24"/>
        </w:rPr>
        <w:t>HighRadius Corporation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Document</w:t>
            </w:r>
          </w:p>
        </w:tc>
        <w:tc>
          <w:tcPr>
            <w:tcW w:type="dxa" w:w="4320"/>
          </w:tcPr>
          <w:p>
            <w:r>
              <w:rPr>
                <w:sz w:val="20"/>
              </w:rPr>
              <w:t>Technical Specifications</w:t>
            </w:r>
          </w:p>
        </w:tc>
      </w:tr>
      <w:tr>
        <w:tc>
          <w:tcPr>
            <w:tcW w:type="dxa" w:w="4320"/>
          </w:tcPr>
          <w:p>
            <w:r>
              <w:rPr>
                <w:sz w:val="20"/>
              </w:rPr>
              <w:t>Version</w:t>
            </w:r>
          </w:p>
        </w:tc>
        <w:tc>
          <w:tcPr>
            <w:tcW w:type="dxa" w:w="4320"/>
          </w:tcPr>
          <w:p>
            <w:r>
              <w:rPr>
                <w:sz w:val="20"/>
              </w:rPr>
              <w:t>3.3</w:t>
            </w:r>
          </w:p>
        </w:tc>
      </w:tr>
      <w:tr>
        <w:tc>
          <w:tcPr>
            <w:tcW w:type="dxa" w:w="4320"/>
          </w:tcPr>
          <w:p>
            <w:r>
              <w:rPr>
                <w:sz w:val="20"/>
              </w:rPr>
              <w:t>Date</w:t>
            </w:r>
          </w:p>
        </w:tc>
        <w:tc>
          <w:tcPr>
            <w:tcW w:type="dxa" w:w="4320"/>
          </w:tcPr>
          <w:p>
            <w:r>
              <w:rPr>
                <w:sz w:val="20"/>
              </w:rPr>
              <w:t>February 28, 2026</w:t>
            </w:r>
          </w:p>
        </w:tc>
      </w:tr>
      <w:tr>
        <w:tc>
          <w:tcPr>
            <w:tcW w:type="dxa" w:w="4320"/>
          </w:tcPr>
          <w:p>
            <w:r>
              <w:rPr>
                <w:sz w:val="20"/>
              </w:rPr>
              <w:t>Client</w:t>
            </w:r>
          </w:p>
        </w:tc>
        <w:tc>
          <w:tcPr>
            <w:tcW w:type="dxa" w:w="4320"/>
          </w:tcPr>
          <w:p>
            <w:r>
              <w:rPr>
                <w:sz w:val="20"/>
              </w:rPr>
              <w:t>HighRadius Corporation</w:t>
            </w:r>
          </w:p>
        </w:tc>
      </w:tr>
      <w:tr>
        <w:tc>
          <w:tcPr>
            <w:tcW w:type="dxa" w:w="4320"/>
          </w:tcPr>
          <w:p>
            <w:r>
              <w:rPr>
                <w:sz w:val="20"/>
              </w:rPr>
              <w:t>Project</w:t>
            </w:r>
          </w:p>
        </w:tc>
        <w:tc>
          <w:tcPr>
            <w:tcW w:type="dxa" w:w="4320"/>
          </w:tcPr>
          <w:p>
            <w:r>
              <w:rPr>
                <w:sz w:val="20"/>
              </w:rPr>
              <w:t>AP Supplier Portal Development &amp; Deployment</w:t>
            </w:r>
          </w:p>
        </w:tc>
      </w:tr>
      <w:tr>
        <w:tc>
          <w:tcPr>
            <w:tcW w:type="dxa" w:w="4320"/>
          </w:tcPr>
          <w:p>
            <w:r>
              <w:rPr>
                <w:sz w:val="20"/>
              </w:rPr>
              <w:t>Service Provider</w:t>
            </w:r>
          </w:p>
        </w:tc>
        <w:tc>
          <w:tcPr>
            <w:tcW w:type="dxa" w:w="4320"/>
          </w:tcPr>
          <w:p>
            <w:r>
              <w:rPr>
                <w:sz w:val="20"/>
              </w:rPr>
              <w:t>Metapointer</w:t>
            </w:r>
          </w:p>
        </w:tc>
      </w:tr>
      <w:tr>
        <w:tc>
          <w:tcPr>
            <w:tcW w:type="dxa" w:w="4320"/>
          </w:tcPr>
          <w:p>
            <w:r>
              <w:rPr>
                <w:sz w:val="20"/>
              </w:rPr>
              <w:t>Status</w:t>
            </w:r>
          </w:p>
        </w:tc>
        <w:tc>
          <w:tcPr>
            <w:tcW w:type="dxa" w:w="4320"/>
          </w:tcPr>
          <w:p>
            <w:r>
              <w:rPr>
                <w:sz w:val="20"/>
              </w:rPr>
              <w:t>READY FOR SUBMISSION</w:t>
            </w:r>
          </w:p>
        </w:tc>
      </w:tr>
    </w:tbl>
    <w:p/>
    <w:p>
      <w:r>
        <w:br w:type="page"/>
      </w:r>
    </w:p>
    <w:p>
      <w:pPr>
        <w:pStyle w:val="Heading1"/>
      </w:pPr>
      <w:r>
        <w:t>Table of Contents</w:t>
      </w:r>
    </w:p>
    <w:p/>
    <w:p>
      <w:pPr>
        <w:spacing w:after="40"/>
      </w:pPr>
      <w:r>
        <w:t>1. Solution Architecture</w:t>
      </w:r>
    </w:p>
    <w:p>
      <w:pPr>
        <w:spacing w:after="40"/>
      </w:pPr>
      <w:r>
        <w:t>2. Security &amp; Compliance Controls</w:t>
      </w:r>
    </w:p>
    <w:p>
      <w:pPr>
        <w:spacing w:after="40"/>
      </w:pPr>
      <w:r>
        <w:t>3. Data Migration Strategy</w:t>
      </w:r>
    </w:p>
    <w:p>
      <w:pPr>
        <w:spacing w:after="40"/>
      </w:pPr>
      <w:r>
        <w:t>4. Quality Assurance Framework</w:t>
      </w:r>
    </w:p>
    <w:p>
      <w:r>
        <w:br w:type="page"/>
      </w:r>
    </w:p>
    <w:p>
      <w:pPr>
        <w:pStyle w:val="Heading1"/>
      </w:pPr>
      <w:r>
        <w:t>1. SOLUTION ARCHITECTURE</w:t>
      </w:r>
    </w:p>
    <w:p>
      <w:r>
        <w:rPr>
          <w:i/>
          <w:color w:val="646464"/>
          <w:sz w:val="18"/>
        </w:rPr>
        <w:t>Classification: PROJECT-SPECIFIC</w:t>
      </w:r>
    </w:p>
    <w:p>
      <w:pPr>
        <w:pStyle w:val="Heading2"/>
      </w:pPr>
      <w:r>
        <w:t>1.1 Architecture Overview</w:t>
      </w:r>
    </w:p>
    <w:p>
      <w:r>
        <w:t>The architecture follows a modular, layered approach designed to meet HighRadius NFRs: sub-3-second API responses, 100% multi-tenant data isolation, containerized G4 deployment, and Keycloak-based authentication. Clear separation between presentation, API gateway, service, integration, and data layers ensures maintainability and independent scalability.</w:t>
      </w:r>
    </w:p>
    <w:p>
      <w:pPr>
        <w:ind w:left="283"/>
      </w:pPr>
      <w:r>
        <w:rPr>
          <w:sz w:val="20"/>
        </w:rPr>
        <w:t>*For detailed architecture diagrams (E2E process flow, system architecture, onboarding sequence, PO-to-invoice sequence, agent trigger map, security IAM flow, multi-tenant isolation, error handling), refer to `Supplier_Portal_Architecture_Diagrams.md` and the `mermaid/` directory.*</w:t>
      </w:r>
    </w:p>
    <w:p>
      <w:pPr>
        <w:pStyle w:val="Heading2"/>
      </w:pPr>
      <w:r>
        <w:t>1.2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Details</w:t>
            </w:r>
          </w:p>
        </w:tc>
      </w:tr>
      <w:tr>
        <w:tc>
          <w:tcPr>
            <w:tcW w:type="dxa" w:w="2880"/>
          </w:tcPr>
          <w:p>
            <w:r>
              <w:rPr>
                <w:sz w:val="20"/>
              </w:rPr>
              <w:t>Presentation</w:t>
            </w:r>
          </w:p>
        </w:tc>
        <w:tc>
          <w:tcPr>
            <w:tcW w:type="dxa" w:w="2880"/>
          </w:tcPr>
          <w:p>
            <w:r>
              <w:rPr>
                <w:sz w:val="20"/>
              </w:rPr>
              <w:t>React 18.x + G4 DSL</w:t>
            </w:r>
          </w:p>
        </w:tc>
        <w:tc>
          <w:tcPr>
            <w:tcW w:type="dxa" w:w="2880"/>
          </w:tcPr>
          <w:p>
            <w:r>
              <w:rPr>
                <w:sz w:val="20"/>
              </w:rPr>
              <w:t>HighRadius Design System, WCAG 2.0 AA, virtual scrolling</w:t>
            </w:r>
          </w:p>
        </w:tc>
      </w:tr>
      <w:tr>
        <w:tc>
          <w:tcPr>
            <w:tcW w:type="dxa" w:w="2880"/>
          </w:tcPr>
          <w:p>
            <w:r>
              <w:rPr>
                <w:sz w:val="20"/>
              </w:rPr>
              <w:t>API Gateway</w:t>
            </w:r>
          </w:p>
        </w:tc>
        <w:tc>
          <w:tcPr>
            <w:tcW w:type="dxa" w:w="2880"/>
          </w:tcPr>
          <w:p>
            <w:r>
              <w:rPr>
                <w:sz w:val="20"/>
              </w:rPr>
              <w:t>G4 Platform Gateway</w:t>
            </w:r>
          </w:p>
        </w:tc>
        <w:tc>
          <w:tcPr>
            <w:tcW w:type="dxa" w:w="2880"/>
          </w:tcPr>
          <w:p>
            <w:r>
              <w:rPr>
                <w:sz w:val="20"/>
              </w:rPr>
              <w:t>JWT validation, tenant context injection, rate limiting</w:t>
            </w:r>
          </w:p>
        </w:tc>
      </w:tr>
      <w:tr>
        <w:tc>
          <w:tcPr>
            <w:tcW w:type="dxa" w:w="2880"/>
          </w:tcPr>
          <w:p>
            <w:r>
              <w:rPr>
                <w:sz w:val="20"/>
              </w:rPr>
              <w:t>Service</w:t>
            </w:r>
          </w:p>
        </w:tc>
        <w:tc>
          <w:tcPr>
            <w:tcW w:type="dxa" w:w="2880"/>
          </w:tcPr>
          <w:p>
            <w:r>
              <w:rPr>
                <w:sz w:val="20"/>
              </w:rPr>
              <w:t>Spring Boot 3.x (Java 17+)</w:t>
            </w:r>
          </w:p>
        </w:tc>
        <w:tc>
          <w:tcPr>
            <w:tcW w:type="dxa" w:w="2880"/>
          </w:tcPr>
          <w:p>
            <w:r>
              <w:rPr>
                <w:sz w:val="20"/>
              </w:rPr>
              <w:t>Stateless microservices, horizontal scaling</w:t>
            </w:r>
          </w:p>
        </w:tc>
      </w:tr>
      <w:tr>
        <w:tc>
          <w:tcPr>
            <w:tcW w:type="dxa" w:w="2880"/>
          </w:tcPr>
          <w:p>
            <w:r>
              <w:rPr>
                <w:sz w:val="20"/>
              </w:rPr>
              <w:t>Database</w:t>
            </w:r>
          </w:p>
        </w:tc>
        <w:tc>
          <w:tcPr>
            <w:tcW w:type="dxa" w:w="2880"/>
          </w:tcPr>
          <w:p>
            <w:r>
              <w:rPr>
                <w:sz w:val="20"/>
              </w:rPr>
              <w:t>PostgreSQL (OLAP)</w:t>
            </w:r>
          </w:p>
        </w:tc>
        <w:tc>
          <w:tcPr>
            <w:tcW w:type="dxa" w:w="2880"/>
          </w:tcPr>
          <w:p>
            <w:r>
              <w:rPr>
                <w:sz w:val="20"/>
              </w:rPr>
              <w:t>Schema-per-tenant, row-level security</w:t>
            </w:r>
          </w:p>
        </w:tc>
      </w:tr>
      <w:tr>
        <w:tc>
          <w:tcPr>
            <w:tcW w:type="dxa" w:w="2880"/>
          </w:tcPr>
          <w:p>
            <w:r>
              <w:rPr>
                <w:sz w:val="20"/>
              </w:rPr>
              <w:t>Caching</w:t>
            </w:r>
          </w:p>
        </w:tc>
        <w:tc>
          <w:tcPr>
            <w:tcW w:type="dxa" w:w="2880"/>
          </w:tcPr>
          <w:p>
            <w:r>
              <w:rPr>
                <w:sz w:val="20"/>
              </w:rPr>
              <w:t>Redis</w:t>
            </w:r>
          </w:p>
        </w:tc>
        <w:tc>
          <w:tcPr>
            <w:tcW w:type="dxa" w:w="2880"/>
          </w:tcPr>
          <w:p>
            <w:r>
              <w:rPr>
                <w:sz w:val="20"/>
              </w:rPr>
              <w:t>Session management, configuration lookups</w:t>
            </w:r>
          </w:p>
        </w:tc>
      </w:tr>
      <w:tr>
        <w:tc>
          <w:tcPr>
            <w:tcW w:type="dxa" w:w="2880"/>
          </w:tcPr>
          <w:p>
            <w:r>
              <w:rPr>
                <w:sz w:val="20"/>
              </w:rPr>
              <w:t>Security</w:t>
            </w:r>
          </w:p>
        </w:tc>
        <w:tc>
          <w:tcPr>
            <w:tcW w:type="dxa" w:w="2880"/>
          </w:tcPr>
          <w:p>
            <w:r>
              <w:rPr>
                <w:sz w:val="20"/>
              </w:rPr>
              <w:t>Keycloak IAM</w:t>
            </w:r>
          </w:p>
        </w:tc>
        <w:tc>
          <w:tcPr>
            <w:tcW w:type="dxa" w:w="2880"/>
          </w:tcPr>
          <w:p>
            <w:r>
              <w:rPr>
                <w:sz w:val="20"/>
              </w:rPr>
              <w:t>OIDC/JWT, SSO, RBAC/ABAC</w:t>
            </w:r>
          </w:p>
        </w:tc>
      </w:tr>
      <w:tr>
        <w:tc>
          <w:tcPr>
            <w:tcW w:type="dxa" w:w="2880"/>
          </w:tcPr>
          <w:p>
            <w:r>
              <w:rPr>
                <w:sz w:val="20"/>
              </w:rPr>
              <w:t>Secrets</w:t>
            </w:r>
          </w:p>
        </w:tc>
        <w:tc>
          <w:tcPr>
            <w:tcW w:type="dxa" w:w="2880"/>
          </w:tcPr>
          <w:p>
            <w:r>
              <w:rPr>
                <w:sz w:val="20"/>
              </w:rPr>
              <w:t>HashiCorp Vault</w:t>
            </w:r>
          </w:p>
        </w:tc>
        <w:tc>
          <w:tcPr>
            <w:tcW w:type="dxa" w:w="2880"/>
          </w:tcPr>
          <w:p>
            <w:r>
              <w:rPr>
                <w:sz w:val="20"/>
              </w:rPr>
              <w:t>Dynamic secrets, credential rotation</w:t>
            </w:r>
          </w:p>
        </w:tc>
      </w:tr>
      <w:tr>
        <w:tc>
          <w:tcPr>
            <w:tcW w:type="dxa" w:w="2880"/>
          </w:tcPr>
          <w:p>
            <w:r>
              <w:rPr>
                <w:sz w:val="20"/>
              </w:rPr>
              <w:t>Encryption</w:t>
            </w:r>
          </w:p>
        </w:tc>
        <w:tc>
          <w:tcPr>
            <w:tcW w:type="dxa" w:w="2880"/>
          </w:tcPr>
          <w:p>
            <w:r>
              <w:rPr>
                <w:sz w:val="20"/>
              </w:rPr>
              <w:t>TLS 1.3 / AES-256</w:t>
            </w:r>
          </w:p>
        </w:tc>
        <w:tc>
          <w:tcPr>
            <w:tcW w:type="dxa" w:w="2880"/>
          </w:tcPr>
          <w:p>
            <w:r>
              <w:rPr>
                <w:sz w:val="20"/>
              </w:rPr>
              <w:t>In-transit and at-rest</w:t>
            </w:r>
          </w:p>
        </w:tc>
      </w:tr>
      <w:tr>
        <w:tc>
          <w:tcPr>
            <w:tcW w:type="dxa" w:w="2880"/>
          </w:tcPr>
          <w:p>
            <w:r>
              <w:rPr>
                <w:sz w:val="20"/>
              </w:rPr>
              <w:t>Deployment</w:t>
            </w:r>
          </w:p>
        </w:tc>
        <w:tc>
          <w:tcPr>
            <w:tcW w:type="dxa" w:w="2880"/>
          </w:tcPr>
          <w:p>
            <w:r>
              <w:rPr>
                <w:sz w:val="20"/>
              </w:rPr>
              <w:t>Docker, Kubernetes, Helm</w:t>
            </w:r>
          </w:p>
        </w:tc>
        <w:tc>
          <w:tcPr>
            <w:tcW w:type="dxa" w:w="2880"/>
          </w:tcPr>
          <w:p>
            <w:r>
              <w:rPr>
                <w:sz w:val="20"/>
              </w:rPr>
              <w:t>G4 containerized environment</w:t>
            </w:r>
          </w:p>
        </w:tc>
      </w:tr>
      <w:tr>
        <w:tc>
          <w:tcPr>
            <w:tcW w:type="dxa" w:w="2880"/>
          </w:tcPr>
          <w:p>
            <w:r>
              <w:rPr>
                <w:sz w:val="20"/>
              </w:rPr>
              <w:t>CI/CD</w:t>
            </w:r>
          </w:p>
        </w:tc>
        <w:tc>
          <w:tcPr>
            <w:tcW w:type="dxa" w:w="2880"/>
          </w:tcPr>
          <w:p>
            <w:r>
              <w:rPr>
                <w:sz w:val="20"/>
              </w:rPr>
              <w:t>Per HighRadius practices</w:t>
            </w:r>
          </w:p>
        </w:tc>
        <w:tc>
          <w:tcPr>
            <w:tcW w:type="dxa" w:w="2880"/>
          </w:tcPr>
          <w:p>
            <w:r>
              <w:rPr>
                <w:sz w:val="20"/>
              </w:rPr>
              <w:t>RFP Section 5 mandate</w:t>
            </w:r>
          </w:p>
        </w:tc>
      </w:tr>
      <w:tr>
        <w:tc>
          <w:tcPr>
            <w:tcW w:type="dxa" w:w="2880"/>
          </w:tcPr>
          <w:p>
            <w:r>
              <w:rPr>
                <w:sz w:val="20"/>
              </w:rPr>
              <w:t>Integration</w:t>
            </w:r>
          </w:p>
        </w:tc>
        <w:tc>
          <w:tcPr>
            <w:tcW w:type="dxa" w:w="2880"/>
          </w:tcPr>
          <w:p>
            <w:r>
              <w:rPr>
                <w:sz w:val="20"/>
              </w:rPr>
              <w:t>Adapter pattern</w:t>
            </w:r>
          </w:p>
        </w:tc>
        <w:tc>
          <w:tcPr>
            <w:tcW w:type="dxa" w:w="2880"/>
          </w:tcPr>
          <w:p>
            <w:r>
              <w:rPr>
                <w:sz w:val="20"/>
              </w:rPr>
              <w:t>Circuit breaker, retry, dead-letter queues</w:t>
            </w:r>
          </w:p>
        </w:tc>
      </w:tr>
      <w:tr>
        <w:tc>
          <w:tcPr>
            <w:tcW w:type="dxa" w:w="2880"/>
          </w:tcPr>
          <w:p>
            <w:r>
              <w:rPr>
                <w:sz w:val="20"/>
              </w:rPr>
              <w:t>Compliance</w:t>
            </w:r>
          </w:p>
        </w:tc>
        <w:tc>
          <w:tcPr>
            <w:tcW w:type="dxa" w:w="2880"/>
          </w:tcPr>
          <w:p>
            <w:r>
              <w:rPr>
                <w:sz w:val="20"/>
              </w:rPr>
              <w:t>OWASP Top 10, SOX/GDPR</w:t>
            </w:r>
          </w:p>
        </w:tc>
        <w:tc>
          <w:tcPr>
            <w:tcW w:type="dxa" w:w="2880"/>
          </w:tcPr>
          <w:p>
            <w:r>
              <w:rPr>
                <w:sz w:val="20"/>
              </w:rPr>
              <w:t>Immutable audit trails, 2-year retention</w:t>
            </w:r>
          </w:p>
        </w:tc>
      </w:tr>
    </w:tbl>
    <w:p/>
    <w:p>
      <w:pPr>
        <w:pStyle w:val="Heading2"/>
      </w:pPr>
      <w:r>
        <w:t>1.3 Application Architecture</w:t>
      </w:r>
    </w:p>
    <w:p>
      <w:pPr>
        <w:pStyle w:val="ListBullet"/>
      </w:pPr>
      <w:r/>
      <w:r>
        <w:rPr>
          <w:b/>
        </w:rPr>
        <w:t>Presentation Layer:</w:t>
      </w:r>
      <w:r>
        <w:t xml:space="preserve"> React 18.x + G4 DSL, responsive SPA with role-based routing, WCAG 2.0 AA compliance, ARIA tags, virtual scrolling</w:t>
      </w:r>
    </w:p>
    <w:p>
      <w:pPr>
        <w:pStyle w:val="ListBullet"/>
      </w:pPr>
      <w:r/>
      <w:r>
        <w:rPr>
          <w:b/>
        </w:rPr>
        <w:t>API Gateway:</w:t>
      </w:r>
      <w:r>
        <w:t xml:space="preserve"> Request routing, JWT validation, tenant context injection, rate limiting</w:t>
      </w:r>
    </w:p>
    <w:p>
      <w:pPr>
        <w:pStyle w:val="ListBullet"/>
      </w:pPr>
      <w:r/>
      <w:r>
        <w:rPr>
          <w:b/>
        </w:rPr>
        <w:t>Service Layer:</w:t>
      </w:r>
      <w:r>
        <w:t xml:space="preserve"> Spring Boot 3.x microservices with stateless design supporting horizontal scaling; workflow-driven business logic for onboarding, approvals, and invoice processing</w:t>
      </w:r>
    </w:p>
    <w:p>
      <w:pPr>
        <w:pStyle w:val="ListBullet"/>
      </w:pPr>
      <w:r/>
      <w:r>
        <w:rPr>
          <w:b/>
        </w:rPr>
        <w:t>Integration Layer:</w:t>
      </w:r>
      <w:r>
        <w:t xml:space="preserve"> Adapter pattern with circuit breaker, retry, and dead-letter queues for all external system communication</w:t>
      </w:r>
    </w:p>
    <w:p>
      <w:pPr>
        <w:pStyle w:val="Heading2"/>
      </w:pPr>
      <w:r>
        <w:t>1.4 Data Architecture</w:t>
      </w:r>
    </w:p>
    <w:p>
      <w:pPr>
        <w:pStyle w:val="ListBullet"/>
      </w:pPr>
      <w:r/>
      <w:r>
        <w:rPr>
          <w:b/>
        </w:rPr>
        <w:t>Multi-Tenancy Model:</w:t>
      </w:r>
      <w:r>
        <w:t xml:space="preserve"> Schema-per-tenant with shared infrastructure; each HighRadius customer gets an isolated PostgreSQL schema with row-level security policies</w:t>
      </w:r>
    </w:p>
    <w:p>
      <w:pPr>
        <w:pStyle w:val="ListBullet"/>
      </w:pPr>
      <w:r/>
      <w:r>
        <w:rPr>
          <w:b/>
        </w:rPr>
        <w:t>Common Schema:</w:t>
      </w:r>
      <w:r>
        <w:t xml:space="preserve"> Shared configuration (form templates, workflow definitions, i18n labels)</w:t>
      </w:r>
    </w:p>
    <w:p>
      <w:pPr>
        <w:pStyle w:val="ListBullet"/>
      </w:pPr>
      <w:r/>
      <w:r>
        <w:rPr>
          <w:b/>
        </w:rPr>
        <w:t>Tenant Resolution:</w:t>
      </w:r>
      <w:r>
        <w:t xml:space="preserve"> JWT claim (tenant_id extracted from Keycloak token) applied at middleware layer before any DB query</w:t>
      </w:r>
    </w:p>
    <w:p>
      <w:pPr>
        <w:pStyle w:val="ListBullet"/>
      </w:pPr>
      <w:r/>
      <w:r>
        <w:rPr>
          <w:b/>
        </w:rPr>
        <w:t>Core Entities:</w:t>
      </w:r>
      <w:r>
        <w:t xml:space="preserve"> Supplier, Invitation, Screening Result, Approval Workflow, Purchase Order, Invoice, Document, Audit Log</w:t>
      </w:r>
    </w:p>
    <w:p>
      <w:pPr>
        <w:pStyle w:val="ListBullet"/>
      </w:pPr>
      <w:r/>
      <w:r>
        <w:rPr>
          <w:b/>
        </w:rPr>
        <w:t>Strategy:</w:t>
      </w:r>
      <w:r>
        <w:t xml:space="preserve"> PostgreSQL OLAP with read replicas, Redis caching layer, immutable audit logs with 2-year retention</w:t>
      </w:r>
    </w:p>
    <w:p>
      <w:pPr>
        <w:pStyle w:val="Heading2"/>
      </w:pPr>
      <w:r>
        <w:t>1.5 Integration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External System</w:t>
            </w:r>
          </w:p>
        </w:tc>
        <w:tc>
          <w:tcPr>
            <w:tcW w:type="dxa" w:w="2880"/>
          </w:tcPr>
          <w:p>
            <w:r>
              <w:rPr>
                <w:b/>
                <w:sz w:val="20"/>
              </w:rPr>
              <w:t>Integration Method</w:t>
            </w:r>
          </w:p>
        </w:tc>
        <w:tc>
          <w:tcPr>
            <w:tcW w:type="dxa" w:w="2880"/>
          </w:tcPr>
          <w:p>
            <w:r>
              <w:rPr>
                <w:b/>
                <w:sz w:val="20"/>
              </w:rPr>
              <w:t>Ownership</w:t>
            </w:r>
          </w:p>
        </w:tc>
      </w:tr>
      <w:tr>
        <w:tc>
          <w:tcPr>
            <w:tcW w:type="dxa" w:w="2880"/>
          </w:tcPr>
          <w:p>
            <w:r>
              <w:rPr>
                <w:sz w:val="20"/>
              </w:rPr>
              <w:t>Keycloak IAM</w:t>
            </w:r>
          </w:p>
        </w:tc>
        <w:tc>
          <w:tcPr>
            <w:tcW w:type="dxa" w:w="2880"/>
          </w:tcPr>
          <w:p>
            <w:r>
              <w:rPr>
                <w:sz w:val="20"/>
              </w:rPr>
              <w:t>OIDC/SSO, JWT validation, RBAC</w:t>
            </w:r>
          </w:p>
        </w:tc>
        <w:tc>
          <w:tcPr>
            <w:tcW w:type="dxa" w:w="2880"/>
          </w:tcPr>
          <w:p>
            <w:r>
              <w:rPr>
                <w:sz w:val="20"/>
              </w:rPr>
              <w:t>HighRadius-owned; vendor integrates</w:t>
            </w:r>
          </w:p>
        </w:tc>
      </w:tr>
      <w:tr>
        <w:tc>
          <w:tcPr>
            <w:tcW w:type="dxa" w:w="2880"/>
          </w:tcPr>
          <w:p>
            <w:r>
              <w:rPr>
                <w:sz w:val="20"/>
              </w:rPr>
              <w:t>Screening Services (Address/TIN/Sanctions)</w:t>
            </w:r>
          </w:p>
        </w:tc>
        <w:tc>
          <w:tcPr>
            <w:tcW w:type="dxa" w:w="2880"/>
          </w:tcPr>
          <w:p>
            <w:r>
              <w:rPr>
                <w:sz w:val="20"/>
              </w:rPr>
              <w:t>REST API, parallel execution</w:t>
            </w:r>
          </w:p>
        </w:tc>
        <w:tc>
          <w:tcPr>
            <w:tcW w:type="dxa" w:w="2880"/>
          </w:tcPr>
          <w:p>
            <w:r>
              <w:rPr>
                <w:sz w:val="20"/>
              </w:rPr>
              <w:t>HighRadius-owned; vendor integrates</w:t>
            </w:r>
          </w:p>
        </w:tc>
      </w:tr>
      <w:tr>
        <w:tc>
          <w:tcPr>
            <w:tcW w:type="dxa" w:w="2880"/>
          </w:tcPr>
          <w:p>
            <w:r>
              <w:rPr>
                <w:sz w:val="20"/>
              </w:rPr>
              <w:t>Bank Validation Service</w:t>
            </w:r>
          </w:p>
        </w:tc>
        <w:tc>
          <w:tcPr>
            <w:tcW w:type="dxa" w:w="2880"/>
          </w:tcPr>
          <w:p>
            <w:r>
              <w:rPr>
                <w:sz w:val="20"/>
              </w:rPr>
              <w:t>REST API</w:t>
            </w:r>
          </w:p>
        </w:tc>
        <w:tc>
          <w:tcPr>
            <w:tcW w:type="dxa" w:w="2880"/>
          </w:tcPr>
          <w:p>
            <w:r>
              <w:rPr>
                <w:sz w:val="20"/>
              </w:rPr>
              <w:t>HighRadius-owned; vendor integrates</w:t>
            </w:r>
          </w:p>
        </w:tc>
      </w:tr>
      <w:tr>
        <w:tc>
          <w:tcPr>
            <w:tcW w:type="dxa" w:w="2880"/>
          </w:tcPr>
          <w:p>
            <w:r>
              <w:rPr>
                <w:sz w:val="20"/>
              </w:rPr>
              <w:t>ERP Systems (SAP/Oracle/NetSuite)</w:t>
            </w:r>
          </w:p>
        </w:tc>
        <w:tc>
          <w:tcPr>
            <w:tcW w:type="dxa" w:w="2880"/>
          </w:tcPr>
          <w:p>
            <w:r>
              <w:rPr>
                <w:sz w:val="20"/>
              </w:rPr>
              <w:t>REST API for PO import/invoice sync</w:t>
            </w:r>
          </w:p>
        </w:tc>
        <w:tc>
          <w:tcPr>
            <w:tcW w:type="dxa" w:w="2880"/>
          </w:tcPr>
          <w:p>
            <w:r>
              <w:rPr>
                <w:sz w:val="20"/>
              </w:rPr>
              <w:t>Vendor builds adapter/orchestration</w:t>
            </w:r>
          </w:p>
        </w:tc>
      </w:tr>
      <w:tr>
        <w:tc>
          <w:tcPr>
            <w:tcW w:type="dxa" w:w="2880"/>
          </w:tcPr>
          <w:p>
            <w:r>
              <w:rPr>
                <w:sz w:val="20"/>
              </w:rPr>
              <w:t>Document Storage</w:t>
            </w:r>
          </w:p>
        </w:tc>
        <w:tc>
          <w:tcPr>
            <w:tcW w:type="dxa" w:w="2880"/>
          </w:tcPr>
          <w:p>
            <w:r>
              <w:rPr>
                <w:sz w:val="20"/>
              </w:rPr>
              <w:t>S3-compatible API with virus scanning</w:t>
            </w:r>
          </w:p>
        </w:tc>
        <w:tc>
          <w:tcPr>
            <w:tcW w:type="dxa" w:w="2880"/>
          </w:tcPr>
          <w:p>
            <w:r>
              <w:rPr>
                <w:sz w:val="20"/>
              </w:rPr>
              <w:t>Vendor builds integration</w:t>
            </w:r>
          </w:p>
        </w:tc>
      </w:tr>
      <w:tr>
        <w:tc>
          <w:tcPr>
            <w:tcW w:type="dxa" w:w="2880"/>
          </w:tcPr>
          <w:p>
            <w:r>
              <w:rPr>
                <w:sz w:val="20"/>
              </w:rPr>
              <w:t>HashiCorp Vault</w:t>
            </w:r>
          </w:p>
        </w:tc>
        <w:tc>
          <w:tcPr>
            <w:tcW w:type="dxa" w:w="2880"/>
          </w:tcPr>
          <w:p>
            <w:r>
              <w:rPr>
                <w:sz w:val="20"/>
              </w:rPr>
              <w:t>Secrets management API</w:t>
            </w:r>
          </w:p>
        </w:tc>
        <w:tc>
          <w:tcPr>
            <w:tcW w:type="dxa" w:w="2880"/>
          </w:tcPr>
          <w:p>
            <w:r>
              <w:rPr>
                <w:sz w:val="20"/>
              </w:rPr>
              <w:t>HighRadius-provided; vendor integrates</w:t>
            </w:r>
          </w:p>
        </w:tc>
      </w:tr>
      <w:tr>
        <w:tc>
          <w:tcPr>
            <w:tcW w:type="dxa" w:w="2880"/>
          </w:tcPr>
          <w:p>
            <w:r>
              <w:rPr>
                <w:sz w:val="20"/>
              </w:rPr>
              <w:t>Notification Service</w:t>
            </w:r>
          </w:p>
        </w:tc>
        <w:tc>
          <w:tcPr>
            <w:tcW w:type="dxa" w:w="2880"/>
          </w:tcPr>
          <w:p>
            <w:r>
              <w:rPr>
                <w:sz w:val="20"/>
              </w:rPr>
              <w:t>Email/WebSocket for real-time alerts</w:t>
            </w:r>
          </w:p>
        </w:tc>
        <w:tc>
          <w:tcPr>
            <w:tcW w:type="dxa" w:w="2880"/>
          </w:tcPr>
          <w:p>
            <w:r>
              <w:rPr>
                <w:sz w:val="20"/>
              </w:rPr>
              <w:t>Vendor builds</w:t>
            </w:r>
          </w:p>
        </w:tc>
      </w:tr>
    </w:tbl>
    <w:p/>
    <w:p>
      <w:r>
        <w:t>All integrations use fault tolerance patterns: circuit breaker, exponential retry, dead-letter queues.</w:t>
      </w:r>
    </w:p>
    <w:p>
      <w:pPr>
        <w:pStyle w:val="Heading2"/>
      </w:pPr>
      <w:r>
        <w:t>1.6 Security Architecture</w:t>
      </w:r>
    </w:p>
    <w:p>
      <w:pPr>
        <w:pStyle w:val="ListBullet"/>
      </w:pPr>
      <w:r/>
      <w:r>
        <w:rPr>
          <w:b/>
        </w:rPr>
        <w:t>Authentication:</w:t>
      </w:r>
      <w:r>
        <w:t xml:space="preserve"> Keycloak SSO with OIDC/JWT; no request reaches business logic without validated token, tenant context, and role verification (zero-trust model)</w:t>
      </w:r>
    </w:p>
    <w:p>
      <w:pPr>
        <w:pStyle w:val="ListBullet"/>
      </w:pPr>
      <w:r/>
      <w:r>
        <w:rPr>
          <w:b/>
        </w:rPr>
        <w:t>Authorization:</w:t>
      </w:r>
      <w:r>
        <w:t xml:space="preserve"> Hybrid RBAC + ABAC — roles assigned in Keycloak (RBAC), runtime attributes for fine-grained control (ABAC)</w:t>
      </w:r>
    </w:p>
    <w:p>
      <w:pPr>
        <w:pStyle w:val="ListBullet"/>
      </w:pPr>
      <w:r/>
      <w:r>
        <w:rPr>
          <w:b/>
        </w:rPr>
        <w:t>Enforcement Points:</w:t>
      </w:r>
      <w:r>
        <w:t xml:space="preserve"> Frontend route guards → API Gateway JWT + RBAC middleware → Service Layer ABAC checks → Database tenant_id WHERE clause + row-level security → Audit logging of all decisions</w:t>
      </w:r>
    </w:p>
    <w:p>
      <w:pPr>
        <w:pStyle w:val="ListBullet"/>
      </w:pPr>
      <w:r/>
      <w:r>
        <w:rPr>
          <w:b/>
        </w:rPr>
        <w:t>Encryption:</w:t>
      </w:r>
      <w:r>
        <w:t xml:space="preserve"> TLS 1.3 in transit, AES-256 at rest</w:t>
      </w:r>
    </w:p>
    <w:p>
      <w:pPr>
        <w:pStyle w:val="ListBullet"/>
      </w:pPr>
      <w:r/>
      <w:r>
        <w:rPr>
          <w:b/>
        </w:rPr>
        <w:t>Secrets Management:</w:t>
      </w:r>
      <w:r>
        <w:t xml:space="preserve"> HashiCorp Vault for all credentials, API keys, certificates</w:t>
      </w:r>
    </w:p>
    <w:p>
      <w:pPr>
        <w:pStyle w:val="ListBullet"/>
      </w:pPr>
      <w:r/>
      <w:r>
        <w:rPr>
          <w:b/>
        </w:rPr>
        <w:t>Audit:</w:t>
      </w:r>
      <w:r>
        <w:t xml:space="preserve"> Immutable audit logs with full traceability — filterable by user, action, date; exportable for compliance</w:t>
      </w:r>
    </w:p>
    <w:p>
      <w:r>
        <w:rPr>
          <w:b/>
        </w:rPr>
        <w:t>Screen-Level Permission Matrix (29 Screens + 11 Modals):</w:t>
      </w:r>
    </w:p>
    <w:p>
      <w:r>
        <w:t xml:space="preserve">Permission levels: </w:t>
      </w:r>
      <w:r>
        <w:rPr>
          <w:b/>
        </w:rPr>
        <w:t>Full</w:t>
      </w:r>
      <w:r>
        <w:t xml:space="preserve"> = view + all actions | </w:t>
      </w:r>
      <w:r>
        <w:rPr>
          <w:b/>
        </w:rPr>
        <w:t>View</w:t>
      </w:r>
      <w:r>
        <w:t xml:space="preserve"> = read-only | </w:t>
      </w:r>
      <w:r>
        <w:rPr>
          <w:b/>
        </w:rPr>
        <w:t>None</w:t>
      </w:r>
      <w:r>
        <w:t xml:space="preserve"> = no access | </w:t>
      </w:r>
      <w:r>
        <w:rPr>
          <w:b/>
        </w:rPr>
        <w:t>Own</w:t>
      </w:r>
      <w:r>
        <w:t xml:space="preserve"> = own records only | </w:t>
      </w:r>
      <w:r>
        <w:rPr>
          <w:b/>
        </w:rPr>
        <w:t>Config</w:t>
      </w:r>
      <w:r>
        <w:t xml:space="preserve"> = configuration only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Screen / Area</w:t>
            </w:r>
          </w:p>
        </w:tc>
        <w:tc>
          <w:tcPr>
            <w:tcW w:type="dxa" w:w="1728"/>
          </w:tcPr>
          <w:p>
            <w:r>
              <w:rPr>
                <w:b/>
                <w:sz w:val="20"/>
              </w:rPr>
              <w:t>Supplier</w:t>
            </w:r>
          </w:p>
        </w:tc>
        <w:tc>
          <w:tcPr>
            <w:tcW w:type="dxa" w:w="1728"/>
          </w:tcPr>
          <w:p>
            <w:r>
              <w:rPr>
                <w:b/>
                <w:sz w:val="20"/>
              </w:rPr>
              <w:t>Supplier Manager</w:t>
            </w:r>
          </w:p>
        </w:tc>
        <w:tc>
          <w:tcPr>
            <w:tcW w:type="dxa" w:w="1728"/>
          </w:tcPr>
          <w:p>
            <w:r>
              <w:rPr>
                <w:b/>
                <w:sz w:val="20"/>
              </w:rPr>
              <w:t>Approver</w:t>
            </w:r>
          </w:p>
        </w:tc>
        <w:tc>
          <w:tcPr>
            <w:tcW w:type="dxa" w:w="1728"/>
          </w:tcPr>
          <w:p>
            <w:r>
              <w:rPr>
                <w:b/>
                <w:sz w:val="20"/>
              </w:rPr>
              <w:t>Admin</w:t>
            </w:r>
          </w:p>
        </w:tc>
      </w:tr>
      <w:tr>
        <w:tc>
          <w:tcPr>
            <w:tcW w:type="dxa" w:w="1728"/>
          </w:tcPr>
          <w:p>
            <w:r>
              <w:rPr>
                <w:sz w:val="20"/>
              </w:rPr>
              <w:t>Supplier Dashboard</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Manager Dashboard</w:t>
            </w:r>
          </w:p>
        </w:tc>
        <w:tc>
          <w:tcPr>
            <w:tcW w:type="dxa" w:w="1728"/>
          </w:tcPr>
          <w:p>
            <w:r>
              <w:rPr>
                <w:sz w:val="20"/>
              </w:rPr>
              <w:t>None</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Supplier Registration Form</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Supplier List / Worklist</w:t>
            </w:r>
          </w:p>
        </w:tc>
        <w:tc>
          <w:tcPr>
            <w:tcW w:type="dxa" w:w="1728"/>
          </w:tcPr>
          <w:p>
            <w:r>
              <w:rPr>
                <w:sz w:val="20"/>
              </w:rPr>
              <w:t>Own</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Screening Dashboard</w:t>
            </w:r>
          </w:p>
        </w:tc>
        <w:tc>
          <w:tcPr>
            <w:tcW w:type="dxa" w:w="1728"/>
          </w:tcPr>
          <w:p>
            <w:r>
              <w:rPr>
                <w:sz w:val="20"/>
              </w:rPr>
              <w:t>None</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Approval Worklist</w:t>
            </w:r>
          </w:p>
        </w:tc>
        <w:tc>
          <w:tcPr>
            <w:tcW w:type="dxa" w:w="1728"/>
          </w:tcPr>
          <w:p>
            <w:r>
              <w:rPr>
                <w:sz w:val="20"/>
              </w:rPr>
              <w:t>None</w:t>
            </w:r>
          </w:p>
        </w:tc>
        <w:tc>
          <w:tcPr>
            <w:tcW w:type="dxa" w:w="1728"/>
          </w:tcPr>
          <w:p>
            <w:r>
              <w:rPr>
                <w:sz w:val="20"/>
              </w:rPr>
              <w:t>View</w:t>
            </w:r>
          </w:p>
        </w:tc>
        <w:tc>
          <w:tcPr>
            <w:tcW w:type="dxa" w:w="1728"/>
          </w:tcPr>
          <w:p>
            <w:r>
              <w:rPr>
                <w:sz w:val="20"/>
              </w:rPr>
              <w:t>Full</w:t>
            </w:r>
          </w:p>
        </w:tc>
        <w:tc>
          <w:tcPr>
            <w:tcW w:type="dxa" w:w="1728"/>
          </w:tcPr>
          <w:p>
            <w:r>
              <w:rPr>
                <w:sz w:val="20"/>
              </w:rPr>
              <w:t>View</w:t>
            </w:r>
          </w:p>
        </w:tc>
      </w:tr>
      <w:tr>
        <w:tc>
          <w:tcPr>
            <w:tcW w:type="dxa" w:w="1728"/>
          </w:tcPr>
          <w:p>
            <w:r>
              <w:rPr>
                <w:sz w:val="20"/>
              </w:rPr>
              <w:t>PO List</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PO Detail</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Invoice List</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Invoice Creation / PO Flip</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Form Builder</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Workflow Configuration</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User/Role Management</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Full</w:t>
            </w:r>
          </w:p>
        </w:tc>
      </w:tr>
      <w:tr>
        <w:tc>
          <w:tcPr>
            <w:tcW w:type="dxa" w:w="1728"/>
          </w:tcPr>
          <w:p>
            <w:r>
              <w:rPr>
                <w:sz w:val="20"/>
              </w:rPr>
              <w:t>Admin Settings</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Audit Trail</w:t>
            </w:r>
          </w:p>
        </w:tc>
        <w:tc>
          <w:tcPr>
            <w:tcW w:type="dxa" w:w="1728"/>
          </w:tcPr>
          <w:p>
            <w:r>
              <w:rPr>
                <w:sz w:val="20"/>
              </w:rPr>
              <w:t>None</w:t>
            </w:r>
          </w:p>
        </w:tc>
        <w:tc>
          <w:tcPr>
            <w:tcW w:type="dxa" w:w="1728"/>
          </w:tcPr>
          <w:p>
            <w:r>
              <w:rPr>
                <w:sz w:val="20"/>
              </w:rPr>
              <w:t>View</w:t>
            </w:r>
          </w:p>
        </w:tc>
        <w:tc>
          <w:tcPr>
            <w:tcW w:type="dxa" w:w="1728"/>
          </w:tcPr>
          <w:p>
            <w:r>
              <w:rPr>
                <w:sz w:val="20"/>
              </w:rPr>
              <w:t>None</w:t>
            </w:r>
          </w:p>
        </w:tc>
        <w:tc>
          <w:tcPr>
            <w:tcW w:type="dxa" w:w="1728"/>
          </w:tcPr>
          <w:p>
            <w:r>
              <w:rPr>
                <w:sz w:val="20"/>
              </w:rPr>
              <w:t>Full</w:t>
            </w:r>
          </w:p>
        </w:tc>
      </w:tr>
      <w:tr>
        <w:tc>
          <w:tcPr>
            <w:tcW w:type="dxa" w:w="1728"/>
          </w:tcPr>
          <w:p>
            <w:r>
              <w:rPr>
                <w:sz w:val="20"/>
              </w:rPr>
              <w:t>Notification Center</w:t>
            </w:r>
          </w:p>
        </w:tc>
        <w:tc>
          <w:tcPr>
            <w:tcW w:type="dxa" w:w="1728"/>
          </w:tcPr>
          <w:p>
            <w:r>
              <w:rPr>
                <w:sz w:val="20"/>
              </w:rPr>
              <w:t>Full (Own)</w:t>
            </w:r>
          </w:p>
        </w:tc>
        <w:tc>
          <w:tcPr>
            <w:tcW w:type="dxa" w:w="1728"/>
          </w:tcPr>
          <w:p>
            <w:r>
              <w:rPr>
                <w:sz w:val="20"/>
              </w:rPr>
              <w:t>Full (Own)</w:t>
            </w:r>
          </w:p>
        </w:tc>
        <w:tc>
          <w:tcPr>
            <w:tcW w:type="dxa" w:w="1728"/>
          </w:tcPr>
          <w:p>
            <w:r>
              <w:rPr>
                <w:sz w:val="20"/>
              </w:rPr>
              <w:t>Full (Own)</w:t>
            </w:r>
          </w:p>
        </w:tc>
        <w:tc>
          <w:tcPr>
            <w:tcW w:type="dxa" w:w="1728"/>
          </w:tcPr>
          <w:p>
            <w:r>
              <w:rPr>
                <w:sz w:val="20"/>
              </w:rPr>
              <w:t>Full</w:t>
            </w:r>
          </w:p>
        </w:tc>
      </w:tr>
      <w:tr>
        <w:tc>
          <w:tcPr>
            <w:tcW w:type="dxa" w:w="1728"/>
          </w:tcPr>
          <w:p>
            <w:r>
              <w:rPr>
                <w:sz w:val="20"/>
              </w:rPr>
              <w:t>Document Management</w:t>
            </w:r>
          </w:p>
        </w:tc>
        <w:tc>
          <w:tcPr>
            <w:tcW w:type="dxa" w:w="1728"/>
          </w:tcPr>
          <w:p>
            <w:r>
              <w:rPr>
                <w:sz w:val="20"/>
              </w:rPr>
              <w:t>Full (Own)</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Master Data Change</w:t>
            </w:r>
          </w:p>
        </w:tc>
        <w:tc>
          <w:tcPr>
            <w:tcW w:type="dxa" w:w="1728"/>
          </w:tcPr>
          <w:p>
            <w:r>
              <w:rPr>
                <w:sz w:val="20"/>
              </w:rPr>
              <w:t>Full (Own)</w:t>
            </w:r>
          </w:p>
        </w:tc>
        <w:tc>
          <w:tcPr>
            <w:tcW w:type="dxa" w:w="1728"/>
          </w:tcPr>
          <w:p>
            <w:r>
              <w:rPr>
                <w:sz w:val="20"/>
              </w:rPr>
              <w:t>View</w:t>
            </w:r>
          </w:p>
        </w:tc>
        <w:tc>
          <w:tcPr>
            <w:tcW w:type="dxa" w:w="1728"/>
          </w:tcPr>
          <w:p>
            <w:r>
              <w:rPr>
                <w:sz w:val="20"/>
              </w:rPr>
              <w:t>Full</w:t>
            </w:r>
          </w:p>
        </w:tc>
        <w:tc>
          <w:tcPr>
            <w:tcW w:type="dxa" w:w="1728"/>
          </w:tcPr>
          <w:p>
            <w:r>
              <w:rPr>
                <w:sz w:val="20"/>
              </w:rPr>
              <w:t>View</w:t>
            </w:r>
          </w:p>
        </w:tc>
      </w:tr>
    </w:tbl>
    <w:p/>
    <w:p>
      <w:pPr>
        <w:ind w:left="283"/>
      </w:pPr>
      <w:r>
        <w:rPr>
          <w:sz w:val="20"/>
        </w:rPr>
        <w:t xml:space="preserve">*For full screen list with complexity ratings and effort estimates, refer to the </w:t>
      </w:r>
      <w:r>
        <w:rPr>
          <w:b/>
          <w:sz w:val="20"/>
        </w:rPr>
        <w:t>Scope of Work document</w:t>
      </w:r>
      <w:r>
        <w:rPr>
          <w:sz w:val="20"/>
        </w:rPr>
        <w:t>.*</w:t>
      </w:r>
    </w:p>
    <w:p>
      <w:r>
        <w:rPr>
          <w:b/>
        </w:rPr>
        <w:t>Button-Level Visibility Rules:</w:t>
      </w:r>
    </w:p>
    <w:p>
      <w:r>
        <w:t>Key actions are controlled by role-based visibility rules. Examples: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Button / Action</w:t>
            </w:r>
          </w:p>
        </w:tc>
        <w:tc>
          <w:tcPr>
            <w:tcW w:type="dxa" w:w="1728"/>
          </w:tcPr>
          <w:p>
            <w:r>
              <w:rPr>
                <w:b/>
                <w:sz w:val="20"/>
              </w:rPr>
              <w:t>Supplier</w:t>
            </w:r>
          </w:p>
        </w:tc>
        <w:tc>
          <w:tcPr>
            <w:tcW w:type="dxa" w:w="1728"/>
          </w:tcPr>
          <w:p>
            <w:r>
              <w:rPr>
                <w:b/>
                <w:sz w:val="20"/>
              </w:rPr>
              <w:t>Supplier Manager</w:t>
            </w:r>
          </w:p>
        </w:tc>
        <w:tc>
          <w:tcPr>
            <w:tcW w:type="dxa" w:w="1728"/>
          </w:tcPr>
          <w:p>
            <w:r>
              <w:rPr>
                <w:b/>
                <w:sz w:val="20"/>
              </w:rPr>
              <w:t>Approver</w:t>
            </w:r>
          </w:p>
        </w:tc>
        <w:tc>
          <w:tcPr>
            <w:tcW w:type="dxa" w:w="1728"/>
          </w:tcPr>
          <w:p>
            <w:r>
              <w:rPr>
                <w:b/>
                <w:sz w:val="20"/>
              </w:rPr>
              <w:t>Admin</w:t>
            </w:r>
          </w:p>
        </w:tc>
      </w:tr>
      <w:tr>
        <w:tc>
          <w:tcPr>
            <w:tcW w:type="dxa" w:w="1728"/>
          </w:tcPr>
          <w:p>
            <w:r>
              <w:rPr>
                <w:sz w:val="20"/>
              </w:rPr>
              <w:t>Send Invitation</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r>
        <w:tc>
          <w:tcPr>
            <w:tcW w:type="dxa" w:w="1728"/>
          </w:tcPr>
          <w:p>
            <w:r>
              <w:rPr>
                <w:sz w:val="20"/>
              </w:rPr>
              <w:t>Bulk Upload (CSV)</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r>
        <w:tc>
          <w:tcPr>
            <w:tcW w:type="dxa" w:w="1728"/>
          </w:tcPr>
          <w:p>
            <w:r>
              <w:rPr>
                <w:sz w:val="20"/>
              </w:rPr>
              <w:t>Approve / Reject</w:t>
            </w:r>
          </w:p>
        </w:tc>
        <w:tc>
          <w:tcPr>
            <w:tcW w:type="dxa" w:w="1728"/>
          </w:tcPr>
          <w:p>
            <w:r>
              <w:rPr>
                <w:sz w:val="20"/>
              </w:rPr>
              <w:t>Hidden</w:t>
            </w:r>
          </w:p>
        </w:tc>
        <w:tc>
          <w:tcPr>
            <w:tcW w:type="dxa" w:w="1728"/>
          </w:tcPr>
          <w:p>
            <w:r>
              <w:rPr>
                <w:sz w:val="20"/>
              </w:rPr>
              <w:t>Hidden</w:t>
            </w:r>
          </w:p>
        </w:tc>
        <w:tc>
          <w:tcPr>
            <w:tcW w:type="dxa" w:w="1728"/>
          </w:tcPr>
          <w:p>
            <w:r>
              <w:rPr>
                <w:sz w:val="20"/>
              </w:rPr>
              <w:t>Visible</w:t>
            </w:r>
          </w:p>
        </w:tc>
        <w:tc>
          <w:tcPr>
            <w:tcW w:type="dxa" w:w="1728"/>
          </w:tcPr>
          <w:p>
            <w:r>
              <w:rPr>
                <w:sz w:val="20"/>
              </w:rPr>
              <w:t>Hidden</w:t>
            </w:r>
          </w:p>
        </w:tc>
      </w:tr>
      <w:tr>
        <w:tc>
          <w:tcPr>
            <w:tcW w:type="dxa" w:w="1728"/>
          </w:tcPr>
          <w:p>
            <w:r>
              <w:rPr>
                <w:sz w:val="20"/>
              </w:rPr>
              <w:t>Reassign Approval</w:t>
            </w:r>
          </w:p>
        </w:tc>
        <w:tc>
          <w:tcPr>
            <w:tcW w:type="dxa" w:w="1728"/>
          </w:tcPr>
          <w:p>
            <w:r>
              <w:rPr>
                <w:sz w:val="20"/>
              </w:rPr>
              <w:t>Hidden</w:t>
            </w:r>
          </w:p>
        </w:tc>
        <w:tc>
          <w:tcPr>
            <w:tcW w:type="dxa" w:w="1728"/>
          </w:tcPr>
          <w:p>
            <w:r>
              <w:rPr>
                <w:sz w:val="20"/>
              </w:rPr>
              <w:t>Hidden</w:t>
            </w:r>
          </w:p>
        </w:tc>
        <w:tc>
          <w:tcPr>
            <w:tcW w:type="dxa" w:w="1728"/>
          </w:tcPr>
          <w:p>
            <w:r>
              <w:rPr>
                <w:sz w:val="20"/>
              </w:rPr>
              <w:t>Visible</w:t>
            </w:r>
          </w:p>
        </w:tc>
        <w:tc>
          <w:tcPr>
            <w:tcW w:type="dxa" w:w="1728"/>
          </w:tcPr>
          <w:p>
            <w:r>
              <w:rPr>
                <w:sz w:val="20"/>
              </w:rPr>
              <w:t>Visible</w:t>
            </w:r>
          </w:p>
        </w:tc>
      </w:tr>
      <w:tr>
        <w:tc>
          <w:tcPr>
            <w:tcW w:type="dxa" w:w="1728"/>
          </w:tcPr>
          <w:p>
            <w:r>
              <w:rPr>
                <w:sz w:val="20"/>
              </w:rPr>
              <w:t>Create Invoice</w:t>
            </w:r>
          </w:p>
        </w:tc>
        <w:tc>
          <w:tcPr>
            <w:tcW w:type="dxa" w:w="1728"/>
          </w:tcPr>
          <w:p>
            <w:r>
              <w:rPr>
                <w:sz w:val="20"/>
              </w:rPr>
              <w:t>Visible</w:t>
            </w:r>
          </w:p>
        </w:tc>
        <w:tc>
          <w:tcPr>
            <w:tcW w:type="dxa" w:w="1728"/>
          </w:tcPr>
          <w:p>
            <w:r>
              <w:rPr>
                <w:sz w:val="20"/>
              </w:rPr>
              <w:t>Hidden</w:t>
            </w:r>
          </w:p>
        </w:tc>
        <w:tc>
          <w:tcPr>
            <w:tcW w:type="dxa" w:w="1728"/>
          </w:tcPr>
          <w:p>
            <w:r>
              <w:rPr>
                <w:sz w:val="20"/>
              </w:rPr>
              <w:t>Hidden</w:t>
            </w:r>
          </w:p>
        </w:tc>
        <w:tc>
          <w:tcPr>
            <w:tcW w:type="dxa" w:w="1728"/>
          </w:tcPr>
          <w:p>
            <w:r>
              <w:rPr>
                <w:sz w:val="20"/>
              </w:rPr>
              <w:t>Hidden</w:t>
            </w:r>
          </w:p>
        </w:tc>
      </w:tr>
      <w:tr>
        <w:tc>
          <w:tcPr>
            <w:tcW w:type="dxa" w:w="1728"/>
          </w:tcPr>
          <w:p>
            <w:r>
              <w:rPr>
                <w:sz w:val="20"/>
              </w:rPr>
              <w:t>Acknowledge PO</w:t>
            </w:r>
          </w:p>
        </w:tc>
        <w:tc>
          <w:tcPr>
            <w:tcW w:type="dxa" w:w="1728"/>
          </w:tcPr>
          <w:p>
            <w:r>
              <w:rPr>
                <w:sz w:val="20"/>
              </w:rPr>
              <w:t>Visible</w:t>
            </w:r>
          </w:p>
        </w:tc>
        <w:tc>
          <w:tcPr>
            <w:tcW w:type="dxa" w:w="1728"/>
          </w:tcPr>
          <w:p>
            <w:r>
              <w:rPr>
                <w:sz w:val="20"/>
              </w:rPr>
              <w:t>Hidden</w:t>
            </w:r>
          </w:p>
        </w:tc>
        <w:tc>
          <w:tcPr>
            <w:tcW w:type="dxa" w:w="1728"/>
          </w:tcPr>
          <w:p>
            <w:r>
              <w:rPr>
                <w:sz w:val="20"/>
              </w:rPr>
              <w:t>Hidden</w:t>
            </w:r>
          </w:p>
        </w:tc>
        <w:tc>
          <w:tcPr>
            <w:tcW w:type="dxa" w:w="1728"/>
          </w:tcPr>
          <w:p>
            <w:r>
              <w:rPr>
                <w:sz w:val="20"/>
              </w:rPr>
              <w:t>Hidden</w:t>
            </w:r>
          </w:p>
        </w:tc>
      </w:tr>
      <w:tr>
        <w:tc>
          <w:tcPr>
            <w:tcW w:type="dxa" w:w="1728"/>
          </w:tcPr>
          <w:p>
            <w:r>
              <w:rPr>
                <w:sz w:val="20"/>
              </w:rPr>
              <w:t>Configure Form Fields</w:t>
            </w:r>
          </w:p>
        </w:tc>
        <w:tc>
          <w:tcPr>
            <w:tcW w:type="dxa" w:w="1728"/>
          </w:tcPr>
          <w:p>
            <w:r>
              <w:rPr>
                <w:sz w:val="20"/>
              </w:rPr>
              <w:t>Hidden</w:t>
            </w:r>
          </w:p>
        </w:tc>
        <w:tc>
          <w:tcPr>
            <w:tcW w:type="dxa" w:w="1728"/>
          </w:tcPr>
          <w:p>
            <w:r>
              <w:rPr>
                <w:sz w:val="20"/>
              </w:rPr>
              <w:t>Hidden</w:t>
            </w:r>
          </w:p>
        </w:tc>
        <w:tc>
          <w:tcPr>
            <w:tcW w:type="dxa" w:w="1728"/>
          </w:tcPr>
          <w:p>
            <w:r>
              <w:rPr>
                <w:sz w:val="20"/>
              </w:rPr>
              <w:t>Hidden</w:t>
            </w:r>
          </w:p>
        </w:tc>
        <w:tc>
          <w:tcPr>
            <w:tcW w:type="dxa" w:w="1728"/>
          </w:tcPr>
          <w:p>
            <w:r>
              <w:rPr>
                <w:sz w:val="20"/>
              </w:rPr>
              <w:t>Visible</w:t>
            </w:r>
          </w:p>
        </w:tc>
      </w:tr>
      <w:tr>
        <w:tc>
          <w:tcPr>
            <w:tcW w:type="dxa" w:w="1728"/>
          </w:tcPr>
          <w:p>
            <w:r>
              <w:rPr>
                <w:sz w:val="20"/>
              </w:rPr>
              <w:t>Export Audit Trail</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bl>
    <w:p/>
    <w:p>
      <w:r>
        <w:rPr>
          <w:b/>
        </w:rPr>
        <w:t>RBAC / ABAC Enforcement Model (5-Layer Enforcement Chain):</w:t>
      </w:r>
    </w:p>
    <w:p>
      <w:r>
        <w:t>The system uses a hybrid RBAC + ABAC model. Roles are assigned in Keycloak (RBAC). Runtime attributes provide fine-grained control (ABAC):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Enforcement Point</w:t>
            </w:r>
          </w:p>
        </w:tc>
        <w:tc>
          <w:tcPr>
            <w:tcW w:type="dxa" w:w="2160"/>
          </w:tcPr>
          <w:p>
            <w:r>
              <w:rPr>
                <w:b/>
                <w:sz w:val="20"/>
              </w:rPr>
              <w:t>What It Checks</w:t>
            </w:r>
          </w:p>
        </w:tc>
        <w:tc>
          <w:tcPr>
            <w:tcW w:type="dxa" w:w="2160"/>
          </w:tcPr>
          <w:p>
            <w:r>
              <w:rPr>
                <w:b/>
                <w:sz w:val="20"/>
              </w:rPr>
              <w:t>Failure Action</w:t>
            </w:r>
          </w:p>
        </w:tc>
      </w:tr>
      <w:tr>
        <w:tc>
          <w:tcPr>
            <w:tcW w:type="dxa" w:w="2160"/>
          </w:tcPr>
          <w:p>
            <w:r>
              <w:rPr>
                <w:sz w:val="20"/>
              </w:rPr>
              <w:t>1. Frontend</w:t>
            </w:r>
          </w:p>
        </w:tc>
        <w:tc>
          <w:tcPr>
            <w:tcW w:type="dxa" w:w="2160"/>
          </w:tcPr>
          <w:p>
            <w:r>
              <w:rPr>
                <w:sz w:val="20"/>
              </w:rPr>
              <w:t>Route guards + component visibility</w:t>
            </w:r>
          </w:p>
        </w:tc>
        <w:tc>
          <w:tcPr>
            <w:tcW w:type="dxa" w:w="2160"/>
          </w:tcPr>
          <w:p>
            <w:r>
              <w:rPr>
                <w:sz w:val="20"/>
              </w:rPr>
              <w:t>Role → show/hide routes, buttons, tabs</w:t>
            </w:r>
          </w:p>
        </w:tc>
        <w:tc>
          <w:tcPr>
            <w:tcW w:type="dxa" w:w="2160"/>
          </w:tcPr>
          <w:p>
            <w:r>
              <w:rPr>
                <w:sz w:val="20"/>
              </w:rPr>
              <w:t>Hidden UI elements; redirect to dashboard</w:t>
            </w:r>
          </w:p>
        </w:tc>
      </w:tr>
      <w:tr>
        <w:tc>
          <w:tcPr>
            <w:tcW w:type="dxa" w:w="2160"/>
          </w:tcPr>
          <w:p>
            <w:r>
              <w:rPr>
                <w:sz w:val="20"/>
              </w:rPr>
              <w:t>2. API Gateway</w:t>
            </w:r>
          </w:p>
        </w:tc>
        <w:tc>
          <w:tcPr>
            <w:tcW w:type="dxa" w:w="2160"/>
          </w:tcPr>
          <w:p>
            <w:r>
              <w:rPr>
                <w:sz w:val="20"/>
              </w:rPr>
              <w:t>JWT validation + RBAC middleware</w:t>
            </w:r>
          </w:p>
        </w:tc>
        <w:tc>
          <w:tcPr>
            <w:tcW w:type="dxa" w:w="2160"/>
          </w:tcPr>
          <w:p>
            <w:r>
              <w:rPr>
                <w:sz w:val="20"/>
              </w:rPr>
              <w:t>Token validity, role claim, tenant_id</w:t>
            </w:r>
          </w:p>
        </w:tc>
        <w:tc>
          <w:tcPr>
            <w:tcW w:type="dxa" w:w="2160"/>
          </w:tcPr>
          <w:p>
            <w:r>
              <w:rPr>
                <w:sz w:val="20"/>
              </w:rPr>
              <w:t>401 Unauthorized / 403 Forbidden</w:t>
            </w:r>
          </w:p>
        </w:tc>
      </w:tr>
      <w:tr>
        <w:tc>
          <w:tcPr>
            <w:tcW w:type="dxa" w:w="2160"/>
          </w:tcPr>
          <w:p>
            <w:r>
              <w:rPr>
                <w:sz w:val="20"/>
              </w:rPr>
              <w:t>3. Service Layer</w:t>
            </w:r>
          </w:p>
        </w:tc>
        <w:tc>
          <w:tcPr>
            <w:tcW w:type="dxa" w:w="2160"/>
          </w:tcPr>
          <w:p>
            <w:r>
              <w:rPr>
                <w:sz w:val="20"/>
              </w:rPr>
              <w:t>ABAC checks</w:t>
            </w:r>
          </w:p>
        </w:tc>
        <w:tc>
          <w:tcPr>
            <w:tcW w:type="dxa" w:w="2160"/>
          </w:tcPr>
          <w:p>
            <w:r>
              <w:rPr>
                <w:sz w:val="20"/>
              </w:rPr>
              <w:t>Runtime attributes: ownership, tenant, status, threshold</w:t>
            </w:r>
          </w:p>
        </w:tc>
        <w:tc>
          <w:tcPr>
            <w:tcW w:type="dxa" w:w="2160"/>
          </w:tcPr>
          <w:p>
            <w:r>
              <w:rPr>
                <w:sz w:val="20"/>
              </w:rPr>
              <w:t>403 Forbidden with reason code</w:t>
            </w:r>
          </w:p>
        </w:tc>
      </w:tr>
      <w:tr>
        <w:tc>
          <w:tcPr>
            <w:tcW w:type="dxa" w:w="2160"/>
          </w:tcPr>
          <w:p>
            <w:r>
              <w:rPr>
                <w:sz w:val="20"/>
              </w:rPr>
              <w:t>4. Database</w:t>
            </w:r>
          </w:p>
        </w:tc>
        <w:tc>
          <w:tcPr>
            <w:tcW w:type="dxa" w:w="2160"/>
          </w:tcPr>
          <w:p>
            <w:r>
              <w:rPr>
                <w:sz w:val="20"/>
              </w:rPr>
              <w:t>tenant_id WHERE clause + row-level security</w:t>
            </w:r>
          </w:p>
        </w:tc>
        <w:tc>
          <w:tcPr>
            <w:tcW w:type="dxa" w:w="2160"/>
          </w:tcPr>
          <w:p>
            <w:r>
              <w:rPr>
                <w:sz w:val="20"/>
              </w:rPr>
              <w:t>Every query scoped to tenant; RLS policies enforced</w:t>
            </w:r>
          </w:p>
        </w:tc>
        <w:tc>
          <w:tcPr>
            <w:tcW w:type="dxa" w:w="2160"/>
          </w:tcPr>
          <w:p>
            <w:r>
              <w:rPr>
                <w:sz w:val="20"/>
              </w:rPr>
              <w:t>Query returns empty set (no cross-tenant leakage)</w:t>
            </w:r>
          </w:p>
        </w:tc>
      </w:tr>
      <w:tr>
        <w:tc>
          <w:tcPr>
            <w:tcW w:type="dxa" w:w="2160"/>
          </w:tcPr>
          <w:p>
            <w:r>
              <w:rPr>
                <w:sz w:val="20"/>
              </w:rPr>
              <w:t>5. Audit</w:t>
            </w:r>
          </w:p>
        </w:tc>
        <w:tc>
          <w:tcPr>
            <w:tcW w:type="dxa" w:w="2160"/>
          </w:tcPr>
          <w:p>
            <w:r>
              <w:rPr>
                <w:sz w:val="20"/>
              </w:rPr>
              <w:t>All access decisions logged</w:t>
            </w:r>
          </w:p>
        </w:tc>
        <w:tc>
          <w:tcPr>
            <w:tcW w:type="dxa" w:w="2160"/>
          </w:tcPr>
          <w:p>
            <w:r>
              <w:rPr>
                <w:sz w:val="20"/>
              </w:rPr>
              <w:t>Every allow/deny decision recorded</w:t>
            </w:r>
          </w:p>
        </w:tc>
        <w:tc>
          <w:tcPr>
            <w:tcW w:type="dxa" w:w="2160"/>
          </w:tcPr>
          <w:p>
            <w:r>
              <w:rPr>
                <w:sz w:val="20"/>
              </w:rPr>
              <w:t>Immutable audit trail for compliance</w:t>
            </w:r>
          </w:p>
        </w:tc>
      </w:tr>
    </w:tbl>
    <w:p/>
    <w:p>
      <w:r>
        <w:rPr>
          <w:b/>
        </w:rPr>
        <w:t>Multi-Tenant Access Isolation:</w:t>
      </w:r>
    </w:p>
    <w:p>
      <w:pPr>
        <w:pStyle w:val="ListBullet"/>
      </w:pPr>
      <w:r>
        <w:t>Tenant_id extracted from Keycloak JWT at API Gateway — injected into request context before any business logic</w:t>
      </w:r>
    </w:p>
    <w:p>
      <w:pPr>
        <w:pStyle w:val="ListBullet"/>
      </w:pPr>
      <w:r>
        <w:t>Database middleware appends tenant_id filter to every query — no query reaches DB without tenant scope</w:t>
      </w:r>
    </w:p>
    <w:p>
      <w:pPr>
        <w:pStyle w:val="ListBullet"/>
      </w:pPr>
      <w:r>
        <w:t>Row-level security (RLS) policies act as database-level safety net even if middleware is bypassed</w:t>
      </w:r>
    </w:p>
    <w:p>
      <w:pPr>
        <w:pStyle w:val="ListBullet"/>
      </w:pPr>
      <w:r>
        <w:t>Cross-tenant API calls return 403 with no data leakage — validated in automated isolation tests</w:t>
      </w:r>
    </w:p>
    <w:p>
      <w:pPr>
        <w:pStyle w:val="Heading2"/>
      </w:pPr>
      <w:r>
        <w:t>1.7 Deployment Architecture</w:t>
      </w:r>
    </w:p>
    <w:p>
      <w:pPr>
        <w:pStyle w:val="ListBullet"/>
      </w:pPr>
      <w:r/>
      <w:r>
        <w:rPr>
          <w:b/>
        </w:rPr>
        <w:t>Containerization:</w:t>
      </w:r>
      <w:r>
        <w:t xml:space="preserve"> Docker containers with Helm charts for Kubernetes orchestration</w:t>
      </w:r>
    </w:p>
    <w:p>
      <w:pPr>
        <w:pStyle w:val="ListBullet"/>
      </w:pPr>
      <w:r/>
      <w:r>
        <w:rPr>
          <w:b/>
        </w:rPr>
        <w:t>Environment Promotion:</w:t>
      </w:r>
      <w:r>
        <w:t xml:space="preserve"> Dev (local) → QA (auto on merge) → UAT (manual, QA sign-off) → Production (manual, UAT + HighRadius Engineering sign-off)</w:t>
      </w:r>
    </w:p>
    <w:p>
      <w:pPr>
        <w:pStyle w:val="ListBullet"/>
      </w:pPr>
      <w:r/>
      <w:r>
        <w:rPr>
          <w:b/>
        </w:rPr>
        <w:t>High Availability:</w:t>
      </w:r>
      <w:r>
        <w:t xml:space="preserve"> Redundant components, health checks, auto-scaling policies</w:t>
      </w:r>
    </w:p>
    <w:p>
      <w:pPr>
        <w:pStyle w:val="ListBullet"/>
      </w:pPr>
      <w:r/>
      <w:r>
        <w:rPr>
          <w:b/>
        </w:rPr>
        <w:t>G4 Platform:</w:t>
      </w:r>
      <w:r>
        <w:t xml:space="preserve"> Deployed within HighRadius G4 environment per RFP requirements</w:t>
      </w:r>
    </w:p>
    <w:p>
      <w:pPr>
        <w:ind w:left="283"/>
      </w:pPr>
      <w:r>
        <w:rPr>
          <w:sz w:val="20"/>
        </w:rPr>
        <w:t xml:space="preserve">*For deployment schedule and environment promotion timeline, refer to the </w:t>
      </w:r>
      <w:r>
        <w:rPr>
          <w:b/>
          <w:sz w:val="20"/>
        </w:rPr>
        <w:t>Timeline document</w:t>
      </w:r>
      <w:r>
        <w:rPr>
          <w:sz w:val="20"/>
        </w:rPr>
        <w:t>.*</w:t>
      </w:r>
    </w:p>
    <w:p>
      <w:r>
        <w:br w:type="page"/>
      </w:r>
    </w:p>
    <w:p>
      <w:pPr>
        <w:pStyle w:val="Heading1"/>
      </w:pPr>
      <w:r>
        <w:t>2. SECURITY &amp; COMPLIANCE CONTROLS</w:t>
      </w:r>
    </w:p>
    <w:p>
      <w:r>
        <w:rPr>
          <w:i/>
          <w:color w:val="646464"/>
          <w:sz w:val="18"/>
        </w:rPr>
        <w:t>Classification: STANDARD CORE + PROJECT ADAPTATION</w:t>
      </w:r>
    </w:p>
    <w:p>
      <w:r>
        <w:rPr>
          <w:i/>
          <w:color w:val="646464"/>
        </w:rPr>
        <w:t>[Standard Metapointer security controls apply]</w:t>
      </w:r>
    </w:p>
    <w:p>
      <w:pPr>
        <w:pStyle w:val="Heading2"/>
      </w:pPr>
      <w:r>
        <w:t>2.1 Project-Specific Security Adaptations</w:t>
      </w:r>
    </w:p>
    <w:p>
      <w:pPr>
        <w:pStyle w:val="ListBullet"/>
      </w:pPr>
      <w:r/>
      <w:r>
        <w:rPr>
          <w:b/>
        </w:rPr>
        <w:t>Access Control:</w:t>
      </w:r>
      <w:r>
        <w:t xml:space="preserve"> Keycloak integration with hybrid RBAC/ABAC model; 4 personas (Supplier, Supplier Manager, Approver, Admin) with screen-level and button-level permissions across 29 screens + 11 modals</w:t>
      </w:r>
    </w:p>
    <w:p>
      <w:pPr>
        <w:pStyle w:val="ListBullet"/>
      </w:pPr>
      <w:r/>
      <w:r>
        <w:rPr>
          <w:b/>
        </w:rPr>
        <w:t>Encryption:</w:t>
      </w:r>
      <w:r>
        <w:t xml:space="preserve"> TLS 1.3 in transit, AES-256 at rest; HashiCorp Vault for all secrets management per HighRadius security requirements</w:t>
      </w:r>
    </w:p>
    <w:p>
      <w:pPr>
        <w:pStyle w:val="ListBullet"/>
      </w:pPr>
      <w:r/>
      <w:r>
        <w:rPr>
          <w:b/>
        </w:rPr>
        <w:t>Audit Logging:</w:t>
      </w:r>
      <w:r>
        <w:t xml:space="preserve"> Immutable audit trail for all portal actions — onboarding, screening, approvals, invoice submissions; filterable by user, action type, date; exportable for compliance; 2-year retention</w:t>
      </w:r>
    </w:p>
    <w:p>
      <w:pPr>
        <w:pStyle w:val="ListBullet"/>
      </w:pPr>
      <w:r/>
      <w:r>
        <w:rPr>
          <w:b/>
        </w:rPr>
        <w:t>Multi-Tenant Isolation:</w:t>
      </w:r>
      <w:r>
        <w:t xml:space="preserve"> Schema-per-tenant with row-level security; tenant_id enforced at middleware layer before any database query; JWT-based tenant resolution</w:t>
      </w:r>
    </w:p>
    <w:p>
      <w:pPr>
        <w:pStyle w:val="ListBullet"/>
      </w:pPr>
      <w:r/>
      <w:r>
        <w:rPr>
          <w:b/>
        </w:rPr>
        <w:t>Regulatory Alignment:</w:t>
      </w:r>
      <w:r>
        <w:t xml:space="preserve"> SOX/GDPR support; OFAC sanctions screening compliance; 100% supplier screening coverage; OWASP Top 10 compliance</w:t>
      </w:r>
    </w:p>
    <w:p>
      <w:pPr>
        <w:pStyle w:val="ListBullet"/>
      </w:pPr>
      <w:r/>
      <w:r>
        <w:rPr>
          <w:b/>
        </w:rPr>
        <w:t>Adherence to HighRadius cybersecurity policies</w:t>
      </w:r>
      <w:r>
        <w:t xml:space="preserve"> during development per RFP Section 5</w:t>
      </w:r>
    </w:p>
    <w:p>
      <w:pPr>
        <w:pStyle w:val="Heading2"/>
      </w:pPr>
      <w:r>
        <w:t>2.2 Infosec Clearance Process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Activity</w:t>
            </w:r>
          </w:p>
        </w:tc>
        <w:tc>
          <w:tcPr>
            <w:tcW w:type="dxa" w:w="2160"/>
          </w:tcPr>
          <w:p>
            <w:r>
              <w:rPr>
                <w:b/>
                <w:sz w:val="20"/>
              </w:rPr>
              <w:t>Timeline</w:t>
            </w:r>
          </w:p>
        </w:tc>
        <w:tc>
          <w:tcPr>
            <w:tcW w:type="dxa" w:w="2160"/>
          </w:tcPr>
          <w:p>
            <w:r>
              <w:rPr>
                <w:b/>
                <w:sz w:val="20"/>
              </w:rPr>
              <w:t>Owner</w:t>
            </w:r>
          </w:p>
        </w:tc>
      </w:tr>
      <w:tr>
        <w:tc>
          <w:tcPr>
            <w:tcW w:type="dxa" w:w="2160"/>
          </w:tcPr>
          <w:p>
            <w:r>
              <w:rPr>
                <w:sz w:val="20"/>
              </w:rPr>
              <w:t>Pre-Development</w:t>
            </w:r>
          </w:p>
        </w:tc>
        <w:tc>
          <w:tcPr>
            <w:tcW w:type="dxa" w:w="2160"/>
          </w:tcPr>
          <w:p>
            <w:r>
              <w:rPr>
                <w:sz w:val="20"/>
              </w:rPr>
              <w:t>Security architecture review with HighRadius infosec team</w:t>
            </w:r>
          </w:p>
        </w:tc>
        <w:tc>
          <w:tcPr>
            <w:tcW w:type="dxa" w:w="2160"/>
          </w:tcPr>
          <w:p>
            <w:r>
              <w:rPr>
                <w:sz w:val="20"/>
              </w:rPr>
              <w:t>Sprint 0</w:t>
            </w:r>
          </w:p>
        </w:tc>
        <w:tc>
          <w:tcPr>
            <w:tcW w:type="dxa" w:w="2160"/>
          </w:tcPr>
          <w:p>
            <w:r>
              <w:rPr>
                <w:sz w:val="20"/>
              </w:rPr>
              <w:t>Vendor + HR Infosec</w:t>
            </w:r>
          </w:p>
        </w:tc>
      </w:tr>
      <w:tr>
        <w:tc>
          <w:tcPr>
            <w:tcW w:type="dxa" w:w="2160"/>
          </w:tcPr>
          <w:p>
            <w:r>
              <w:rPr>
                <w:sz w:val="20"/>
              </w:rPr>
              <w:t>During Development</w:t>
            </w:r>
          </w:p>
        </w:tc>
        <w:tc>
          <w:tcPr>
            <w:tcW w:type="dxa" w:w="2160"/>
          </w:tcPr>
          <w:p>
            <w:r>
              <w:rPr>
                <w:sz w:val="20"/>
              </w:rPr>
              <w:t>Continuous SAST scanning in CI/CD pipeline; no critical/high findings allowed to merge</w:t>
            </w:r>
          </w:p>
        </w:tc>
        <w:tc>
          <w:tcPr>
            <w:tcW w:type="dxa" w:w="2160"/>
          </w:tcPr>
          <w:p>
            <w:r>
              <w:rPr>
                <w:sz w:val="20"/>
              </w:rPr>
              <w:t>Every sprint</w:t>
            </w:r>
          </w:p>
        </w:tc>
        <w:tc>
          <w:tcPr>
            <w:tcW w:type="dxa" w:w="2160"/>
          </w:tcPr>
          <w:p>
            <w:r>
              <w:rPr>
                <w:sz w:val="20"/>
              </w:rPr>
              <w:t>Vendor</w:t>
            </w:r>
          </w:p>
        </w:tc>
      </w:tr>
      <w:tr>
        <w:tc>
          <w:tcPr>
            <w:tcW w:type="dxa" w:w="2160"/>
          </w:tcPr>
          <w:p>
            <w:r>
              <w:rPr>
                <w:sz w:val="20"/>
              </w:rPr>
              <w:t>Pre-UAT</w:t>
            </w:r>
          </w:p>
        </w:tc>
        <w:tc>
          <w:tcPr>
            <w:tcW w:type="dxa" w:w="2160"/>
          </w:tcPr>
          <w:p>
            <w:r>
              <w:rPr>
                <w:sz w:val="20"/>
              </w:rPr>
              <w:t>Comprehensive security assessment: OWASP Top 10, RBAC/ABAC validation, tenant isolation testing</w:t>
            </w:r>
          </w:p>
        </w:tc>
        <w:tc>
          <w:tcPr>
            <w:tcW w:type="dxa" w:w="2160"/>
          </w:tcPr>
          <w:p>
            <w:r>
              <w:rPr>
                <w:sz w:val="20"/>
              </w:rPr>
              <w:t>Sprint 5 (Phase 1), Sprint 9 (Phase 2)</w:t>
            </w:r>
          </w:p>
        </w:tc>
        <w:tc>
          <w:tcPr>
            <w:tcW w:type="dxa" w:w="2160"/>
          </w:tcPr>
          <w:p>
            <w:r>
              <w:rPr>
                <w:sz w:val="20"/>
              </w:rPr>
              <w:t>Vendor</w:t>
            </w:r>
          </w:p>
        </w:tc>
      </w:tr>
      <w:tr>
        <w:tc>
          <w:tcPr>
            <w:tcW w:type="dxa" w:w="2160"/>
          </w:tcPr>
          <w:p>
            <w:r>
              <w:rPr>
                <w:sz w:val="20"/>
              </w:rPr>
              <w:t>Pre-Production</w:t>
            </w:r>
          </w:p>
        </w:tc>
        <w:tc>
          <w:tcPr>
            <w:tcW w:type="dxa" w:w="2160"/>
          </w:tcPr>
          <w:p>
            <w:r>
              <w:rPr>
                <w:sz w:val="20"/>
              </w:rPr>
              <w:t>Formal infosec review submission to HighRadius cybersecurity team; remediation of findings</w:t>
            </w:r>
          </w:p>
        </w:tc>
        <w:tc>
          <w:tcPr>
            <w:tcW w:type="dxa" w:w="2160"/>
          </w:tcPr>
          <w:p>
            <w:r>
              <w:rPr>
                <w:sz w:val="20"/>
              </w:rPr>
              <w:t>2 weeks before each go-live</w:t>
            </w:r>
          </w:p>
        </w:tc>
        <w:tc>
          <w:tcPr>
            <w:tcW w:type="dxa" w:w="2160"/>
          </w:tcPr>
          <w:p>
            <w:r>
              <w:rPr>
                <w:sz w:val="20"/>
              </w:rPr>
              <w:t>Vendor + HR Infosec</w:t>
            </w:r>
          </w:p>
        </w:tc>
      </w:tr>
      <w:tr>
        <w:tc>
          <w:tcPr>
            <w:tcW w:type="dxa" w:w="2160"/>
          </w:tcPr>
          <w:p>
            <w:r>
              <w:rPr>
                <w:sz w:val="20"/>
              </w:rPr>
              <w:t>Sign-Off</w:t>
            </w:r>
          </w:p>
        </w:tc>
        <w:tc>
          <w:tcPr>
            <w:tcW w:type="dxa" w:w="2160"/>
          </w:tcPr>
          <w:p>
            <w:r>
              <w:rPr>
                <w:sz w:val="20"/>
              </w:rPr>
              <w:t>HighRadius infosec clearance certificate as production deployment gate</w:t>
            </w:r>
          </w:p>
        </w:tc>
        <w:tc>
          <w:tcPr>
            <w:tcW w:type="dxa" w:w="2160"/>
          </w:tcPr>
          <w:p>
            <w:r>
              <w:rPr>
                <w:sz w:val="20"/>
              </w:rPr>
              <w:t>Required before each go-live</w:t>
            </w:r>
          </w:p>
        </w:tc>
        <w:tc>
          <w:tcPr>
            <w:tcW w:type="dxa" w:w="2160"/>
          </w:tcPr>
          <w:p>
            <w:r>
              <w:rPr>
                <w:sz w:val="20"/>
              </w:rPr>
              <w:t>HR Infosec</w:t>
            </w:r>
          </w:p>
        </w:tc>
      </w:tr>
    </w:tbl>
    <w:p/>
    <w:p>
      <w:r/>
      <w:r>
        <w:rPr>
          <w:b/>
        </w:rPr>
        <w:t>Remediation SLA:</w:t>
      </w:r>
      <w:r>
        <w:t xml:space="preserve"> Critical findings resolved within 48 hours; High findings within 1 sprint; Medium/Low tracked and resolved before final handover.</w:t>
      </w:r>
    </w:p>
    <w:p>
      <w:r>
        <w:br w:type="page"/>
      </w:r>
    </w:p>
    <w:p>
      <w:pPr>
        <w:pStyle w:val="Heading1"/>
      </w:pPr>
      <w:r>
        <w:t>3. DATA MIGRATION STRATEGY</w:t>
      </w:r>
    </w:p>
    <w:p>
      <w:r>
        <w:rPr>
          <w:i/>
          <w:color w:val="646464"/>
          <w:sz w:val="18"/>
        </w:rPr>
        <w:t>Classification: CONDITIONAL — PROJECT-SPECIFIC</w:t>
      </w:r>
    </w:p>
    <w:p>
      <w:r/>
      <w:r>
        <w:rPr>
          <w:b/>
        </w:rPr>
        <w:t>Not Applicable.</w:t>
      </w:r>
      <w:r>
        <w:t xml:space="preserve"> Data migration of existing supplier data from ERPs, spreadsheets, or legacy systems is explicitly out of scope for this engagement. The Supplier Portal will start with fresh data, with suppliers onboarded through the new portal workflows.</w:t>
      </w:r>
    </w:p>
    <w:p>
      <w:r>
        <w:br w:type="page"/>
      </w:r>
    </w:p>
    <w:p>
      <w:pPr>
        <w:pStyle w:val="Heading1"/>
      </w:pPr>
      <w:r>
        <w:t>4. QUALITY ASSURANCE FRAMEWORK</w:t>
      </w:r>
    </w:p>
    <w:p>
      <w:r>
        <w:rPr>
          <w:i/>
          <w:color w:val="646464"/>
          <w:sz w:val="18"/>
        </w:rPr>
        <w:t>Classification: STANDARD</w:t>
      </w:r>
    </w:p>
    <w:p>
      <w:r>
        <w:rPr>
          <w:i/>
          <w:color w:val="646464"/>
        </w:rPr>
        <w:t>[Standard section — to be populated with Metapointer standard template]</w:t>
      </w:r>
    </w:p>
    <w:p>
      <w:pPr>
        <w:ind w:left="283"/>
      </w:pPr>
      <w:r>
        <w:rPr>
          <w:sz w:val="20"/>
        </w:rPr>
        <w:t xml:space="preserve">*For project-specific testing strategy (unit, E2E, performance, security, RBAC testing), refer to the </w:t>
      </w:r>
      <w:r>
        <w:rPr>
          <w:b/>
          <w:sz w:val="20"/>
        </w:rPr>
        <w:t>Scope of Work document</w:t>
      </w:r>
      <w:r>
        <w:rPr>
          <w:sz w:val="20"/>
        </w:rPr>
        <w:t xml:space="preserve"> Section 1.1 — Testing &amp; Quality Assurance.*</w:t>
      </w:r>
    </w:p>
    <w:p/>
    <w:p/>
    <w:p>
      <w:r>
        <w:rPr>
          <w:b/>
        </w:rPr>
        <w:t xml:space="preserve">Prepared By: </w:t>
      </w:r>
      <w:r>
        <w:t>Metapointer</w:t>
      </w:r>
    </w:p>
    <w:p>
      <w:r>
        <w:rPr>
          <w:b/>
        </w:rPr>
        <w:t xml:space="preserve">For: </w:t>
      </w:r>
      <w:r>
        <w:t>HighRadius Corporation</w:t>
      </w:r>
    </w:p>
    <w:p>
      <w:r>
        <w:rPr>
          <w:b/>
        </w:rPr>
        <w:t xml:space="preserve">Date: </w:t>
      </w:r>
      <w:r>
        <w:t>February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