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METAPOINTER</w:t>
      </w:r>
    </w:p>
    <w:p>
      <w:pPr>
        <w:jc w:val="center"/>
      </w:pPr>
      <w:r>
        <w:rPr>
          <w:b/>
          <w:color w:val="003366"/>
          <w:sz w:val="40"/>
        </w:rPr>
        <w:t>COMPANY PROFILE &amp; CASE STUDIES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Case Studies &amp; Company Profile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About Metapointer</w:t>
      </w:r>
    </w:p>
    <w:p>
      <w:pPr>
        <w:spacing w:after="40"/>
      </w:pPr>
      <w:r>
        <w:t>2. Relevant Experience</w:t>
      </w:r>
    </w:p>
    <w:p>
      <w:pPr>
        <w:spacing w:after="40"/>
      </w:pPr>
      <w:r>
        <w:t>3. Why Metapointer for This Project</w:t>
      </w:r>
    </w:p>
    <w:p>
      <w:r>
        <w:br w:type="page"/>
      </w:r>
    </w:p>
    <w:p>
      <w:pPr>
        <w:pStyle w:val="Heading1"/>
      </w:pPr>
      <w:r>
        <w:t>1. ABOUT METAPOINTER</w:t>
      </w:r>
    </w:p>
    <w:p>
      <w:r>
        <w:rPr>
          <w:i/>
          <w:color w:val="646464"/>
          <w:sz w:val="18"/>
        </w:rPr>
        <w:t>Classification: STANDARD</w:t>
      </w:r>
    </w:p>
    <w:p>
      <w:r>
        <w:rPr>
          <w:i/>
          <w:color w:val="646464"/>
        </w:rPr>
        <w:t>[Standard section — to be populated with Metapointer standard template]</w:t>
      </w:r>
    </w:p>
    <w:p>
      <w:r>
        <w:rPr>
          <w:i/>
          <w:color w:val="646464"/>
        </w:rPr>
        <w:t>The sections below provide project-relevant capability highlights. Full company profile, certifications, and client list will be populated from the Metapointer standard template.</w:t>
      </w:r>
    </w:p>
    <w:p>
      <w:pPr>
        <w:pStyle w:val="Heading2"/>
      </w:pPr>
      <w:r>
        <w:t>1.1 Company Overview</w:t>
      </w:r>
    </w:p>
    <w:p>
      <w:r>
        <w:rPr>
          <w:i/>
          <w:color w:val="646464"/>
        </w:rPr>
        <w:t>[To be populated — Company founding, mission, team size, office locations, key markets served]</w:t>
      </w:r>
    </w:p>
    <w:p>
      <w:pPr>
        <w:pStyle w:val="Heading2"/>
      </w:pPr>
      <w:r>
        <w:t>1.2 Technical Capabilities</w:t>
      </w:r>
    </w:p>
    <w:p>
      <w:r>
        <w:t>Metapointer brings deep expertise in the exact technology stack required for this project: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Capability 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Specifics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18.x + G4 DSL (HighRadius Design System), TypeScript, responsive SPA, WCAG 2.0 AA, component-driven architecture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Boot 3.x (Java 17+), microservices, REST APIs, event-driven architecture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(OLAP + OLTP), Redis caching, multi-tenant schema design, row-level security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Keycloak IAM integration, OAuth2/OIDC/JWT, RBAC/ABAC, zero-trust architecture, HashiCorp Vault secrets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Docker, Kubernetes, Helm, CI/CD (GitHub Actions / Jenkins), Prometheus/Grafana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AWS, Azure, GCP — containerized deployments, S3-compatible storage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REST/GraphQL APIs, circuit breaker patterns, dead-letter queues, adapter pattern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SOX/GDPR-aligned audit trails, OWASP Top 10, encryption (TLS 1.3 / AES-256)</w:t>
            </w:r>
          </w:p>
        </w:tc>
      </w:tr>
    </w:tbl>
    <w:p/>
    <w:p>
      <w:pPr>
        <w:pStyle w:val="Heading2"/>
      </w:pPr>
      <w:r>
        <w:t>1.3 AI-Augmented Development</w:t>
      </w:r>
    </w:p>
    <w:p>
      <w:r>
        <w:t>Metapointer integrates AI-powered development tools into its engineering workflow:</w:t>
      </w:r>
    </w:p>
    <w:p>
      <w:pPr>
        <w:pStyle w:val="ListBullet"/>
      </w:pPr>
      <w:r>
        <w:t xml:space="preserve">All engineers equipped with </w:t>
      </w:r>
      <w:r>
        <w:rPr>
          <w:b/>
        </w:rPr>
        <w:t>Claude Opus AI</w:t>
      </w:r>
      <w:r>
        <w:t xml:space="preserve"> subscriptions</w:t>
      </w:r>
    </w:p>
    <w:p>
      <w:pPr>
        <w:pStyle w:val="ListBullet"/>
      </w:pPr>
      <w:r>
        <w:t>Proven productivity multipliers: 1.10x–1.50x across code generation, unit testing, API documentation, and DevOps</w:t>
      </w:r>
    </w:p>
    <w:p>
      <w:pPr>
        <w:pStyle w:val="ListBullet"/>
      </w:pPr>
      <w:r>
        <w:t>AI used as an accelerator, not a replacement — all AI-generated code undergoes peer review and automated testing</w:t>
      </w:r>
    </w:p>
    <w:p>
      <w:pPr>
        <w:pStyle w:val="ListBullet"/>
      </w:pPr>
      <w:r>
        <w:t>Experience applying AI to enterprise projects with security, compliance, and code quality requirements</w:t>
      </w:r>
    </w:p>
    <w:p>
      <w:pPr>
        <w:pStyle w:val="Heading2"/>
      </w:pPr>
      <w:r>
        <w:t>1.4 Delivery Governance</w:t>
      </w:r>
    </w:p>
    <w:p>
      <w:r>
        <w:rPr>
          <w:i/>
          <w:color w:val="646464"/>
        </w:rPr>
        <w:t>[To be populated — Agile methodology, project governance framework, quality gates, communication cadence, past on-time delivery metrics]</w:t>
      </w:r>
    </w:p>
    <w:p>
      <w:r>
        <w:br w:type="page"/>
      </w:r>
    </w:p>
    <w:p>
      <w:pPr>
        <w:pStyle w:val="Heading1"/>
      </w:pPr>
      <w:r>
        <w:t>2. RELEVANT EXPERIENCE</w:t>
      </w:r>
    </w:p>
    <w:p>
      <w:r>
        <w:rPr>
          <w:i/>
          <w:color w:val="646464"/>
        </w:rPr>
        <w:t>[Note: The case studies below are structured templates. Populate with actual Metapointer project data before submission. If specific client names cannot be disclosed, use anonymized descriptions (e.g., "Fortune 500 Manufacturing Company").]</w:t>
      </w:r>
    </w:p>
    <w:p>
      <w:pPr>
        <w:pStyle w:val="Heading2"/>
      </w:pPr>
      <w:r>
        <w:t>2.1 Case Study 1: Enterprise Vendor Management Portal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*[Client name or anonymized description]*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*[Industry]*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months]*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FTE]*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the business problem — e.g., manual vendor onboarding, compliance gaps, scattered data across ERPs]*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the solution built — e.g., self-service vendor portal with automated onboarding, real-time compliance screening, multi-level approval workflows]*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 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*[e.g., React, Spring Boot, PostgreSQL, Keycloak, Docker/Kubernetes]*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Outcomes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*[Quantified results — e.g., "Reduced onboarding cycle from X days to Y days", "Achieved Z% screening coverage", "Processed X invoices/month"]*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Relevance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Directly comparable to HighRadius Supplier Portal — same domain (vendor management), similar architecture (multi-tenant, role-based), comparable scale</w:t>
            </w:r>
          </w:p>
        </w:tc>
      </w:tr>
    </w:tbl>
    <w:p/>
    <w:p>
      <w:pPr>
        <w:pStyle w:val="Heading2"/>
      </w:pPr>
      <w:r>
        <w:t>2.2 Case Study 2: Multi-Tenant SaaS Platform — Financial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*[Client name or anonymized description]*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*[Financial Services / Fintech]*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months]*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FTE]*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— e.g., building a multi-tenant platform supporting 100+ enterprise customers with strict data isolation requirements]*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— e.g., schema-per-tenant PostgreSQL, JWT-based tenant resolution, row-level security, Keycloak IAM]*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 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*[e.g., React, Spring Boot, PostgreSQL, Redis, Keycloak, Kubernetes]*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Outcomes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*[e.g., "Zero cross-tenant data incidents", "99.9% uptime", "Onboarded X tenants in first 6 months"]*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Relevance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Demonstrates proven multi-tenancy architecture, security model, and scalability — core requirements for the HighRadius portal</w:t>
            </w:r>
          </w:p>
        </w:tc>
      </w:tr>
    </w:tbl>
    <w:p/>
    <w:p>
      <w:pPr>
        <w:pStyle w:val="Heading2"/>
      </w:pPr>
      <w:r>
        <w:t>2.3 Case Study 3: Compliance &amp; Screening Automation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*[Client name or anonymized description]*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*[Financial Services / Supply Chain / Regulatory]*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months]*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*[X FTE]*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— e.g., manual compliance screening with low coverage, regulatory risk exposure, no audit trail]*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*[Describe — e.g., automated real-time screening (sanctions, TIN, address), parallel execution, configurable approval workflows, immutable audit logging]*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 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*[e.g., Spring Boot, PostgreSQL, REST API integrations, Redis queues]*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Outcomes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*[e.g., "100% screening coverage from 30%", "Screening time reduced from X days to Y seconds", "Full audit trail for SOX compliance"]*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Relevance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Directly relevant to Supplier Screening Agent and compliance requirements — same screening patterns, audit trail design, and regulatory alignment</w:t>
            </w:r>
          </w:p>
        </w:tc>
      </w:tr>
    </w:tbl>
    <w:p/>
    <w:p>
      <w:r>
        <w:br w:type="page"/>
      </w:r>
    </w:p>
    <w:p>
      <w:pPr>
        <w:pStyle w:val="Heading1"/>
      </w:pPr>
      <w:r>
        <w:t>3. WHY METAPOINTER FOR THIS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Differentiator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How It Applies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Exact Tech Stack Match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18.x + G4 DSL, Spring Boot 3.x, PostgreSQL, Keycloak, HashiCorp Vault, Docker/Kubernetes — no learning curve, production-ready from day 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Multi-Tenancy Expertise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Proven schema-per-tenant architecture with row-level security, JWT-based tenant resolution — exactly what HighRadius requires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AI-Augmented 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1.10x–1.50x productivity gains with Claude Opus — enables a 7 FTE team (6 engineers + 1 PM) to deliver enterprise-scale portal in 20 weeks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Fixed-Price Confidence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Detailed estimation (29 screens + 11 modals, 66 APIs, 48 gaps identified) demonstrates thorough understanding — not a "figure it out later" proposal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Compliance-First Approach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OWASP Top 10, zero-trust RBAC/ABAC, immutable audit trails, infosec clearance readiness — security is engineered in, not bolted 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Wireframe-Informed Scope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91-page wireframe analysis (51 screens analyzed, 66 observations) means we already understand the product deeply</w:t>
            </w:r>
          </w:p>
        </w:tc>
      </w:tr>
    </w:tbl>
    <w:p/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