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40"/>
        </w:rPr>
        <w:t>AP SUPPLIER PORTAL</w:t>
      </w:r>
    </w:p>
    <w:p>
      <w:pPr>
        <w:jc w:val="center"/>
      </w:pPr>
      <w:r>
        <w:rPr>
          <w:b/>
          <w:color w:val="003366"/>
          <w:sz w:val="40"/>
        </w:rPr>
        <w:t>COMMERCIAL AGREEMENT &amp; CONTRACTUAL TERMS</w:t>
      </w:r>
    </w:p>
    <w:p/>
    <w:p>
      <w:pPr>
        <w:jc w:val="center"/>
      </w:pPr>
      <w:r>
        <w:rPr>
          <w:color w:val="646464"/>
          <w:sz w:val="24"/>
        </w:rPr>
        <w:t>HighRadius Corporation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Commercial Agreement (MSA)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February 28,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HighRadius Corporation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 Supplier Portal Development &amp;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 Provider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Metapointer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READY FOR SUBMISSION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/>
    <w:p>
      <w:pPr>
        <w:spacing w:after="40"/>
      </w:pPr>
      <w:r>
        <w:t>1. Commercial Proposal</w:t>
      </w:r>
    </w:p>
    <w:p>
      <w:pPr>
        <w:spacing w:after="40"/>
      </w:pPr>
      <w:r>
        <w:t>2. Legal &amp; Contractual Terms</w:t>
      </w:r>
    </w:p>
    <w:p>
      <w:pPr>
        <w:spacing w:after="40"/>
      </w:pPr>
      <w:r>
        <w:t>3. Support &amp; Warranty Model</w:t>
      </w:r>
    </w:p>
    <w:p>
      <w:pPr>
        <w:spacing w:after="40"/>
      </w:pPr>
      <w:r>
        <w:t>4. Change Management Process</w:t>
      </w:r>
    </w:p>
    <w:p>
      <w:pPr>
        <w:spacing w:after="40"/>
      </w:pPr>
      <w:r>
        <w:t>5. Risk Management</w:t>
      </w:r>
    </w:p>
    <w:p>
      <w:r>
        <w:br w:type="page"/>
      </w:r>
    </w:p>
    <w:p>
      <w:pPr>
        <w:pStyle w:val="Heading1"/>
      </w:pPr>
      <w:r>
        <w:t>1. COMMERCIAL PROPOSAL</w:t>
      </w:r>
    </w:p>
    <w:p>
      <w:r>
        <w:rPr>
          <w:i/>
          <w:color w:val="646464"/>
          <w:sz w:val="18"/>
        </w:rPr>
        <w:t>Classification: PROJECT-SPECIFIC</w:t>
      </w:r>
    </w:p>
    <w:p>
      <w:pPr>
        <w:pStyle w:val="Heading2"/>
      </w:pPr>
      <w:r>
        <w:t>1.1 Pricing Structure</w:t>
      </w:r>
    </w:p>
    <w:p>
      <w:r/>
      <w:r>
        <w:rPr>
          <w:b/>
        </w:rPr>
        <w:t>Engagement Type:</w:t>
      </w:r>
      <w:r>
        <w:t xml:space="preserve"> Fixed-Price Development &amp; Deployment</w:t>
      </w:r>
    </w:p>
    <w:p>
      <w:r>
        <w:rPr>
          <w:b/>
        </w:rPr>
        <w:t>Scope Coverage:</w:t>
      </w:r>
    </w:p>
    <w:p>
      <w:pPr>
        <w:pStyle w:val="ListBullet"/>
      </w:pPr>
      <w:r>
        <w:t>Complete development, testing, and deployment of 7 intelligent agents (4 automated, 3 assisted)</w:t>
      </w:r>
    </w:p>
    <w:p>
      <w:pPr>
        <w:pStyle w:val="ListBullet"/>
      </w:pPr>
      <w:r>
        <w:t>29 screens + 11 modals with responsive design and WCAG 2.0 AA accessibility</w:t>
      </w:r>
    </w:p>
    <w:p>
      <w:pPr>
        <w:pStyle w:val="ListBullet"/>
      </w:pPr>
      <w:r>
        <w:t>66 APIs (58 vendor-built, 7 integrations, 1 orchestration)</w:t>
      </w:r>
    </w:p>
    <w:p>
      <w:pPr>
        <w:pStyle w:val="ListBullet"/>
      </w:pPr>
      <w:r>
        <w:t>6-month hypercare support</w:t>
      </w:r>
    </w:p>
    <w:p>
      <w:pPr>
        <w:pStyle w:val="ListBullet"/>
      </w:pPr>
      <w:r>
        <w:t>Knowledge transfer and team enablement</w:t>
      </w:r>
    </w:p>
    <w:p>
      <w:pPr>
        <w:pStyle w:val="ListBullet"/>
      </w:pPr>
      <w:r>
        <w:t>All team costs and AI tooling (6 Claude Opus subscriptions)</w:t>
      </w:r>
    </w:p>
    <w:p>
      <w:r>
        <w:rPr>
          <w:b/>
        </w:rPr>
        <w:t>Quality Guarantees:</w:t>
      </w:r>
    </w:p>
    <w:p>
      <w:pPr>
        <w:pStyle w:val="ListBullet"/>
      </w:pPr>
      <w:r>
        <w:t>80% code coverage (backend and frontend)</w:t>
      </w:r>
    </w:p>
    <w:p>
      <w:pPr>
        <w:pStyle w:val="ListBullet"/>
      </w:pPr>
      <w:r>
        <w:t>&lt; 3 second API response time (P95)</w:t>
      </w:r>
    </w:p>
    <w:p>
      <w:pPr>
        <w:pStyle w:val="ListBullet"/>
      </w:pPr>
      <w:r>
        <w:t>99.5% system availability</w:t>
      </w:r>
    </w:p>
    <w:p>
      <w:pPr>
        <w:pStyle w:val="ListBullet"/>
      </w:pPr>
      <w:r>
        <w:t>90%+ KPI achievement at agent level</w:t>
      </w:r>
    </w:p>
    <w:p>
      <w:r>
        <w:rPr>
          <w:i/>
          <w:color w:val="646464"/>
        </w:rPr>
        <w:t>FYI — Detailed pricing breakdown and payment milestone schedule are provided in the Pricing Agreement (separate document).</w:t>
      </w:r>
    </w:p>
    <w:p>
      <w:pPr>
        <w:ind w:left="283"/>
      </w:pPr>
      <w:r>
        <w:rPr>
          <w:sz w:val="20"/>
        </w:rPr>
        <w:t xml:space="preserve">*For full scope details (screens, APIs, gaps, testing strategy), refer to the </w:t>
      </w:r>
      <w:r>
        <w:rPr>
          <w:b/>
          <w:sz w:val="20"/>
        </w:rPr>
        <w:t>Scope of Work document</w:t>
      </w:r>
      <w:r>
        <w:rPr>
          <w:sz w:val="20"/>
        </w:rPr>
        <w:t>.*</w:t>
      </w:r>
    </w:p>
    <w:p>
      <w:pPr>
        <w:pStyle w:val="Heading2"/>
      </w:pPr>
      <w:r>
        <w:t>1.2 Milestone Payment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Payment 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Project Kickoff &amp; Design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MVP Development Complete (UAT Ready)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MVP Go-Live (1 Live Customer)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2 UAT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Project Completion &amp; Handover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</w:tr>
    </w:tbl>
    <w:p/>
    <w:p>
      <w:r>
        <w:rPr>
          <w:b/>
        </w:rPr>
        <w:t>Project-Specific Payment Terms:</w:t>
      </w:r>
    </w:p>
    <w:p>
      <w:pPr>
        <w:pStyle w:val="ListBullet"/>
      </w:pPr>
      <w:r>
        <w:t>Net 30 days from invoice date</w:t>
      </w:r>
    </w:p>
    <w:p>
      <w:pPr>
        <w:pStyle w:val="ListBullet"/>
      </w:pPr>
      <w:r>
        <w:t>Monthly invoices for ongoing hypercare</w:t>
      </w:r>
    </w:p>
    <w:p>
      <w:pPr>
        <w:pStyle w:val="ListBullet"/>
      </w:pPr>
      <w:r>
        <w:t>Late payment penalty: 1.5% per month on overdue amounts</w:t>
      </w:r>
    </w:p>
    <w:p>
      <w:pPr>
        <w:pStyle w:val="Heading2"/>
      </w:pPr>
      <w:r>
        <w:t>1.3 Invoicing Terms</w:t>
      </w:r>
    </w:p>
    <w:p>
      <w:r>
        <w:rPr>
          <w:i/>
          <w:color w:val="646464"/>
          <w:sz w:val="18"/>
        </w:rPr>
        <w:t>Classification: STANDARD</w:t>
      </w:r>
    </w:p>
    <w:p>
      <w:r>
        <w:rPr>
          <w:i/>
          <w:color w:val="646464"/>
        </w:rPr>
        <w:t>[Standard Metapointer section — standard invoicing terms, currency, tax treatment, and billing procedures to be populated from Metapointer standard template]</w:t>
      </w:r>
    </w:p>
    <w:p>
      <w:pPr>
        <w:pStyle w:val="Heading2"/>
      </w:pPr>
      <w:r>
        <w:t>1.4 Assumptions</w:t>
      </w:r>
    </w:p>
    <w:p>
      <w:pPr>
        <w:pStyle w:val="ListBullet"/>
      </w:pPr>
      <w:r>
        <w:t>Pricing based on defined RFP scope (7 agents, 29 screens, 66 APIs, specified NFRs) with 10–15% scope variance allowance per RFP engagement model</w:t>
      </w:r>
    </w:p>
    <w:p>
      <w:pPr>
        <w:pStyle w:val="ListBullet"/>
      </w:pPr>
      <w:r>
        <w:t>Scope variance within 10–15% is absorbed within the fixed price; variance exceeding 15% is managed through formal Change Request process</w:t>
      </w:r>
    </w:p>
    <w:p>
      <w:pPr>
        <w:pStyle w:val="ListBullet"/>
      </w:pPr>
      <w:r>
        <w:t>External services (screening, bank validation, IAM) available and stable</w:t>
      </w:r>
    </w:p>
    <w:p>
      <w:pPr>
        <w:pStyle w:val="ListBullet"/>
      </w:pPr>
      <w:r>
        <w:t>ERP integration APIs accessible and documented</w:t>
      </w:r>
    </w:p>
    <w:p>
      <w:pPr>
        <w:pStyle w:val="ListBullet"/>
      </w:pPr>
      <w:r>
        <w:t>Required stakeholders available for timely review and approvals</w:t>
      </w:r>
    </w:p>
    <w:p>
      <w:pPr>
        <w:pStyle w:val="ListBullet"/>
      </w:pPr>
      <w:r>
        <w:t>Multi-tenant architecture follows agreed design patterns</w:t>
      </w:r>
    </w:p>
    <w:p>
      <w:pPr>
        <w:pStyle w:val="ListBullet"/>
      </w:pPr>
      <w:r>
        <w:t>Any deviation from these assumptions may impact cost and timeline</w:t>
      </w:r>
    </w:p>
    <w:p>
      <w:pPr>
        <w:pStyle w:val="Heading2"/>
      </w:pPr>
      <w:r>
        <w:t>1.5 Change Billing Model</w:t>
      </w:r>
    </w:p>
    <w:p>
      <w:r/>
      <w:r>
        <w:rPr>
          <w:b/>
        </w:rPr>
        <w:t>Baseline Scope:</w:t>
      </w:r>
      <w:r>
        <w:t xml:space="preserve"> 7 intelligent agents (4 automated, 3 assisted), 29 screens + 11 modals, 66 APIs (58 vendor-built, 7 integrations, 1 orchestration), 25+ core features</w:t>
      </w:r>
    </w:p>
    <w:p>
      <w:r>
        <w:rPr>
          <w:b/>
        </w:rPr>
        <w:t>Change Management Process:</w:t>
      </w:r>
    </w:p>
    <w:p>
      <w:pPr>
        <w:pStyle w:val="ListNumber"/>
      </w:pPr>
      <w:r/>
      <w:r>
        <w:rPr>
          <w:b/>
        </w:rPr>
        <w:t>Change Request Submission:</w:t>
      </w:r>
      <w:r>
        <w:t xml:space="preserve"> HighRadius submits change request with business justification</w:t>
      </w:r>
    </w:p>
    <w:p>
      <w:pPr>
        <w:pStyle w:val="ListNumber"/>
      </w:pPr>
      <w:r/>
      <w:r>
        <w:rPr>
          <w:b/>
        </w:rPr>
        <w:t>Impact Assessment:</w:t>
      </w:r>
      <w:r>
        <w:t xml:space="preserve"> Metapointer provides detailed analysis within 3 business days (technical feasibility, schedule impact, resource requirements, cost implications)</w:t>
      </w:r>
    </w:p>
    <w:p>
      <w:pPr>
        <w:pStyle w:val="ListNumber"/>
      </w:pPr>
      <w:r/>
      <w:r>
        <w:rPr>
          <w:b/>
        </w:rPr>
        <w:t>Change Advisory Board (CAB) Review:</w:t>
      </w:r>
      <w:r>
        <w:t xml:space="preserve"> HighRadius approves, defers, or rejects change</w:t>
      </w:r>
    </w:p>
    <w:p>
      <w:pPr>
        <w:pStyle w:val="ListNumber"/>
      </w:pPr>
      <w:r/>
      <w:r>
        <w:rPr>
          <w:b/>
        </w:rPr>
        <w:t>Change Order:</w:t>
      </w:r>
      <w:r>
        <w:t xml:space="preserve"> If approved, formal change order signed with cost and schedule adjustments</w:t>
      </w:r>
    </w:p>
    <w:p>
      <w:pPr>
        <w:pStyle w:val="ListNumber"/>
      </w:pPr>
      <w:r/>
      <w:r>
        <w:rPr>
          <w:b/>
        </w:rPr>
        <w:t>Billing:</w:t>
      </w:r>
      <w:r>
        <w:t xml:space="preserve"> Cost adjustment deducted from final payment or invoiced separately per change order</w:t>
      </w:r>
    </w:p>
    <w:p>
      <w:r>
        <w:br w:type="page"/>
      </w:r>
    </w:p>
    <w:p>
      <w:pPr>
        <w:pStyle w:val="Heading1"/>
      </w:pPr>
      <w:r>
        <w:t>2. LEGAL &amp; CONTRACTUAL TERMS</w:t>
      </w:r>
    </w:p>
    <w:p>
      <w:r>
        <w:rPr>
          <w:i/>
          <w:color w:val="646464"/>
          <w:sz w:val="18"/>
        </w:rPr>
        <w:t>Classification: STANDARD</w:t>
      </w:r>
    </w:p>
    <w:p>
      <w:r>
        <w:rPr>
          <w:i/>
          <w:color w:val="646464"/>
        </w:rPr>
        <w:t>[Standard section — to be populated with Metapointer standard template]</w:t>
      </w:r>
    </w:p>
    <w:p>
      <w:r>
        <w:br w:type="page"/>
      </w:r>
    </w:p>
    <w:p>
      <w:pPr>
        <w:pStyle w:val="Heading1"/>
      </w:pPr>
      <w:r>
        <w:t>3. SUPPORT &amp; WARRANTY MODEL</w:t>
      </w:r>
    </w:p>
    <w:p>
      <w:r>
        <w:rPr>
          <w:i/>
          <w:color w:val="646464"/>
          <w:sz w:val="18"/>
        </w:rPr>
        <w:t>Classification: STANDARD CORE + PROJECT TERMS</w:t>
      </w:r>
    </w:p>
    <w:p>
      <w:r>
        <w:rPr>
          <w:i/>
          <w:color w:val="646464"/>
        </w:rPr>
        <w:t>[Standard Metapointer support structure applies]</w:t>
      </w:r>
    </w:p>
    <w:p>
      <w:pPr>
        <w:pStyle w:val="Heading2"/>
      </w:pPr>
      <w:r>
        <w:t>3.1 Hypercare Terms</w:t>
      </w:r>
    </w:p>
    <w:p>
      <w:pPr>
        <w:pStyle w:val="ListBullet"/>
      </w:pPr>
      <w:r/>
      <w:r>
        <w:rPr>
          <w:b/>
        </w:rPr>
        <w:t>Hypercare Duration:</w:t>
      </w:r>
      <w:r>
        <w:t xml:space="preserve"> 6 months post-go-live (approximately July 2026 – January 2027)</w:t>
      </w:r>
    </w:p>
    <w:p>
      <w:pPr>
        <w:pStyle w:val="ListBullet"/>
      </w:pPr>
      <w:r/>
      <w:r>
        <w:rPr>
          <w:b/>
        </w:rPr>
        <w:t>Hypercare Staffing:</w:t>
      </w:r>
      <w:r>
        <w:t xml:space="preserve"> 0.5 FTE dedicated support resource rotating across the 6-person engineering team (~13 weeks of part-time effort)</w:t>
      </w:r>
    </w:p>
    <w:p>
      <w:pPr>
        <w:pStyle w:val="Heading2"/>
      </w:pPr>
      <w:r>
        <w:t>3.2 Support SLAs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Response SLA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Resolution Target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 (Critical — system down)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Portal inaccessible, data corruption, cross-tenant data leak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4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8 hours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 (High — major feature impaired)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Approval workflow broken, screening fails silently, PO sync error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8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24 hours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P3 (Medium — workaround available)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 metrics incorrect, filter not working, UI alignment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24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 business days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P4 (Low — cosmetic/minor)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Tooltip missing, color mismatch, minor label typo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Next business 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Next sprint</w:t>
            </w:r>
          </w:p>
        </w:tc>
      </w:tr>
    </w:tbl>
    <w:p/>
    <w:p>
      <w:r/>
      <w:r>
        <w:rPr>
          <w:b/>
        </w:rPr>
        <w:t>Reporting:</w:t>
      </w:r>
      <w:r>
        <w:t xml:space="preserve"> Weekly updates via email/call and PVA (Product Velocity Analysis) on deliverables per RFP Section 5.</w:t>
      </w:r>
    </w:p>
    <w:p>
      <w:pPr>
        <w:pStyle w:val="Heading2"/>
      </w:pPr>
      <w:r>
        <w:t>3.3 Escalation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Timeframe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Auto-Escalation Rule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Personnel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Tier 1 — Technical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Bug fixes, configuration, environment issues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If unresolved after 24h → auto-escalate to Tier 2 with notification to both PMs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Engineering team lead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Tier 2 — Management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Cross-team blockers, resource conflicts, priority disputes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48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If unresolved after 48h → auto-escalate to Tier 3 with incident brief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Project Managers (both sides)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Tier 3 — Executive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Contractual issues, scope disputes, critical failures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agreement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Executive review with formal incident report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Delivery heads / stakeholders</w:t>
            </w:r>
          </w:p>
        </w:tc>
      </w:tr>
    </w:tbl>
    <w:p/>
    <w:p>
      <w:r>
        <w:t>All escalations logged in Jira with timestamps and resolution notes.</w:t>
      </w:r>
    </w:p>
    <w:p>
      <w:pPr>
        <w:pStyle w:val="Heading2"/>
      </w:pPr>
      <w:r>
        <w:t>3.4 Handover Repository</w:t>
      </w:r>
    </w:p>
    <w:p>
      <w:r>
        <w:t>Per RFP Section 6, the following will be delivered:</w:t>
      </w:r>
    </w:p>
    <w:p>
      <w:pPr>
        <w:pStyle w:val="ListBullet"/>
      </w:pPr>
      <w:r>
        <w:t>GIT repository with full source code</w:t>
      </w:r>
    </w:p>
    <w:p>
      <w:pPr>
        <w:pStyle w:val="ListBullet"/>
      </w:pPr>
      <w:r>
        <w:t>Design documents (architecture, technical design, API specs)</w:t>
      </w:r>
    </w:p>
    <w:p>
      <w:pPr>
        <w:pStyle w:val="ListBullet"/>
      </w:pPr>
      <w:r>
        <w:t>KT (Knowledge Transfer) sessions</w:t>
      </w:r>
    </w:p>
    <w:p>
      <w:pPr>
        <w:pStyle w:val="ListBullet"/>
      </w:pPr>
      <w:r>
        <w:t>Deployment runbooks</w:t>
      </w:r>
    </w:p>
    <w:p>
      <w:pPr>
        <w:pStyle w:val="ListBullet"/>
      </w:pPr>
      <w:r>
        <w:t>All resources used for the product</w:t>
      </w:r>
    </w:p>
    <w:p>
      <w:r>
        <w:br w:type="page"/>
      </w:r>
    </w:p>
    <w:p>
      <w:pPr>
        <w:pStyle w:val="Heading1"/>
      </w:pPr>
      <w:r>
        <w:t>4. CHANGE MANAGEMENT PROCESS</w:t>
      </w:r>
    </w:p>
    <w:p>
      <w:r>
        <w:rPr>
          <w:i/>
          <w:color w:val="646464"/>
          <w:sz w:val="18"/>
        </w:rPr>
        <w:t>Classification: STANDARD</w:t>
      </w:r>
    </w:p>
    <w:p>
      <w:r>
        <w:rPr>
          <w:i/>
          <w:color w:val="646464"/>
        </w:rPr>
        <w:t>[Standard section — to be populated with Metapointer standard template]</w:t>
      </w:r>
    </w:p>
    <w:p>
      <w:r>
        <w:br w:type="page"/>
      </w:r>
    </w:p>
    <w:p>
      <w:pPr>
        <w:pStyle w:val="Heading1"/>
      </w:pPr>
      <w:r>
        <w:t>5. RISK MANAGEMENT</w:t>
      </w:r>
    </w:p>
    <w:p>
      <w:r>
        <w:rPr>
          <w:i/>
          <w:color w:val="646464"/>
          <w:sz w:val="18"/>
        </w:rPr>
        <w:t>Classification: STANDARD FRAMEWORK + PROJECT RISKS</w:t>
      </w:r>
    </w:p>
    <w:p>
      <w:r>
        <w:rPr>
          <w:i/>
          <w:color w:val="646464"/>
        </w:rPr>
        <w:t>[Standard Metapointer risk methodology applies]</w:t>
      </w:r>
    </w:p>
    <w:p>
      <w:pPr>
        <w:pStyle w:val="Heading2"/>
      </w:pPr>
      <w:r>
        <w:t>5.1 Project-Specific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G4 Platform Integration Delays: G4 OOB components or environment not ready on 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Early Sprint 0 integration testing; mock services as fallback; weekly sync with HighRadius platform team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HighRadius API Instability: Screening, bank validation, or Keycloak APIs unstable or undocumented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API contract validation in Sprint 0; adapter pattern with circuit breakers; fallback error handling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Multi-Tenancy Complexity: Data isolation errors or tenant configuration conflicts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Schema-per-tenant design validation; automated isolation testing; row-level security enforcement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Undesigned Screens (16 of 29): 55% of screens require UX design from scratch before development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Sprint 0 design sprint; UX running 1 sprint ahead of development; weekly design reviews with HighRadius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Workflow Configuration Complexity: Complex approval chains causing routing conflicts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Clear workflow design docs; validation before activation; escalation logic testing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Performance at Scale: Large PO/invoice datasets affecting grid performance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Virtual scrolling, pagination, query optimization, load testing before go-live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ERP Integration Variability: Different ERP formats/behaviors across SAP/Oracle/NetSuite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Adapter pattern per ERP; early integration with sample data; dedicated Sprint 0 API mapping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Regulatory/Compliance Changes: Updated sanctions lists or compliance requirements mid-project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Modular validation architecture; configurable rule engine; decoupled screening service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Adoption Risk: Low supplier adoption of self-service portal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Intuitive UX design, onboarding communication templates, dashboard visibility, training support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Requirement Mismatch at UAT: Delivered features not matching requirement intent despite matching spec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Sprint 0 design sprint + UX 1 sprint ahead + weekly design reviews + written confirmation of ambiguous requirements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Disaster Recovery / Data Loss: Infrastructure failure, data corruption, or security breach in production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Backup strategy, DR scenarios, BCP procedures (see below)</w:t>
            </w:r>
          </w:p>
        </w:tc>
      </w:tr>
    </w:tbl>
    <w:p/>
    <w:p>
      <w:pPr>
        <w:pStyle w:val="Heading2"/>
      </w:pPr>
      <w:r>
        <w:t>5.2 Disaster Recovery &amp; Business Continuity</w:t>
      </w:r>
    </w:p>
    <w:p>
      <w:r>
        <w:rPr>
          <w:b/>
        </w:rPr>
        <w:t>DR Components: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DR 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Strategy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 Backups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Automated daily full backups + continuous WAL (Write-Ahead Log) archiving; point-in-time recovery capability; backups stored in separate availability zone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Application State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Stateless microservices — no in-memory state to recover; Kubernetes handles pod replacement automatically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Configuration &amp; Secrets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HashiCorp Vault with HA configuration; Helm charts and infrastructure-as-code in version control; reproducible deployments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 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S3-compatible storage with cross-region replication; versioning enabled for all uploaded documents</w:t>
            </w:r>
          </w:p>
        </w:tc>
      </w:tr>
    </w:tbl>
    <w:p/>
    <w:p>
      <w:r>
        <w:rPr>
          <w:b/>
        </w:rPr>
        <w:t>Disaster Recovery Scenarios: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RTO (Recovery Time)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RPO (Recovery Point)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Recovery Procedure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Single pod/container failure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 minute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Zero data loss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Kubernetes auto-restart; health check detects and replaces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Database primary failure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15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 minute (WAL)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Automatic failover to read replica; promote to primary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 cluster failure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 hour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Restore from backup; redeploy via Helm charts; DNS failover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corruption (logical)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Point-in-time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 PITR to pre-corruption timestamp; validate data integrity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Security breach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4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Isolate affected systems; rotate all credentials via Vault; forensic analysis; restore from clean backup</w:t>
            </w:r>
          </w:p>
        </w:tc>
      </w:tr>
    </w:tbl>
    <w:p/>
    <w:p>
      <w:r>
        <w:rPr>
          <w:b/>
        </w:rPr>
        <w:t>Business Continuity Plan:</w:t>
      </w:r>
    </w:p>
    <w:p>
      <w:pPr>
        <w:pStyle w:val="ListBullet"/>
      </w:pPr>
      <w:r/>
      <w:r>
        <w:rPr>
          <w:b/>
        </w:rPr>
        <w:t>Incident Detection:</w:t>
      </w:r>
      <w:r>
        <w:t xml:space="preserve"> Automated monitoring alerts (PagerDuty/OpsGenie), user-reported incidents via support portal, regular health checks every 5 minutes</w:t>
      </w:r>
    </w:p>
    <w:p>
      <w:pPr>
        <w:pStyle w:val="ListBullet"/>
      </w:pPr>
      <w:r/>
      <w:r>
        <w:rPr>
          <w:b/>
        </w:rPr>
        <w:t>Incident Response:</w:t>
      </w:r>
      <w:r>
        <w:t xml:space="preserve"> Activate on-call engineer → assess severity per SLA tiers → execute recovery per scenario matrix → communicate with stakeholders via pre-defined escalation channels</w:t>
      </w:r>
    </w:p>
    <w:p>
      <w:pPr>
        <w:pStyle w:val="ListBullet"/>
      </w:pPr>
      <w:r/>
      <w:r>
        <w:rPr>
          <w:b/>
        </w:rPr>
        <w:t>Post-Incident:</w:t>
      </w:r>
      <w:r>
        <w:t xml:space="preserve"> Root cause analysis (RCA) within 48 hours of resolution. Implement preventive measures. Update runbooks and documentation. Blameless post-mortem shared with HighRadius engineering team</w:t>
      </w:r>
    </w:p>
    <w:p/>
    <w:p/>
    <w:p>
      <w:r>
        <w:rPr>
          <w:b/>
        </w:rPr>
        <w:t xml:space="preserve">Prepared By: </w:t>
      </w:r>
      <w:r>
        <w:t>Metapointer</w:t>
      </w:r>
    </w:p>
    <w:p>
      <w:r>
        <w:rPr>
          <w:b/>
        </w:rPr>
        <w:t xml:space="preserve">For: </w:t>
      </w:r>
      <w:r>
        <w:t>HighRadius Corporation</w:t>
      </w:r>
    </w:p>
    <w:p>
      <w:r>
        <w:rPr>
          <w:b/>
        </w:rPr>
        <w:t xml:space="preserve">Date: </w:t>
      </w:r>
      <w:r>
        <w:t>February 28,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