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Teknisk beskrivning</w:t>
      </w:r>
    </w:p>
    <w:p>
      <w:r>
        <w:t>Rivningsarbeten ska utföras enligt AMA Anläggning 23.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Arbete</w:t>
            </w:r>
          </w:p>
        </w:tc>
        <w:tc>
          <w:tcPr>
            <w:tcW w:type="dxa" w:w="2880"/>
          </w:tcPr>
          <w:p>
            <w:r>
              <w:t>Mängd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Rivning</w:t>
            </w:r>
          </w:p>
        </w:tc>
        <w:tc>
          <w:tcPr>
            <w:tcW w:type="dxa" w:w="2880"/>
          </w:tcPr>
          <w:p>
            <w:r>
              <w:t>120 m²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Sanering</w:t>
            </w:r>
          </w:p>
        </w:tc>
        <w:tc>
          <w:tcPr>
            <w:tcW w:type="dxa" w:w="2880"/>
          </w:tcPr>
          <w:p>
            <w:r>
              <w:t>45 m²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Sida 1 – Konfidentiellt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DACO Contractor – Förfrågningsunderlag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