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 to verify borders, headers, and footers.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440" w:bottom="1080" w:left="1800" w:header="720" w:footer="720" w:gutter="0"/>
      <w:cols w:space="720"/>
      <w:docGrid w:linePitch="360"/>
      <w:pgBorders w:offsetFrom="page">
        <w:top w:val="thinThickSmallGap" w:sz="24" w:space="24" w:color="auto"/>
        <w:left w:val="thinThickSmallGap" w:sz="24" w:space="31" w:color="auto"/>
        <w:bottom w:val="thickThinSmallGap" w:sz="24" w:space="24" w:color="auto"/>
        <w:right w:val="thickThinSmallGap" w:sz="24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  <w:pBdr>
        <w:top w:val="single" w:sz="6" w:space="4" w:color="CCCCCC"/>
      </w:pBdr>
    </w:pPr>
    <w:r>
      <w:rPr>
        <w:rFonts w:ascii="Times New Roman" w:hAnsi="Times New Roman"/>
        <w:b/>
        <w:color w:val="505050"/>
        <w:sz w:val="19"/>
      </w:rPr>
      <w:t>Dept. of ISE, AcIT                                                               2026 - 2027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CCCCCC"/>
      </w:pBdr>
    </w:pPr>
    <w:r>
      <w:rPr>
        <w:rFonts w:ascii="Times New Roman" w:hAnsi="Times New Roman"/>
        <w:i/>
        <w:color w:val="646464"/>
        <w:sz w:val="19"/>
      </w:rPr>
      <w:t>BreachShield: AI Powered OSINT Breach Detection &amp; Dark Web Protection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