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papertitle"/>
        <w:spacing w:before="0" w:after="120"/>
        <w:jc w:val="center"/>
      </w:pPr>
      <w:r>
        <w:rPr>
          <w:rFonts w:ascii="Times New Roman" w:hAnsi="Times New Roman"/>
          <w:sz w:val="48"/>
        </w:rPr>
        <w:t>BreachShield: A Privacy-Preserving OSINT Breach Intelligence Platform with k-Anonymous Search and Blockchain-Anchored Audit Logging</w:t>
      </w:r>
    </w:p>
    <w:tbl>
      <w:tblPr>
        <w:tblW w:type="auto" w:w="0"/>
        <w:jc w:val="center"/>
        <w:tblLook w:firstColumn="1" w:firstRow="1" w:lastColumn="0" w:lastRow="0" w:noHBand="0" w:noVBand="1" w:val="04A0"/>
      </w:tblPr>
      <w:tblGrid>
        <w:gridCol w:w="5060"/>
        <w:gridCol w:w="5060"/>
      </w:tblGrid>
      <w:tr>
        <w:tc>
          <w:tcPr>
            <w:tcW w:type="dxa" w:w="5328"/>
            <w:tcBorders>
              <w:top w:val="none"/>
              <w:left w:val="none"/>
              <w:bottom w:val="none"/>
              <w:right w:val="none"/>
            </w:tcBorders>
          </w:tcPr>
          <w:p>
            <w:pPr>
              <w:spacing w:before="40" w:after="80" w:line="252" w:lineRule="auto"/>
              <w:jc w:val="center"/>
            </w:pPr>
            <w:r>
              <w:rPr>
                <w:rFonts w:ascii="Times New Roman" w:hAnsi="Times New Roman"/>
                <w:b/>
                <w:sz w:val="19"/>
              </w:rPr>
              <w:t>Arvind D. H., Girishkumar N. M., Manoj, Premkumar Teli</w:t>
              <w:br/>
            </w:r>
            <w:r>
              <w:rPr>
                <w:rFonts w:ascii="Times New Roman" w:hAnsi="Times New Roman"/>
                <w:i/>
                <w:sz w:val="17"/>
              </w:rPr>
              <w:t>Dept. of Information Science and Engineering</w:t>
              <w:br/>
              <w:t>Acharya Institute of Technology, Bengaluru, India</w:t>
            </w:r>
          </w:p>
        </w:tc>
        <w:tc>
          <w:tcPr>
            <w:tcW w:type="dxa" w:w="4752"/>
            <w:tcBorders>
              <w:top w:val="none"/>
              <w:left w:val="none"/>
              <w:bottom w:val="none"/>
              <w:right w:val="none"/>
            </w:tcBorders>
          </w:tcPr>
          <w:p>
            <w:pPr>
              <w:spacing w:before="40" w:after="80" w:line="252" w:lineRule="auto"/>
              <w:jc w:val="center"/>
            </w:pPr>
            <w:r>
              <w:rPr>
                <w:rFonts w:ascii="Times New Roman" w:hAnsi="Times New Roman"/>
                <w:b/>
                <w:sz w:val="19"/>
              </w:rPr>
              <w:t>Sushma T. M.</w:t>
              <w:br/>
            </w:r>
            <w:r>
              <w:rPr>
                <w:rFonts w:ascii="Times New Roman" w:hAnsi="Times New Roman"/>
                <w:i/>
                <w:sz w:val="17"/>
              </w:rPr>
              <w:t>Project Guide, Assistant Professor</w:t>
              <w:br/>
              <w:t>Dept. of Information Science and Engineering</w:t>
              <w:br/>
              <w:t>Acharya Institute of Technology</w:t>
            </w:r>
          </w:p>
        </w:tc>
      </w:tr>
    </w:tbl>
    <w:p>
      <w:pPr>
        <w:spacing w:before="0" w:after="80"/>
        <w:sectPr>
          <w:type w:val="continuous"/>
          <w:pgSz w:w="11906" w:h="16838" w:code="9"/>
          <w:pgMar w:top="540" w:right="893" w:bottom="1440" w:left="893" w:header="720" w:footer="720" w:gutter="0"/>
          <w:cols w:space="720"/>
          <w:docGrid w:linePitch="360"/>
        </w:sectPr>
      </w:pPr>
    </w:p>
    <w:p>
      <w:pPr>
        <w:pStyle w:val="Abstract"/>
      </w:pPr>
      <w:r>
        <w:rPr>
          <w:rFonts w:ascii="Times New Roman" w:hAnsi="Times New Roman"/>
          <w:b/>
          <w:i/>
          <w:sz w:val="18"/>
        </w:rPr>
        <w:t>Abstract—</w:t>
      </w:r>
      <w:r>
        <w:rPr>
          <w:rFonts w:ascii="Times New Roman" w:hAnsi="Times New Roman"/>
          <w:sz w:val="18"/>
        </w:rPr>
        <w:t>Breach-checking services face a structural privacy tension: to learn whether an identifier has been compromised, a user is typically asked to submit that identifier, in the clear, to a third-party server. This paper presents BreachShield, an OSINT-based breach intelligence platform that avoids this exposure through a client-side k-anonymity search protocol (5-hex-character SHA-256 prefix disclosure), combined with a dual-channel out-of-band OTP identity gate, a pluggable multi-source OSINT registry, a dynamically-computed exposure risk-scoring engine, a gradient-boosted breach-severity classifier (XGBoost, 89.2% test accuracy on 1,034 curated records), and a Merkle-tree-batched audit log anchored to a local EVM smart contract. The platform's backend and frontend test suites pass in full (101/101 and 50/50 respectively), and a live pretrained URL-transformer phishing classifier is confirmed functioning on the production search path. We document the system at the level of its real class structures, call sequences, and data flow, report a comparative benchmark of tree-based against deep-learning severity classification, and give a transparent account of the platform's current limitations — including an unresolved blockchain auto-deployment defect, two not-yet-integrated OSINT source adapters, and a data-scarce CRITICAL severity class — together with a concrete remediation plan.</w:t>
      </w:r>
    </w:p>
    <w:p>
      <w:pPr>
        <w:pStyle w:val="Keywords"/>
      </w:pPr>
      <w:r>
        <w:rPr>
          <w:rFonts w:ascii="Times New Roman" w:hAnsi="Times New Roman"/>
          <w:b/>
          <w:i/>
          <w:sz w:val="18"/>
        </w:rPr>
        <w:t>Index Terms—</w:t>
      </w:r>
      <w:r>
        <w:rPr>
          <w:rFonts w:ascii="Times New Roman" w:hAnsi="Times New Roman"/>
          <w:i/>
          <w:sz w:val="18"/>
        </w:rPr>
        <w:t>OSINT, breach intelligence, dark web monitoring, k-anonymity, XGBoost, blockchain audit log, tamper-evident logging, phishing detection.</w:t>
      </w:r>
    </w:p>
    <w:p>
      <w:pPr>
        <w:pStyle w:val="Heading1"/>
        <w:keepNext/>
      </w:pPr>
      <w:r>
        <w:t>INTRODUCTION</w:t>
      </w:r>
    </w:p>
    <w:p>
      <w:pPr>
        <w:pStyle w:val="BodyText"/>
      </w:pPr>
      <w:r>
        <w:t>The continued growth of online services has been accompanied by a corresponding growth in credential leaks, phishing campaigns, and dark-web trade in compromised personal data [1]. IBM's 2024 Cost of a Data Breach Report puts the global average cost of a single breach at USD 4.88 million, a 10% year-on-year increase, and identifies compromised credentials as the single most common root cause, responsible for 16% of studied breaches [19]. Existing breach-notification tooling is largely reactive: users typically learn of compromise only after an incident is publicly disclosed, and the act of checking exposure itself often requires submitting a raw email address or phone number to a third-party lookup service, converting a protective tool into a potential surveillance point.</w:t>
      </w:r>
    </w:p>
    <w:p>
      <w:pPr>
        <w:pStyle w:val="BodyText"/>
      </w:pPr>
      <w:r>
        <w:t>This paper documents BreachShield, an OSINT-based breach intelligence platform developed across Project Phase 1 (conceptual design, exploratory literature survey, initial system requirements) and Project Phase 2 (production-oriented implementation) at the Department of Information Science and Engineering, Acharya Institute of Technology. The Phase 1 proposal described a broader cybersecurity suite spanning browser phishing protection, a general vulnerability scanner, third-party threat-feed integration, and blockchain-anchored logging. Phase 2 development concentrated engineering effort on a narrower, more defensible core: eliminating server-side query surveillance through client-side k-anonymity, and establishing a tamper-evident audit trail, while treating machine-learning severity scoring as a rigorously benchmarked but separately-tracked research artifact rather than an unverified production claim.</w:t>
      </w:r>
    </w:p>
    <w:p>
      <w:pPr>
        <w:pStyle w:val="BodyText"/>
      </w:pPr>
      <w:r>
        <w:t>The contributions of this paper are:</w:t>
      </w:r>
    </w:p>
    <w:p>
      <w:pPr>
        <w:pStyle w:val="BodyText"/>
      </w:pPr>
      <w:r>
        <w:t>1) A privacy-preserving breach intelligence architecture combining client-side k-anonymity search, dual-channel OTP identity gating, a pluggable multi-source OSINT registry, a benchmarked ML severity classifier, and a Merkle-batched blockchain audit log, documented at the level of real class structures and call sequences.</w:t>
      </w:r>
    </w:p>
    <w:p>
      <w:pPr>
        <w:pStyle w:val="BodyText"/>
      </w:pPr>
      <w:r>
        <w:t>2) A regex-driven, dynamically-computed exposure risk-scoring engine that combines category-weighted pattern detection with cross-record correlation and live phishing-probability signals.</w:t>
      </w:r>
    </w:p>
    <w:p>
      <w:pPr>
        <w:pStyle w:val="BodyText"/>
      </w:pPr>
      <w:r>
        <w:t>3) A comparative benchmark of tree-based and deep-learning severity classification on breach metadata, showing a consistent and reproducible margin favouring gradient-boosted trees.</w:t>
      </w:r>
    </w:p>
    <w:p>
      <w:pPr>
        <w:pStyle w:val="BodyText"/>
      </w:pPr>
      <w:r>
        <w:t>4) A transparent account of the platform's verified capabilities alongside its open limitations, together with a concrete remediation plan for each.</w:t>
      </w:r>
    </w:p>
    <w:p>
      <w:pPr>
        <w:pStyle w:val="Heading1"/>
        <w:keepNext/>
      </w:pPr>
      <w:r>
        <w:t>RELATED WORK</w:t>
      </w:r>
    </w:p>
    <w:p>
      <w:pPr>
        <w:pStyle w:val="Heading2"/>
        <w:keepNext/>
      </w:pPr>
      <w:r>
        <w:t>Phishing and Malicious-URL Detection</w:t>
      </w:r>
    </w:p>
    <w:p>
      <w:pPr>
        <w:pStyle w:val="BodyText"/>
      </w:pPr>
      <w:r>
        <w:t>Character- and URL-level deep learning has been widely applied to phishing detection. Aljofey et al. [1] proposed a character-level CNN operating directly on raw URL strings, avoiding hand-engineered lexical features, and reported strong performance on a large labelled dataset. Sahingoz et al. [2] benchmarked five deep architectures (ANN, CNN, RNN, BiRNN, attention networks) across roughly five million labelled URLs, reporting CNNs as the strongest single-architecture performer for URL-only classification (98.74% accuracy). These results motivate BreachShield's use of a pretrained URL-transformer classifier (UrlBERT) on the live search path, and are consistent with our own finding that a purpose-built CNN outperforms an RNN or Transformer on our text-classification task (Section VII).</w:t>
      </w:r>
    </w:p>
    <w:p>
      <w:pPr>
        <w:pStyle w:val="Heading2"/>
        <w:keepNext/>
      </w:pPr>
      <w:r>
        <w:t>Handling Class Imbalance in Security Classification</w:t>
      </w:r>
    </w:p>
    <w:p>
      <w:pPr>
        <w:pStyle w:val="BodyText"/>
      </w:pPr>
      <w:r>
        <w:t>Severity and threat-classification datasets are frequently imbalanced toward common, lower-severity classes. Alsubaei et al. [3] report that applying SMOTE to a hybrid deep-learning phishing classifier improved accuracy from 83% to 98% on their benchmark. We return to this result in Section X when discussing BreachShield's own CRITICAL-tier data-scarcity limitation, where the test-set support is only nine records.</w:t>
      </w:r>
    </w:p>
    <w:p>
      <w:pPr>
        <w:pStyle w:val="Heading2"/>
        <w:keepNext/>
      </w:pPr>
      <w:r>
        <w:t>Explainability and Few-Shot Detection</w:t>
      </w:r>
    </w:p>
    <w:p>
      <w:pPr>
        <w:pStyle w:val="BodyText"/>
      </w:pPr>
      <w:r>
        <w:t>Pavani et al. [4] apply SHAP and LIME to malicious-URL classifiers to produce human-interpretable feature attributions, motivating our own design choice of reporting per-model probability breakdowns (Section VII) rather than a single opaque severity score. Tawfik et al. [5] demonstrate few-shot BERT-based detection for emerging phishing campaigns with limited labelled data, a regime closely analogous to BreachShield's 1,034-record breach-severity dataset.</w:t>
      </w:r>
    </w:p>
    <w:p>
      <w:pPr>
        <w:pStyle w:val="Heading2"/>
        <w:keepNext/>
      </w:pPr>
      <w:r>
        <w:t>OSINT and Dark-Web Threat Intelligence</w:t>
      </w:r>
    </w:p>
    <w:p>
      <w:pPr>
        <w:pStyle w:val="BodyText"/>
      </w:pPr>
      <w:r>
        <w:t>Kuhn et al. [6] provide a recent systematic evaluation of manual and semi-automated dark-web monitoring methodology, documenting both the intelligence value and the practical collection constraints of forum- and channel-based sources — constraints mirrored by BreachShield's own migration from commercial threat-feed APIs to a direct Telegram-channel scraper (Section III). Saleem et al. [17] survey the anonymity mechanisms underlying dark-web infrastructure, while Pastor-Galindo et al. [18] catalogue the broader OSINT tooling landscape and its open challenges; both situate BreachShield's pluggable source-registry design within an active and still-maturing research area.</w:t>
      </w:r>
    </w:p>
    <w:p>
      <w:pPr>
        <w:pStyle w:val="Heading2"/>
        <w:keepNext/>
      </w:pPr>
      <w:r>
        <w:t>Tamper-Evident and Blockchain-Backed Audit Logging</w:t>
      </w:r>
    </w:p>
    <w:p>
      <w:pPr>
        <w:pStyle w:val="BodyText"/>
      </w:pPr>
      <w:r>
        <w:t>Merkle's original hash-tree construction [11] and Crosby and Wallach's history-tree design [12] remain the foundational structures for append-only tamper-evident logging with efficient consistency proofs. Arabnouri et al. [7] recently proposed a checkpoint-based blockchain audit log that batches log entries by time interval to reduce on-chain storage — a design goal directly shared by BreachShield's own Merkle-batching approach (Section VIII), though our implementation batches by a 100-record or 60-second window and anchors to a local EVM node rather than a public chain.</w:t>
      </w:r>
    </w:p>
    <w:p>
      <w:pPr>
        <w:pStyle w:val="Heading2"/>
        <w:keepNext/>
      </w:pPr>
      <w:r>
        <w:t>Privacy-Preserving Compromise Checking</w:t>
      </w:r>
    </w:p>
    <w:p>
      <w:pPr>
        <w:pStyle w:val="BodyText"/>
      </w:pPr>
      <w:r>
        <w:t>Sweeney's k-anonymity model [8] and its application to health data by El Emam and Dankar [13] establish the general privacy guarantee BreachShield's search protocol relies on. Li et al. [9] give a rigorous security analysis of prefix-based compromised-credential-checking protocols of the kind popularised by HIBP Pwned Passwords, and propose stronger private-set-intersection-based alternatives; Section IV discusses why BreachShield retains the simpler prefix-bucket design and the resulting trade-off introduced by its OTP gate.</w:t>
      </w:r>
    </w:p>
    <w:p>
      <w:pPr>
        <w:pStyle w:val="Heading2"/>
        <w:keepNext/>
      </w:pPr>
      <w:r>
        <w:t>Gradient-Boosted Classification on Tabular Data</w:t>
      </w:r>
    </w:p>
    <w:p>
      <w:pPr>
        <w:pStyle w:val="BodyText"/>
      </w:pPr>
      <w:r>
        <w:t>Chen and Guestrin's XGBoost [10] is the classifier underlying BreachShield's severity triage. Its strong performance relative to deep architectures on BreachShield's tabular breach-metadata is consistent with the broader empirical finding of Grinsztajn et al. [14], who show tree-based models remain state-of-the-art on medium-sized tabular datasets due to neural networks' bias toward overly smooth decision functions and sensitivity to uninformative features.</w:t>
      </w:r>
    </w:p>
    <w:p>
      <w:pPr>
        <w:pStyle w:val="Heading2"/>
        <w:keepNext/>
      </w:pPr>
      <w:r>
        <w:t>Comparison to Design Choices</w:t>
      </w:r>
    </w:p>
    <w:p>
      <w:pPr>
        <w:pStyle w:val="BodyText"/>
      </w:pPr>
      <w:r>
        <w:t>Table II positions BreachShield's specific design decisions against the closest related approaches identified above, summarising where the platform follows established practice and where it makes an explicit, scoped trade-off.</w:t>
      </w:r>
    </w:p>
    <w:p>
      <w:pPr>
        <w:pStyle w:val="tablehead"/>
        <w:keepNext/>
      </w:pPr>
      <w:r>
        <w:t>RELATED WORK SUMMARY AND RELATION TO BREACHSHIELD</w:t>
      </w:r>
    </w:p>
    <w:tbl>
      <w:tblPr>
        <w:tblW w:type="auto" w:w="0"/>
        <w:jc w:val="center"/>
        <w:tblBorders>
          <w:top w:val="single" w:sz="6" w:space="0" w:color="000000"/>
          <w:bottom w:val="single" w:sz="6" w:space="0" w:color="000000"/>
          <w:insideH w:val="single" w:sz="4" w:space="0" w:color="D3D3D3"/>
          <w:left w:val="none"/>
          <w:right w:val="none"/>
          <w:insideV w:val="none"/>
        </w:tblBorders>
        <w:tblLook w:firstColumn="1" w:firstRow="1" w:lastColumn="0" w:lastRow="0" w:noHBand="0" w:noVBand="1" w:val="04A0"/>
      </w:tblPr>
      <w:tblGrid>
        <w:gridCol w:w="5046"/>
        <w:gridCol w:w="5046"/>
      </w:tblGrid>
      <w:tr>
        <w:trPr>
          <w:cantSplit/>
        </w:trPr>
        <w:tc>
          <w:tcPr>
            <w:tcW w:type="dxa" w:w="1656"/>
          </w:tcPr>
          <w:p>
            <w:pPr>
              <w:pStyle w:val="tablecolhead"/>
              <w:spacing w:before="20" w:after="20" w:line="240" w:lineRule="auto"/>
              <w:jc w:val="center"/>
            </w:pPr>
            <w:r>
              <w:rPr>
                <w:rFonts w:ascii="Times New Roman" w:hAnsi="Times New Roman"/>
                <w:b/>
                <w:sz w:val="14"/>
              </w:rPr>
              <w:t>Area</w:t>
            </w:r>
          </w:p>
        </w:tc>
        <w:tc>
          <w:tcPr>
            <w:tcW w:type="dxa" w:w="3168"/>
          </w:tcPr>
          <w:p>
            <w:pPr>
              <w:pStyle w:val="tablecolhead"/>
              <w:spacing w:before="20" w:after="20" w:line="240" w:lineRule="auto"/>
              <w:jc w:val="center"/>
            </w:pPr>
            <w:r>
              <w:rPr>
                <w:rFonts w:ascii="Times New Roman" w:hAnsi="Times New Roman"/>
                <w:b/>
                <w:sz w:val="14"/>
              </w:rPr>
              <w:t>Relation to this work</w:t>
            </w:r>
          </w:p>
        </w:tc>
      </w:tr>
      <w:tr>
        <w:trPr>
          <w:cantSplit/>
        </w:trPr>
        <w:tc>
          <w:tcPr>
            <w:tcW w:type="dxa" w:w="1656"/>
          </w:tcPr>
          <w:p>
            <w:pPr>
              <w:pStyle w:val="tablecopy"/>
              <w:spacing w:before="16" w:after="16" w:line="240" w:lineRule="auto"/>
              <w:jc w:val="left"/>
            </w:pPr>
            <w:r>
              <w:rPr>
                <w:rFonts w:ascii="Times New Roman" w:hAnsi="Times New Roman"/>
                <w:sz w:val="14"/>
              </w:rPr>
              <w:t>URL / phishing DL [1], [2]</w:t>
            </w:r>
          </w:p>
        </w:tc>
        <w:tc>
          <w:tcPr>
            <w:tcW w:type="dxa" w:w="3168"/>
          </w:tcPr>
          <w:p>
            <w:pPr>
              <w:pStyle w:val="tablecopy"/>
              <w:spacing w:before="16" w:after="16" w:line="240" w:lineRule="auto"/>
              <w:jc w:val="left"/>
            </w:pPr>
            <w:r>
              <w:rPr>
                <w:rFonts w:ascii="Times New Roman" w:hAnsi="Times New Roman"/>
                <w:sz w:val="14"/>
              </w:rPr>
              <w:t>Motivates pretrained URL-transformer classifier; matches CNN&gt;RNN/Transformer order in Sec. VII.</w:t>
            </w:r>
          </w:p>
        </w:tc>
      </w:tr>
      <w:tr>
        <w:trPr>
          <w:cantSplit/>
        </w:trPr>
        <w:tc>
          <w:tcPr>
            <w:tcW w:type="dxa" w:w="1656"/>
          </w:tcPr>
          <w:p>
            <w:pPr>
              <w:pStyle w:val="tablecopy"/>
              <w:spacing w:before="16" w:after="16" w:line="240" w:lineRule="auto"/>
              <w:jc w:val="left"/>
            </w:pPr>
            <w:r>
              <w:rPr>
                <w:rFonts w:ascii="Times New Roman" w:hAnsi="Times New Roman"/>
                <w:sz w:val="14"/>
              </w:rPr>
              <w:t>Explainability [4], [5]</w:t>
            </w:r>
          </w:p>
        </w:tc>
        <w:tc>
          <w:tcPr>
            <w:tcW w:type="dxa" w:w="3168"/>
          </w:tcPr>
          <w:p>
            <w:pPr>
              <w:pStyle w:val="tablecopy"/>
              <w:spacing w:before="16" w:after="16" w:line="240" w:lineRule="auto"/>
              <w:jc w:val="left"/>
            </w:pPr>
            <w:r>
              <w:rPr>
                <w:rFonts w:ascii="Times New Roman" w:hAnsi="Times New Roman"/>
                <w:sz w:val="14"/>
              </w:rPr>
              <w:t>Motivates per-model / per-factor probability reporting over a single opaque score.</w:t>
            </w:r>
          </w:p>
        </w:tc>
      </w:tr>
      <w:tr>
        <w:trPr>
          <w:cantSplit/>
        </w:trPr>
        <w:tc>
          <w:tcPr>
            <w:tcW w:type="dxa" w:w="1656"/>
          </w:tcPr>
          <w:p>
            <w:pPr>
              <w:pStyle w:val="tablecopy"/>
              <w:spacing w:before="16" w:after="16" w:line="240" w:lineRule="auto"/>
              <w:jc w:val="left"/>
            </w:pPr>
            <w:r>
              <w:rPr>
                <w:rFonts w:ascii="Times New Roman" w:hAnsi="Times New Roman"/>
                <w:sz w:val="14"/>
              </w:rPr>
              <w:t>Dark-web OSINT [6], [17], [18]</w:t>
            </w:r>
          </w:p>
        </w:tc>
        <w:tc>
          <w:tcPr>
            <w:tcW w:type="dxa" w:w="3168"/>
          </w:tcPr>
          <w:p>
            <w:pPr>
              <w:pStyle w:val="tablecopy"/>
              <w:spacing w:before="16" w:after="16" w:line="240" w:lineRule="auto"/>
              <w:jc w:val="left"/>
            </w:pPr>
            <w:r>
              <w:rPr>
                <w:rFonts w:ascii="Times New Roman" w:hAnsi="Times New Roman"/>
                <w:sz w:val="14"/>
              </w:rPr>
              <w:t>Parallels the move to direct channel scraping; situates the source-registry design.</w:t>
            </w:r>
          </w:p>
        </w:tc>
      </w:tr>
      <w:tr>
        <w:trPr>
          <w:cantSplit/>
        </w:trPr>
        <w:tc>
          <w:tcPr>
            <w:tcW w:type="dxa" w:w="1656"/>
          </w:tcPr>
          <w:p>
            <w:pPr>
              <w:pStyle w:val="tablecopy"/>
              <w:spacing w:before="16" w:after="16" w:line="240" w:lineRule="auto"/>
              <w:jc w:val="left"/>
            </w:pPr>
            <w:r>
              <w:rPr>
                <w:rFonts w:ascii="Times New Roman" w:hAnsi="Times New Roman"/>
                <w:sz w:val="14"/>
              </w:rPr>
              <w:t>Blockchain audit [7], [11], [12]</w:t>
            </w:r>
          </w:p>
        </w:tc>
        <w:tc>
          <w:tcPr>
            <w:tcW w:type="dxa" w:w="3168"/>
          </w:tcPr>
          <w:p>
            <w:pPr>
              <w:pStyle w:val="tablecopy"/>
              <w:spacing w:before="16" w:after="16" w:line="240" w:lineRule="auto"/>
              <w:jc w:val="left"/>
            </w:pPr>
            <w:r>
              <w:rPr>
                <w:rFonts w:ascii="Times New Roman" w:hAnsi="Times New Roman"/>
                <w:sz w:val="14"/>
              </w:rPr>
              <w:t>Foundational tamper-evident tree structure and a related batching design.</w:t>
            </w:r>
          </w:p>
        </w:tc>
      </w:tr>
      <w:tr>
        <w:trPr>
          <w:cantSplit/>
        </w:trPr>
        <w:tc>
          <w:tcPr>
            <w:tcW w:type="dxa" w:w="1656"/>
          </w:tcPr>
          <w:p>
            <w:pPr>
              <w:pStyle w:val="tablecopy"/>
              <w:spacing w:before="16" w:after="16" w:line="240" w:lineRule="auto"/>
              <w:jc w:val="left"/>
            </w:pPr>
            <w:r>
              <w:rPr>
                <w:rFonts w:ascii="Times New Roman" w:hAnsi="Times New Roman"/>
                <w:sz w:val="14"/>
              </w:rPr>
              <w:t>k-anonymity / C3 [8], [9], [13]</w:t>
            </w:r>
          </w:p>
        </w:tc>
        <w:tc>
          <w:tcPr>
            <w:tcW w:type="dxa" w:w="3168"/>
          </w:tcPr>
          <w:p>
            <w:pPr>
              <w:pStyle w:val="tablecopy"/>
              <w:spacing w:before="16" w:after="16" w:line="240" w:lineRule="auto"/>
              <w:jc w:val="left"/>
            </w:pPr>
            <w:r>
              <w:rPr>
                <w:rFonts w:ascii="Times New Roman" w:hAnsi="Times New Roman"/>
                <w:sz w:val="14"/>
              </w:rPr>
              <w:t>Theoretical basis and protocol trade-off analysis (Sec. IV-A).</w:t>
            </w:r>
          </w:p>
        </w:tc>
      </w:tr>
      <w:tr>
        <w:trPr>
          <w:cantSplit/>
        </w:trPr>
        <w:tc>
          <w:tcPr>
            <w:tcW w:type="dxa" w:w="1656"/>
          </w:tcPr>
          <w:p>
            <w:pPr>
              <w:pStyle w:val="tablecopy"/>
              <w:spacing w:before="16" w:after="16" w:line="240" w:lineRule="auto"/>
              <w:jc w:val="left"/>
            </w:pPr>
            <w:r>
              <w:rPr>
                <w:rFonts w:ascii="Times New Roman" w:hAnsi="Times New Roman"/>
                <w:sz w:val="14"/>
              </w:rPr>
              <w:t>Tabular ML [10], [14]</w:t>
            </w:r>
          </w:p>
        </w:tc>
        <w:tc>
          <w:tcPr>
            <w:tcW w:type="dxa" w:w="3168"/>
          </w:tcPr>
          <w:p>
            <w:pPr>
              <w:pStyle w:val="tablecopy"/>
              <w:spacing w:before="16" w:after="16" w:line="240" w:lineRule="auto"/>
              <w:jc w:val="left"/>
            </w:pPr>
            <w:r>
              <w:rPr>
                <w:rFonts w:ascii="Times New Roman" w:hAnsi="Times New Roman"/>
                <w:sz w:val="14"/>
              </w:rPr>
              <w:t>Explains XGBoost's margin over deep models on breach metadata.</w:t>
            </w:r>
          </w:p>
        </w:tc>
      </w:tr>
    </w:tbl>
    <w:p>
      <w:pPr>
        <w:spacing w:before="0" w:after="50"/>
      </w:pPr>
    </w:p>
    <w:p>
      <w:pPr>
        <w:pStyle w:val="tablehead"/>
        <w:keepNext/>
      </w:pPr>
      <w:r>
        <w:t>DESIGN COMPARISON AGAINST RELATED APPROACHES</w:t>
      </w:r>
    </w:p>
    <w:tbl>
      <w:tblPr>
        <w:tblW w:type="auto" w:w="0"/>
        <w:jc w:val="center"/>
        <w:tblBorders>
          <w:top w:val="single" w:sz="6" w:space="0" w:color="000000"/>
          <w:bottom w:val="single" w:sz="6" w:space="0" w:color="000000"/>
          <w:insideH w:val="single" w:sz="4" w:space="0" w:color="D3D3D3"/>
          <w:left w:val="none"/>
          <w:right w:val="none"/>
          <w:insideV w:val="none"/>
        </w:tblBorders>
        <w:tblLook w:firstColumn="1" w:firstRow="1" w:lastColumn="0" w:lastRow="0" w:noHBand="0" w:noVBand="1" w:val="04A0"/>
      </w:tblPr>
      <w:tblGrid>
        <w:gridCol w:w="3364"/>
        <w:gridCol w:w="3364"/>
        <w:gridCol w:w="3364"/>
      </w:tblGrid>
      <w:tr>
        <w:trPr>
          <w:cantSplit/>
        </w:trPr>
        <w:tc>
          <w:tcPr>
            <w:tcW w:type="dxa" w:w="1224"/>
          </w:tcPr>
          <w:p>
            <w:pPr>
              <w:pStyle w:val="tablecolhead"/>
              <w:spacing w:before="20" w:after="20" w:line="240" w:lineRule="auto"/>
              <w:jc w:val="center"/>
            </w:pPr>
            <w:r>
              <w:rPr>
                <w:rFonts w:ascii="Times New Roman" w:hAnsi="Times New Roman"/>
                <w:b/>
                <w:sz w:val="14"/>
              </w:rPr>
              <w:t>Dimension</w:t>
            </w:r>
          </w:p>
        </w:tc>
        <w:tc>
          <w:tcPr>
            <w:tcW w:type="dxa" w:w="1800"/>
          </w:tcPr>
          <w:p>
            <w:pPr>
              <w:pStyle w:val="tablecolhead"/>
              <w:spacing w:before="20" w:after="20" w:line="240" w:lineRule="auto"/>
              <w:jc w:val="center"/>
            </w:pPr>
            <w:r>
              <w:rPr>
                <w:rFonts w:ascii="Times New Roman" w:hAnsi="Times New Roman"/>
                <w:b/>
                <w:sz w:val="14"/>
              </w:rPr>
              <w:t>Related approach</w:t>
            </w:r>
          </w:p>
        </w:tc>
        <w:tc>
          <w:tcPr>
            <w:tcW w:type="dxa" w:w="1800"/>
          </w:tcPr>
          <w:p>
            <w:pPr>
              <w:pStyle w:val="tablecolhead"/>
              <w:spacing w:before="20" w:after="20" w:line="240" w:lineRule="auto"/>
              <w:jc w:val="center"/>
            </w:pPr>
            <w:r>
              <w:rPr>
                <w:rFonts w:ascii="Times New Roman" w:hAnsi="Times New Roman"/>
                <w:b/>
                <w:sz w:val="14"/>
              </w:rPr>
              <w:t>BreachShield</w:t>
            </w:r>
          </w:p>
        </w:tc>
      </w:tr>
      <w:tr>
        <w:trPr>
          <w:cantSplit/>
        </w:trPr>
        <w:tc>
          <w:tcPr>
            <w:tcW w:type="dxa" w:w="1224"/>
          </w:tcPr>
          <w:p>
            <w:pPr>
              <w:pStyle w:val="tablecopy"/>
              <w:spacing w:before="16" w:after="16" w:line="240" w:lineRule="auto"/>
              <w:jc w:val="left"/>
            </w:pPr>
            <w:r>
              <w:rPr>
                <w:rFonts w:ascii="Times New Roman" w:hAnsi="Times New Roman"/>
                <w:sz w:val="14"/>
              </w:rPr>
              <w:t>Query privacy</w:t>
            </w:r>
          </w:p>
        </w:tc>
        <w:tc>
          <w:tcPr>
            <w:tcW w:type="dxa" w:w="1800"/>
          </w:tcPr>
          <w:p>
            <w:pPr>
              <w:pStyle w:val="tablecopy"/>
              <w:spacing w:before="16" w:after="16" w:line="240" w:lineRule="auto"/>
              <w:jc w:val="left"/>
            </w:pPr>
            <w:r>
              <w:rPr>
                <w:rFonts w:ascii="Times New Roman" w:hAnsi="Times New Roman"/>
                <w:sz w:val="14"/>
              </w:rPr>
              <w:t>Prefix-bucket k-anonymity, no linkage analysis [9]</w:t>
            </w:r>
          </w:p>
        </w:tc>
        <w:tc>
          <w:tcPr>
            <w:tcW w:type="dxa" w:w="1800"/>
          </w:tcPr>
          <w:p>
            <w:pPr>
              <w:pStyle w:val="tablecopy"/>
              <w:spacing w:before="16" w:after="16" w:line="240" w:lineRule="auto"/>
              <w:jc w:val="left"/>
            </w:pPr>
            <w:r>
              <w:rPr>
                <w:rFonts w:ascii="Times New Roman" w:hAnsi="Times New Roman"/>
                <w:sz w:val="14"/>
              </w:rPr>
              <w:t>Same construction; OTP gate re-introduces session-level linkage (Sec. IV-A)</w:t>
            </w:r>
          </w:p>
        </w:tc>
      </w:tr>
      <w:tr>
        <w:trPr>
          <w:cantSplit/>
        </w:trPr>
        <w:tc>
          <w:tcPr>
            <w:tcW w:type="dxa" w:w="1224"/>
          </w:tcPr>
          <w:p>
            <w:pPr>
              <w:pStyle w:val="tablecopy"/>
              <w:spacing w:before="16" w:after="16" w:line="240" w:lineRule="auto"/>
              <w:jc w:val="left"/>
            </w:pPr>
            <w:r>
              <w:rPr>
                <w:rFonts w:ascii="Times New Roman" w:hAnsi="Times New Roman"/>
                <w:sz w:val="14"/>
              </w:rPr>
              <w:t>Audit anchoring</w:t>
            </w:r>
          </w:p>
        </w:tc>
        <w:tc>
          <w:tcPr>
            <w:tcW w:type="dxa" w:w="1800"/>
          </w:tcPr>
          <w:p>
            <w:pPr>
              <w:pStyle w:val="tablecopy"/>
              <w:spacing w:before="16" w:after="16" w:line="240" w:lineRule="auto"/>
              <w:jc w:val="left"/>
            </w:pPr>
            <w:r>
              <w:rPr>
                <w:rFonts w:ascii="Times New Roman" w:hAnsi="Times New Roman"/>
                <w:sz w:val="14"/>
              </w:rPr>
              <w:t>Time-interval checkpoint batching [7]</w:t>
            </w:r>
          </w:p>
        </w:tc>
        <w:tc>
          <w:tcPr>
            <w:tcW w:type="dxa" w:w="1800"/>
          </w:tcPr>
          <w:p>
            <w:pPr>
              <w:pStyle w:val="tablecopy"/>
              <w:spacing w:before="16" w:after="16" w:line="240" w:lineRule="auto"/>
              <w:jc w:val="left"/>
            </w:pPr>
            <w:r>
              <w:rPr>
                <w:rFonts w:ascii="Times New Roman" w:hAnsi="Times New Roman"/>
                <w:sz w:val="14"/>
              </w:rPr>
              <w:t>Count/time hybrid batch (100 rec. or 60s); local EVM, not public chain</w:t>
            </w:r>
          </w:p>
        </w:tc>
      </w:tr>
      <w:tr>
        <w:trPr>
          <w:cantSplit/>
        </w:trPr>
        <w:tc>
          <w:tcPr>
            <w:tcW w:type="dxa" w:w="1224"/>
          </w:tcPr>
          <w:p>
            <w:pPr>
              <w:pStyle w:val="tablecopy"/>
              <w:spacing w:before="16" w:after="16" w:line="240" w:lineRule="auto"/>
              <w:jc w:val="left"/>
            </w:pPr>
            <w:r>
              <w:rPr>
                <w:rFonts w:ascii="Times New Roman" w:hAnsi="Times New Roman"/>
                <w:sz w:val="14"/>
              </w:rPr>
              <w:t>Severity model</w:t>
            </w:r>
          </w:p>
        </w:tc>
        <w:tc>
          <w:tcPr>
            <w:tcW w:type="dxa" w:w="1800"/>
          </w:tcPr>
          <w:p>
            <w:pPr>
              <w:pStyle w:val="tablecopy"/>
              <w:spacing w:before="16" w:after="16" w:line="240" w:lineRule="auto"/>
              <w:jc w:val="left"/>
            </w:pPr>
            <w:r>
              <w:rPr>
                <w:rFonts w:ascii="Times New Roman" w:hAnsi="Times New Roman"/>
                <w:sz w:val="14"/>
              </w:rPr>
              <w:t>Deep learning favoured for URL/text [2]</w:t>
            </w:r>
          </w:p>
        </w:tc>
        <w:tc>
          <w:tcPr>
            <w:tcW w:type="dxa" w:w="1800"/>
          </w:tcPr>
          <w:p>
            <w:pPr>
              <w:pStyle w:val="tablecopy"/>
              <w:spacing w:before="16" w:after="16" w:line="240" w:lineRule="auto"/>
              <w:jc w:val="left"/>
            </w:pPr>
            <w:r>
              <w:rPr>
                <w:rFonts w:ascii="Times New Roman" w:hAnsi="Times New Roman"/>
                <w:sz w:val="14"/>
              </w:rPr>
              <w:t>Tree-based (XGBoost) favoured for tabular metadata, per [14]</w:t>
            </w:r>
          </w:p>
        </w:tc>
      </w:tr>
      <w:tr>
        <w:trPr>
          <w:cantSplit/>
        </w:trPr>
        <w:tc>
          <w:tcPr>
            <w:tcW w:type="dxa" w:w="1224"/>
          </w:tcPr>
          <w:p>
            <w:pPr>
              <w:pStyle w:val="tablecopy"/>
              <w:spacing w:before="16" w:after="16" w:line="240" w:lineRule="auto"/>
              <w:jc w:val="left"/>
            </w:pPr>
            <w:r>
              <w:rPr>
                <w:rFonts w:ascii="Times New Roman" w:hAnsi="Times New Roman"/>
                <w:sz w:val="14"/>
              </w:rPr>
              <w:t>Class imbalance</w:t>
            </w:r>
          </w:p>
        </w:tc>
        <w:tc>
          <w:tcPr>
            <w:tcW w:type="dxa" w:w="1800"/>
          </w:tcPr>
          <w:p>
            <w:pPr>
              <w:pStyle w:val="tablecopy"/>
              <w:spacing w:before="16" w:after="16" w:line="240" w:lineRule="auto"/>
              <w:jc w:val="left"/>
            </w:pPr>
            <w:r>
              <w:rPr>
                <w:rFonts w:ascii="Times New Roman" w:hAnsi="Times New Roman"/>
                <w:sz w:val="14"/>
              </w:rPr>
              <w:t>SMOTE: 83% → 98% [3]</w:t>
            </w:r>
          </w:p>
        </w:tc>
        <w:tc>
          <w:tcPr>
            <w:tcW w:type="dxa" w:w="1800"/>
          </w:tcPr>
          <w:p>
            <w:pPr>
              <w:pStyle w:val="tablecopy"/>
              <w:spacing w:before="16" w:after="16" w:line="240" w:lineRule="auto"/>
              <w:jc w:val="left"/>
            </w:pPr>
            <w:r>
              <w:rPr>
                <w:rFonts w:ascii="Times New Roman" w:hAnsi="Times New Roman"/>
                <w:sz w:val="14"/>
              </w:rPr>
              <w:t>Not yet applied; scoped as near-term future work (Sec. X)</w:t>
            </w:r>
          </w:p>
        </w:tc>
      </w:tr>
    </w:tbl>
    <w:p>
      <w:pPr>
        <w:spacing w:before="0" w:after="50"/>
      </w:pPr>
    </w:p>
    <w:p>
      <w:pPr>
        <w:pStyle w:val="Heading1"/>
        <w:keepNext/>
      </w:pPr>
      <w:r>
        <w:t>SYSTEM ARCHITECTURE</w:t>
      </w:r>
    </w:p>
    <w:p>
      <w:pPr>
        <w:pStyle w:val="Heading2"/>
        <w:keepNext/>
      </w:pPr>
      <w:r>
        <w:t>Design Goals and Non-Functional Requirements</w:t>
      </w:r>
    </w:p>
    <w:p>
      <w:pPr>
        <w:pStyle w:val="BodyText"/>
      </w:pPr>
      <w:r>
        <w:t>Carrying Phase 1's exploratory scope into a defensible Phase 2 implementation required prioritising a small set of non-functional requirements over feature breadth. Query confidentiality (no raw identifier ever transmitted to the server) and tamper-evidence (any modification to a logged audit event must be independently detectable) were treated as hard requirements informing the k-anonymity protocol and Merkle-anchored audit log respectively. Accountability (query sessions must be attributable to a verified identity, given the platform's multi-tenant academic deployment context) and graceful degradation (a failing OSINT source or unreachable AI microservice must not crash the search path) were treated as soft requirements, reflected in the OTP gate and in the Promise.allSettled-based concurrent source dispatch described in Section V-B. Machine-learning severity scoring was deliberately scoped as a benchmarked research artifact rather than a hard production requirement, given the reliability constraints discussed in Section VII-E.</w:t>
      </w:r>
    </w:p>
    <w:p>
      <w:pPr>
        <w:pStyle w:val="Heading2"/>
        <w:keepNext/>
      </w:pPr>
      <w:r>
        <w:t>Four-Tier Architecture</w:t>
      </w:r>
    </w:p>
    <w:p>
      <w:pPr>
        <w:pStyle w:val="BodyText"/>
      </w:pPr>
      <w:r>
        <w:t>BreachShield is organised as a four-tier monorepo: a React 19 frontend, an Express 5 API gateway, a Python FastAPI OSINT microservice, and an Android Kotlin SMS relay gateway, illustrated in Fig. 1.</w:t>
      </w:r>
    </w:p>
    <w:p>
      <w:pPr>
        <w:keepNext/>
        <w:spacing w:before="60" w:after="30"/>
        <w:jc w:val="center"/>
      </w:pPr>
      <w:r>
        <w:drawing>
          <wp:inline xmlns:a="http://schemas.openxmlformats.org/drawingml/2006/main" xmlns:pic="http://schemas.openxmlformats.org/drawingml/2006/picture">
            <wp:extent cx="3063240" cy="171541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3"/>
                    <a:stretch>
                      <a:fillRect/>
                    </a:stretch>
                  </pic:blipFill>
                  <pic:spPr>
                    <a:xfrm>
                      <a:off x="0" y="0"/>
                      <a:ext cx="3063240" cy="1715414"/>
                    </a:xfrm>
                    <a:prstGeom prst="rect"/>
                  </pic:spPr>
                </pic:pic>
              </a:graphicData>
            </a:graphic>
          </wp:inline>
        </w:drawing>
      </w:r>
    </w:p>
    <w:p>
      <w:pPr>
        <w:pStyle w:val="figurecaption"/>
        <w:keepNext w:val="0"/>
      </w:pPr>
      <w:r>
        <w:t>Four-tier BreachShield architecture.</w:t>
      </w:r>
    </w:p>
    <w:p>
      <w:pPr>
        <w:pStyle w:val="Heading2"/>
        <w:keepNext/>
      </w:pPr>
      <w:r>
        <w:t>Frontend Web Dashboard</w:t>
      </w:r>
    </w:p>
    <w:p>
      <w:pPr>
        <w:pStyle w:val="BodyText"/>
      </w:pPr>
      <w:r>
        <w:t>A React 19 single-page application performs client-side SHA-256 hashing via the W3C Web Crypto API, so that raw search targets never leave the browser in plaintext.</w:t>
      </w:r>
    </w:p>
    <w:p>
      <w:pPr>
        <w:pStyle w:val="Heading2"/>
        <w:keepNext/>
      </w:pPr>
      <w:r>
        <w:t>API Gateway</w:t>
      </w:r>
    </w:p>
    <w:p>
      <w:pPr>
        <w:pStyle w:val="BodyText"/>
      </w:pPr>
      <w:r>
        <w:t>An Express 5 service manages dual-channel OTP issuance and verification, JWT session tokens, a pluggable breach-source registry, and MySQL 8 storage with an automatic JSON-file fallback layer.</w:t>
      </w:r>
    </w:p>
    <w:p>
      <w:pPr>
        <w:pStyle w:val="Heading2"/>
        <w:keepNext/>
      </w:pPr>
      <w:r>
        <w:t>OSINT Microservice</w:t>
      </w:r>
    </w:p>
    <w:p>
      <w:pPr>
        <w:pStyle w:val="BodyText"/>
      </w:pPr>
      <w:r>
        <w:t>A Python FastAPI service integrates a Telethon-based Telegram scraper. Concurrent access to the underlying session file previously triggered a database-locked error under simultaneous asynchronous requests; this was resolved with an asyncio.Lock mutex serialising access to the Telegram client.</w:t>
      </w:r>
    </w:p>
    <w:p>
      <w:pPr>
        <w:pStyle w:val="Heading2"/>
        <w:keepNext/>
      </w:pPr>
      <w:r>
        <w:t>Android SMS Gateway</w:t>
      </w:r>
    </w:p>
    <w:p>
      <w:pPr>
        <w:pStyle w:val="BodyText"/>
      </w:pPr>
      <w:r>
        <w:t>A companion Kotlin application maintains a persistent WebSocket connection to the backend, relaying OTP codes as carrier-compliant SMS in line with Indian telecom Distributed Ledger Technology (DLT) template requirements.</w:t>
      </w:r>
    </w:p>
    <w:p>
      <w:pPr>
        <w:pStyle w:val="Heading2"/>
        <w:keepNext/>
      </w:pPr>
      <w:r>
        <w:t>Breach-Source Registry</w:t>
      </w:r>
    </w:p>
    <w:p>
      <w:pPr>
        <w:pStyle w:val="BodyText"/>
      </w:pPr>
      <w:r>
        <w:t>BreachSource is an abstract base defining a single search(normalizedTarget, targetHash) contract; four concrete adapters implement it. Of these, PublicBreachSource and TelegramScraperSource query real data — a local catalog and a live Telegram channel, respectively. PhishingFeedSource and ThreatIntelSource are registered as planned integrations and do not yet perform outbound network calls; Section X discusses this as an open item with a concrete integration plan rather than a completed capability.</w:t>
      </w:r>
    </w:p>
    <w:p>
      <w:pPr>
        <w:pStyle w:val="Heading1"/>
        <w:keepNext/>
      </w:pPr>
      <w:r>
        <w:t>PRIVACY-PRESERVING SEARCH PROTOCOL</w:t>
      </w:r>
    </w:p>
    <w:p>
      <w:pPr>
        <w:pStyle w:val="BodyText"/>
      </w:pPr>
      <w:r>
        <w:t>BreachShield's search protocol follows the k-anonymity range-query construction popularised by HIBP Pwned Passwords [9] and grounded in Sweeney's original definition [8]. The client normalises the target identifier T and computes H = SHA-256(normalize(T)), partitioning H into a 20-bit (5-hex-character) prefix P and a 236-bit suffix S. Only P is transmitted; the server queries its local record store and returns the bucket B(P), and the client performs the final suffix match locally.</w:t>
      </w:r>
    </w:p>
    <w:p>
      <w:pPr>
        <w:pStyle w:val="BodyText"/>
      </w:pPr>
      <w:r>
        <w:t>With 16⁵ = 1,048,576 prefix buckets, a corpus of N records yields an expected anonymity set E[k] = N / 1,048,576 per prefix, and the information disclosed to the server is bounded by I(T; P) ≤ log₂(16⁵) = 20 bits, independent of N.</w:t>
      </w:r>
    </w:p>
    <w:p>
      <w:pPr>
        <w:pStyle w:val="Heading2"/>
        <w:keepNext/>
      </w:pPr>
      <w:r>
        <w:t>Threat Model</w:t>
      </w:r>
    </w:p>
    <w:p>
      <w:pPr>
        <w:pStyle w:val="BodyText"/>
      </w:pPr>
      <w:r>
        <w:t>The protocol targets two adversaries. (i) A network eavesdropper observing client–server traffic sees only a 5-hex-character prefix and an authenticated session token per query, never the raw identifier or its full hash. (ii) An honest-but-curious server operator, who runs the matching logic faithfully but may attempt to infer the client's target from what is disclosed, is limited to the 20-bit prefix and, because of the OTP gate discussed below, the authenticated identity of the requester — but not which of the up-to-thousands of candidate identifiers in a bucket the client is actually checking. The protocol does not defend against a malicious client attempting to enumerate another user's exposure, nor against a server that deviates from its protocol to serve a fabricated bucket; both are treated as out of scope, consistent with the threat models used by Li et al. [9].</w:t>
      </w:r>
    </w:p>
    <w:p>
      <w:pPr>
        <w:pStyle w:val="Heading2"/>
        <w:keepNext/>
      </w:pPr>
      <w:r>
        <w:t>Client-Side Range Query</w:t>
      </w:r>
    </w:p>
    <w:p>
      <w:pPr>
        <w:pStyle w:val="BodyText"/>
      </w:pPr>
      <w:r>
        <w:t>Algorithm 1 gives the client-side procedure. Hashing and partitioning occur entirely in-browser; only the prefix P and an existing session token τ are transmitted, and the final equality check against the true suffix S is performed locally, so a compromised or malicious server never observes it.</w:t>
      </w:r>
    </w:p>
    <w:p>
      <w:pPr>
        <w:keepNext/>
        <w:spacing w:before="80" w:after="40"/>
        <w:jc w:val="left"/>
      </w:pPr>
      <w:r>
        <w:rPr>
          <w:rFonts w:ascii="Times New Roman" w:hAnsi="Times New Roman"/>
          <w:b/>
          <w:sz w:val="17"/>
        </w:rPr>
        <w:t>Algorithm 1: Client-Side k-Anonymity Range Query</w:t>
      </w:r>
    </w:p>
    <w:tbl>
      <w:tblPr>
        <w:tblW w:type="auto" w:w="0"/>
        <w:jc w:val="center"/>
        <w:tblBorders>
          <w:top w:val="single" w:sz="8" w:space="0" w:color="000000"/>
          <w:bottom w:val="single" w:sz="8" w:space="0" w:color="000000"/>
          <w:insideH w:val="none"/>
          <w:left w:val="none"/>
          <w:right w:val="none"/>
          <w:insideV w:val="none"/>
        </w:tblBorders>
        <w:tblLook w:firstColumn="1" w:firstRow="1" w:lastColumn="0" w:lastRow="0" w:noHBand="0" w:noVBand="1" w:val="04A0"/>
      </w:tblPr>
      <w:tblGrid>
        <w:gridCol w:w="10092"/>
      </w:tblGrid>
      <w:tr>
        <w:tc>
          <w:tcPr>
            <w:tcW w:type="dxa" w:w="4824"/>
          </w:tcPr>
          <w:p>
            <w:pPr>
              <w:spacing w:before="40" w:after="20" w:line="240" w:lineRule="auto"/>
            </w:pPr>
            <w:r>
              <w:rPr>
                <w:rFonts w:ascii="Times New Roman" w:hAnsi="Times New Roman"/>
                <w:b/>
                <w:sz w:val="16"/>
              </w:rPr>
              <w:t xml:space="preserve">Require: </w:t>
            </w:r>
            <w:r>
              <w:rPr>
                <w:rFonts w:ascii="Times New Roman" w:hAnsi="Times New Roman"/>
                <w:i/>
                <w:sz w:val="16"/>
              </w:rPr>
              <w:t>Target identifier T, session token τ</w:t>
            </w:r>
          </w:p>
          <w:p>
            <w:pPr>
              <w:spacing w:before="0" w:after="60" w:line="240" w:lineRule="auto"/>
            </w:pPr>
            <w:r>
              <w:rPr>
                <w:rFonts w:ascii="Times New Roman" w:hAnsi="Times New Roman"/>
                <w:b/>
                <w:sz w:val="16"/>
              </w:rPr>
              <w:t xml:space="preserve">Ensure: </w:t>
            </w:r>
            <w:r>
              <w:rPr>
                <w:rFonts w:ascii="Times New Roman" w:hAnsi="Times New Roman"/>
                <w:i/>
                <w:sz w:val="16"/>
              </w:rPr>
              <w:t>Matched breach metadata R</w:t>
            </w:r>
          </w:p>
          <w:p>
            <w:pPr>
              <w:spacing w:before="10" w:after="10" w:line="240" w:lineRule="auto"/>
            </w:pPr>
            <w:r>
              <w:rPr>
                <w:rFonts w:ascii="Times New Roman" w:hAnsi="Times New Roman"/>
                <w:b/>
                <w:sz w:val="15"/>
              </w:rPr>
              <w:t xml:space="preserve">1: </w:t>
            </w:r>
            <w:r>
              <w:rPr>
                <w:rFonts w:ascii="Courier New" w:hAnsi="Courier New"/>
                <w:sz w:val="15"/>
              </w:rPr>
              <w:t>T′ ← ToLower(Trim(T))</w:t>
            </w:r>
          </w:p>
          <w:p>
            <w:pPr>
              <w:spacing w:before="10" w:after="10" w:line="240" w:lineRule="auto"/>
            </w:pPr>
            <w:r>
              <w:rPr>
                <w:rFonts w:ascii="Times New Roman" w:hAnsi="Times New Roman"/>
                <w:b/>
                <w:sz w:val="15"/>
              </w:rPr>
              <w:t xml:space="preserve">2: </w:t>
            </w:r>
            <w:r>
              <w:rPr>
                <w:rFonts w:ascii="Courier New" w:hAnsi="Courier New"/>
                <w:sz w:val="15"/>
              </w:rPr>
              <w:t>H ← SHA-256(T′)          ▷ computed in-browser</w:t>
            </w:r>
          </w:p>
          <w:p>
            <w:pPr>
              <w:spacing w:before="10" w:after="10" w:line="240" w:lineRule="auto"/>
            </w:pPr>
            <w:r>
              <w:rPr>
                <w:rFonts w:ascii="Times New Roman" w:hAnsi="Times New Roman"/>
                <w:b/>
                <w:sz w:val="15"/>
              </w:rPr>
              <w:t xml:space="preserve">3: </w:t>
            </w:r>
            <w:r>
              <w:rPr>
                <w:rFonts w:ascii="Courier New" w:hAnsi="Courier New"/>
                <w:sz w:val="15"/>
              </w:rPr>
              <w:t>P ← H[0:5],  S ← H[5:64]</w:t>
            </w:r>
          </w:p>
          <w:p>
            <w:pPr>
              <w:spacing w:before="10" w:after="10" w:line="240" w:lineRule="auto"/>
            </w:pPr>
            <w:r>
              <w:rPr>
                <w:rFonts w:ascii="Times New Roman" w:hAnsi="Times New Roman"/>
                <w:b/>
                <w:sz w:val="15"/>
              </w:rPr>
              <w:t xml:space="preserve">4: </w:t>
            </w:r>
            <w:r>
              <w:rPr>
                <w:rFonts w:ascii="Courier New" w:hAnsi="Courier New"/>
                <w:sz w:val="15"/>
              </w:rPr>
              <w:t>B ← HTTP GET(/api/v1/range/P, Bearer τ)</w:t>
            </w:r>
          </w:p>
          <w:p>
            <w:pPr>
              <w:spacing w:before="10" w:after="10" w:line="240" w:lineRule="auto"/>
            </w:pPr>
            <w:r>
              <w:rPr>
                <w:rFonts w:ascii="Times New Roman" w:hAnsi="Times New Roman"/>
                <w:b/>
                <w:sz w:val="15"/>
              </w:rPr>
              <w:t xml:space="preserve">5: </w:t>
            </w:r>
            <w:r>
              <w:rPr>
                <w:rFonts w:ascii="Courier New" w:hAnsi="Courier New"/>
                <w:sz w:val="15"/>
              </w:rPr>
              <w:t>R ← ∅</w:t>
            </w:r>
          </w:p>
          <w:p>
            <w:pPr>
              <w:spacing w:before="10" w:after="10" w:line="240" w:lineRule="auto"/>
            </w:pPr>
            <w:r>
              <w:rPr>
                <w:rFonts w:ascii="Times New Roman" w:hAnsi="Times New Roman"/>
                <w:b/>
                <w:sz w:val="15"/>
              </w:rPr>
              <w:t xml:space="preserve">6: </w:t>
            </w:r>
            <w:r>
              <w:rPr>
                <w:rFonts w:ascii="Courier New" w:hAnsi="Courier New"/>
                <w:sz w:val="15"/>
              </w:rPr>
              <w:t>for (S_i, M_i) ∈ B do</w:t>
            </w:r>
          </w:p>
          <w:p>
            <w:pPr>
              <w:spacing w:before="10" w:after="10" w:line="240" w:lineRule="auto"/>
            </w:pPr>
            <w:r>
              <w:rPr>
                <w:rFonts w:ascii="Times New Roman" w:hAnsi="Times New Roman"/>
                <w:b/>
                <w:sz w:val="15"/>
              </w:rPr>
              <w:t xml:space="preserve">7: </w:t>
            </w:r>
            <w:r>
              <w:rPr>
                <w:rFonts w:ascii="Courier New" w:hAnsi="Courier New"/>
                <w:sz w:val="15"/>
              </w:rPr>
              <w:t xml:space="preserve">    if S_i = S then</w:t>
            </w:r>
          </w:p>
          <w:p>
            <w:pPr>
              <w:spacing w:before="10" w:after="10" w:line="240" w:lineRule="auto"/>
            </w:pPr>
            <w:r>
              <w:rPr>
                <w:rFonts w:ascii="Times New Roman" w:hAnsi="Times New Roman"/>
                <w:b/>
                <w:sz w:val="15"/>
              </w:rPr>
              <w:t xml:space="preserve">8: </w:t>
            </w:r>
            <w:r>
              <w:rPr>
                <w:rFonts w:ascii="Courier New" w:hAnsi="Courier New"/>
                <w:sz w:val="15"/>
              </w:rPr>
              <w:t xml:space="preserve">        R ← R ∪ {M_i}</w:t>
            </w:r>
          </w:p>
          <w:p>
            <w:pPr>
              <w:spacing w:before="10" w:after="10" w:line="240" w:lineRule="auto"/>
            </w:pPr>
            <w:r>
              <w:rPr>
                <w:rFonts w:ascii="Times New Roman" w:hAnsi="Times New Roman"/>
                <w:b/>
                <w:sz w:val="15"/>
              </w:rPr>
              <w:t xml:space="preserve">9: </w:t>
            </w:r>
            <w:r>
              <w:rPr>
                <w:rFonts w:ascii="Courier New" w:hAnsi="Courier New"/>
                <w:sz w:val="15"/>
              </w:rPr>
              <w:t xml:space="preserve">    end if</w:t>
            </w:r>
          </w:p>
          <w:p>
            <w:pPr>
              <w:spacing w:before="10" w:after="10" w:line="240" w:lineRule="auto"/>
            </w:pPr>
            <w:r>
              <w:rPr>
                <w:rFonts w:ascii="Times New Roman" w:hAnsi="Times New Roman"/>
                <w:b/>
                <w:sz w:val="15"/>
              </w:rPr>
              <w:t xml:space="preserve">10: </w:t>
            </w:r>
            <w:r>
              <w:rPr>
                <w:rFonts w:ascii="Courier New" w:hAnsi="Courier New"/>
                <w:sz w:val="15"/>
              </w:rPr>
              <w:t>end for</w:t>
            </w:r>
          </w:p>
          <w:p>
            <w:pPr>
              <w:spacing w:before="10" w:after="10" w:line="240" w:lineRule="auto"/>
            </w:pPr>
            <w:r>
              <w:rPr>
                <w:rFonts w:ascii="Times New Roman" w:hAnsi="Times New Roman"/>
                <w:b/>
                <w:sz w:val="15"/>
              </w:rPr>
              <w:t xml:space="preserve">11: </w:t>
            </w:r>
            <w:r>
              <w:rPr>
                <w:rFonts w:ascii="Courier New" w:hAnsi="Courier New"/>
                <w:sz w:val="15"/>
              </w:rPr>
              <w:t>return R</w:t>
            </w:r>
          </w:p>
        </w:tc>
      </w:tr>
    </w:tbl>
    <w:p>
      <w:pPr>
        <w:spacing w:before="0" w:after="40"/>
      </w:pPr>
    </w:p>
    <w:p>
      <w:pPr>
        <w:pStyle w:val="Heading2"/>
        <w:keepNext/>
      </w:pPr>
      <w:r>
        <w:t>Search-Gating Trade-off</w:t>
      </w:r>
    </w:p>
    <w:p>
      <w:pPr>
        <w:pStyle w:val="BodyText"/>
      </w:pPr>
      <w:r>
        <w:t>Search endpoints are additionally gated behind OTP-verified JWT authentication to prevent automated bucket-harvesting. This introduces a trade-off the k-anonymity guarantee alone does not resolve: the server authenticates the requester before serving a prefix bucket, so while it never learns which target within a bucket the client is interested in, it does learn who is making the query. Li et al.'s analysis of compromised-credential-checking protocols [9] treats exactly this class of trade-off and proposes private-set-intersection-based constructions that avoid it at the cost of higher protocol complexity. BreachShield retains the simpler, OTP-gated design as a deliberate scope decision for a multi-tenant platform requiring accountable query logs.</w:t>
      </w:r>
    </w:p>
    <w:p>
      <w:pPr>
        <w:pStyle w:val="Heading1"/>
        <w:keepNext/>
      </w:pPr>
      <w:r>
        <w:t>IDENTITY VERIFICATION AND SEARCH</w:t>
      </w:r>
    </w:p>
    <w:p>
      <w:pPr>
        <w:pStyle w:val="Heading2"/>
        <w:keepNext/>
      </w:pPr>
      <w:r>
        <w:t>OTP Issuance and Verification</w:t>
      </w:r>
    </w:p>
    <w:p>
      <w:pPr>
        <w:pStyle w:val="BodyText"/>
      </w:pPr>
      <w:r>
        <w:t>On send-otp, the gateway checks a 30-second resend cooldown, generates a six-digit code via a cryptographically secure random integer, hashes it with bcrypt (cost factor 10), and stores the hash with a 5-minute expiry (MySQL, with automatic JSON-file fallback on database failure). Dispatch is by email or, for phone targets, by a DLT-templated SMS relayed through the Android gateway. On verify-otp, the stored hash is checked against a maximum of five attempts within the expiry window; on success a JWT [16] (1-hour expiry, carrying the target identifier and a verified flag as claims) is issued as both a response field and an HTTP-only cookie, so that the session's identity binding — not the raw OTP — is what subsequent search requests present.</w:t>
      </w:r>
    </w:p>
    <w:p>
      <w:pPr>
        <w:pStyle w:val="Heading2"/>
        <w:keepNext/>
      </w:pPr>
      <w:r>
        <w:t>Search Request Sequence</w:t>
      </w:r>
    </w:p>
    <w:p>
      <w:pPr>
        <w:pStyle w:val="BodyText"/>
      </w:pPr>
      <w:r>
        <w:t>Fig. 2 traces the call sequence from an authenticated search request through to audit-log anchoring: the request is OTP-verified, dispatched concurrently to all registered sources, scored by the risk engine, and forwarded to the audit logger for Merkle enqueueing.</w:t>
      </w:r>
    </w:p>
    <w:p>
      <w:pPr>
        <w:keepNext/>
        <w:spacing w:before="60" w:after="30"/>
        <w:jc w:val="center"/>
      </w:pPr>
      <w:r>
        <w:drawing>
          <wp:inline xmlns:a="http://schemas.openxmlformats.org/drawingml/2006/main" xmlns:pic="http://schemas.openxmlformats.org/drawingml/2006/picture">
            <wp:extent cx="3063240" cy="1616710"/>
            <wp:docPr id="2" name="Picture 2"/>
            <wp:cNvGraphicFramePr>
              <a:graphicFrameLocks noChangeAspect="1"/>
            </wp:cNvGraphicFramePr>
            <a:graphic>
              <a:graphicData uri="http://schemas.openxmlformats.org/drawingml/2006/picture">
                <pic:pic>
                  <pic:nvPicPr>
                    <pic:cNvPr id="0" name="fig_merkle_anchoring.png"/>
                    <pic:cNvPicPr/>
                  </pic:nvPicPr>
                  <pic:blipFill>
                    <a:blip r:embed="rId14"/>
                    <a:stretch>
                      <a:fillRect/>
                    </a:stretch>
                  </pic:blipFill>
                  <pic:spPr>
                    <a:xfrm>
                      <a:off x="0" y="0"/>
                      <a:ext cx="3063240" cy="1616710"/>
                    </a:xfrm>
                    <a:prstGeom prst="rect"/>
                  </pic:spPr>
                </pic:pic>
              </a:graphicData>
            </a:graphic>
          </wp:inline>
        </w:drawing>
      </w:r>
    </w:p>
    <w:p>
      <w:pPr>
        <w:pStyle w:val="figurecaption"/>
        <w:keepNext w:val="0"/>
      </w:pPr>
      <w:r>
        <w:t>Search request sequence: OTP-gated search through risk scoring to Merkle anchoring.</w:t>
      </w:r>
    </w:p>
    <w:p>
      <w:pPr>
        <w:pStyle w:val="Heading2"/>
        <w:keepNext/>
      </w:pPr>
      <w:r>
        <w:t>Risk-Scoring Mechanism</w:t>
      </w:r>
    </w:p>
    <w:p>
      <w:pPr>
        <w:pStyle w:val="BodyText"/>
      </w:pPr>
      <w:r>
        <w:t>The risk engine operates on the aggregated multi-source result text rather than isolated structured fields. It applies regular expressions to detect password/hash material, phone numbers, email addresses, national-ID/document numbers, physical addresses, and named relations, accumulating a capped point score per category (document exposure: up to 35 points; password/hash: up to 30; address: up to 20; phone: up to 15; multiple independent sources: up to 15). Two further factors are computed dynamically: a cross-record correlation score, and, when a phishing-classifier result is available, a phishing-probability contribution of up to 30 points. The result is floored at 20 and capped at 100, then mapped to a four-tier label (LOW/MEDIUM/HIGH/CRITICAL). Source reliability and breach recency are likewise computed dynamically from the aggregated text rather than read from fixed constants. Algorithm 2 summarises the scoring procedure.</w:t>
      </w:r>
    </w:p>
    <w:p>
      <w:pPr>
        <w:keepNext/>
        <w:spacing w:before="80" w:after="40"/>
        <w:jc w:val="left"/>
      </w:pPr>
      <w:r>
        <w:rPr>
          <w:rFonts w:ascii="Times New Roman" w:hAnsi="Times New Roman"/>
          <w:b/>
          <w:sz w:val="17"/>
        </w:rPr>
        <w:t>Algorithm 2: Exposure Risk Scoring</w:t>
      </w:r>
    </w:p>
    <w:tbl>
      <w:tblPr>
        <w:tblW w:type="auto" w:w="0"/>
        <w:jc w:val="center"/>
        <w:tblBorders>
          <w:top w:val="single" w:sz="8" w:space="0" w:color="000000"/>
          <w:bottom w:val="single" w:sz="8" w:space="0" w:color="000000"/>
          <w:insideH w:val="none"/>
          <w:left w:val="none"/>
          <w:right w:val="none"/>
          <w:insideV w:val="none"/>
        </w:tblBorders>
        <w:tblLook w:firstColumn="1" w:firstRow="1" w:lastColumn="0" w:lastRow="0" w:noHBand="0" w:noVBand="1" w:val="04A0"/>
      </w:tblPr>
      <w:tblGrid>
        <w:gridCol w:w="10092"/>
      </w:tblGrid>
      <w:tr>
        <w:tc>
          <w:tcPr>
            <w:tcW w:type="dxa" w:w="4824"/>
          </w:tcPr>
          <w:p>
            <w:pPr>
              <w:spacing w:before="40" w:after="20" w:line="240" w:lineRule="auto"/>
            </w:pPr>
            <w:r>
              <w:rPr>
                <w:rFonts w:ascii="Times New Roman" w:hAnsi="Times New Roman"/>
                <w:b/>
                <w:sz w:val="16"/>
              </w:rPr>
              <w:t xml:space="preserve">Require: </w:t>
            </w:r>
            <w:r>
              <w:rPr>
                <w:rFonts w:ascii="Times New Roman" w:hAnsi="Times New Roman"/>
                <w:i/>
                <w:sz w:val="16"/>
              </w:rPr>
              <w:t>Aggregated result text X, AI result A</w:t>
            </w:r>
          </w:p>
          <w:p>
            <w:pPr>
              <w:spacing w:before="0" w:after="60" w:line="240" w:lineRule="auto"/>
            </w:pPr>
            <w:r>
              <w:rPr>
                <w:rFonts w:ascii="Times New Roman" w:hAnsi="Times New Roman"/>
                <w:b/>
                <w:sz w:val="16"/>
              </w:rPr>
              <w:t xml:space="preserve">Ensure: </w:t>
            </w:r>
            <w:r>
              <w:rPr>
                <w:rFonts w:ascii="Times New Roman" w:hAnsi="Times New Roman"/>
                <w:i/>
                <w:sz w:val="16"/>
              </w:rPr>
              <w:t>Score ∈ [20, 100], tier ∈ {LOW..CRIT}</w:t>
            </w:r>
          </w:p>
          <w:p>
            <w:pPr>
              <w:spacing w:before="10" w:after="10" w:line="240" w:lineRule="auto"/>
            </w:pPr>
            <w:r>
              <w:rPr>
                <w:rFonts w:ascii="Times New Roman" w:hAnsi="Times New Roman"/>
                <w:b/>
                <w:sz w:val="15"/>
              </w:rPr>
              <w:t xml:space="preserve">1: </w:t>
            </w:r>
            <w:r>
              <w:rPr>
                <w:rFonts w:ascii="Courier New" w:hAnsi="Courier New"/>
                <w:sz w:val="15"/>
              </w:rPr>
              <w:t>score ← 0</w:t>
            </w:r>
          </w:p>
          <w:p>
            <w:pPr>
              <w:spacing w:before="10" w:after="10" w:line="240" w:lineRule="auto"/>
            </w:pPr>
            <w:r>
              <w:rPr>
                <w:rFonts w:ascii="Times New Roman" w:hAnsi="Times New Roman"/>
                <w:b/>
                <w:sz w:val="15"/>
              </w:rPr>
              <w:t xml:space="preserve">2: </w:t>
            </w:r>
            <w:r>
              <w:rPr>
                <w:rFonts w:ascii="Courier New" w:hAnsi="Courier New"/>
                <w:sz w:val="15"/>
              </w:rPr>
              <w:t>for each category c ∈ {doc, pwd, addr, phone, multi-source} do</w:t>
            </w:r>
          </w:p>
          <w:p>
            <w:pPr>
              <w:spacing w:before="10" w:after="10" w:line="240" w:lineRule="auto"/>
            </w:pPr>
            <w:r>
              <w:rPr>
                <w:rFonts w:ascii="Times New Roman" w:hAnsi="Times New Roman"/>
                <w:b/>
                <w:sz w:val="15"/>
              </w:rPr>
              <w:t xml:space="preserve">3: </w:t>
            </w:r>
            <w:r>
              <w:rPr>
                <w:rFonts w:ascii="Courier New" w:hAnsi="Courier New"/>
                <w:sz w:val="15"/>
              </w:rPr>
              <w:t xml:space="preserve">    score ← score + min(match(X, c), cap[c])</w:t>
            </w:r>
          </w:p>
          <w:p>
            <w:pPr>
              <w:spacing w:before="10" w:after="10" w:line="240" w:lineRule="auto"/>
            </w:pPr>
            <w:r>
              <w:rPr>
                <w:rFonts w:ascii="Times New Roman" w:hAnsi="Times New Roman"/>
                <w:b/>
                <w:sz w:val="15"/>
              </w:rPr>
              <w:t xml:space="preserve">4: </w:t>
            </w:r>
            <w:r>
              <w:rPr>
                <w:rFonts w:ascii="Courier New" w:hAnsi="Courier New"/>
                <w:sz w:val="15"/>
              </w:rPr>
              <w:t>end for</w:t>
            </w:r>
          </w:p>
          <w:p>
            <w:pPr>
              <w:spacing w:before="10" w:after="10" w:line="240" w:lineRule="auto"/>
            </w:pPr>
            <w:r>
              <w:rPr>
                <w:rFonts w:ascii="Times New Roman" w:hAnsi="Times New Roman"/>
                <w:b/>
                <w:sz w:val="15"/>
              </w:rPr>
              <w:t xml:space="preserve">5: </w:t>
            </w:r>
            <w:r>
              <w:rPr>
                <w:rFonts w:ascii="Courier New" w:hAnsi="Courier New"/>
                <w:sz w:val="15"/>
              </w:rPr>
              <w:t>score ← score + Correlate(X)      ⋈ ≤ 15</w:t>
            </w:r>
          </w:p>
          <w:p>
            <w:pPr>
              <w:spacing w:before="10" w:after="10" w:line="240" w:lineRule="auto"/>
            </w:pPr>
            <w:r>
              <w:rPr>
                <w:rFonts w:ascii="Times New Roman" w:hAnsi="Times New Roman"/>
                <w:b/>
                <w:sz w:val="15"/>
              </w:rPr>
              <w:t xml:space="preserve">6: </w:t>
            </w:r>
            <w:r>
              <w:rPr>
                <w:rFonts w:ascii="Courier New" w:hAnsi="Courier New"/>
                <w:sz w:val="15"/>
              </w:rPr>
              <w:t>if A present then</w:t>
            </w:r>
          </w:p>
          <w:p>
            <w:pPr>
              <w:spacing w:before="10" w:after="10" w:line="240" w:lineRule="auto"/>
            </w:pPr>
            <w:r>
              <w:rPr>
                <w:rFonts w:ascii="Times New Roman" w:hAnsi="Times New Roman"/>
                <w:b/>
                <w:sz w:val="15"/>
              </w:rPr>
              <w:t xml:space="preserve">7: </w:t>
            </w:r>
            <w:r>
              <w:rPr>
                <w:rFonts w:ascii="Courier New" w:hAnsi="Courier New"/>
                <w:sz w:val="15"/>
              </w:rPr>
              <w:t xml:space="preserve">    score ← score + A.phishProb × 30</w:t>
            </w:r>
          </w:p>
          <w:p>
            <w:pPr>
              <w:spacing w:before="10" w:after="10" w:line="240" w:lineRule="auto"/>
            </w:pPr>
            <w:r>
              <w:rPr>
                <w:rFonts w:ascii="Times New Roman" w:hAnsi="Times New Roman"/>
                <w:b/>
                <w:sz w:val="15"/>
              </w:rPr>
              <w:t xml:space="preserve">8: </w:t>
            </w:r>
            <w:r>
              <w:rPr>
                <w:rFonts w:ascii="Courier New" w:hAnsi="Courier New"/>
                <w:sz w:val="15"/>
              </w:rPr>
              <w:t>end if</w:t>
            </w:r>
          </w:p>
          <w:p>
            <w:pPr>
              <w:spacing w:before="10" w:after="10" w:line="240" w:lineRule="auto"/>
            </w:pPr>
            <w:r>
              <w:rPr>
                <w:rFonts w:ascii="Times New Roman" w:hAnsi="Times New Roman"/>
                <w:b/>
                <w:sz w:val="15"/>
              </w:rPr>
              <w:t xml:space="preserve">9: </w:t>
            </w:r>
            <w:r>
              <w:rPr>
                <w:rFonts w:ascii="Courier New" w:hAnsi="Courier New"/>
                <w:sz w:val="15"/>
              </w:rPr>
              <w:t>score ← clamp(score, 20, 100)</w:t>
            </w:r>
          </w:p>
          <w:p>
            <w:pPr>
              <w:spacing w:before="10" w:after="10" w:line="240" w:lineRule="auto"/>
            </w:pPr>
            <w:r>
              <w:rPr>
                <w:rFonts w:ascii="Times New Roman" w:hAnsi="Times New Roman"/>
                <w:b/>
                <w:sz w:val="15"/>
              </w:rPr>
              <w:t xml:space="preserve">10: </w:t>
            </w:r>
            <w:r>
              <w:rPr>
                <w:rFonts w:ascii="Courier New" w:hAnsi="Courier New"/>
                <w:sz w:val="15"/>
              </w:rPr>
              <w:t>tier ← Threshold(score)</w:t>
            </w:r>
          </w:p>
          <w:p>
            <w:pPr>
              <w:spacing w:before="10" w:after="10" w:line="240" w:lineRule="auto"/>
            </w:pPr>
            <w:r>
              <w:rPr>
                <w:rFonts w:ascii="Times New Roman" w:hAnsi="Times New Roman"/>
                <w:b/>
                <w:sz w:val="15"/>
              </w:rPr>
              <w:t xml:space="preserve">11: </w:t>
            </w:r>
            <w:r>
              <w:rPr>
                <w:rFonts w:ascii="Courier New" w:hAnsi="Courier New"/>
                <w:sz w:val="15"/>
              </w:rPr>
              <w:t>return score, tier</w:t>
            </w:r>
          </w:p>
        </w:tc>
      </w:tr>
    </w:tbl>
    <w:p>
      <w:pPr>
        <w:spacing w:before="0" w:after="40"/>
      </w:pPr>
    </w:p>
    <w:p>
      <w:pPr>
        <w:pStyle w:val="Heading1"/>
        <w:keepNext/>
      </w:pPr>
      <w:r>
        <w:t>DATA FLOW: SEARCH TO AUDIT ANCHOR</w:t>
      </w:r>
    </w:p>
    <w:p>
      <w:pPr>
        <w:pStyle w:val="BodyText"/>
      </w:pPr>
      <w:r>
        <w:t>Table III traces the concrete data transformation at each stage of a search request, from client-side hashing through to on-chain anchoring.</w:t>
      </w:r>
    </w:p>
    <w:p>
      <w:pPr>
        <w:pStyle w:val="tablehead"/>
        <w:keepNext/>
      </w:pPr>
      <w:r>
        <w:t>SEARCH-TO-ANCHOR DATA FLOW</w:t>
      </w:r>
    </w:p>
    <w:tbl>
      <w:tblPr>
        <w:tblW w:type="auto" w:w="0"/>
        <w:jc w:val="center"/>
        <w:tblBorders>
          <w:top w:val="single" w:sz="6" w:space="0" w:color="000000"/>
          <w:bottom w:val="single" w:sz="6" w:space="0" w:color="000000"/>
          <w:insideH w:val="single" w:sz="4" w:space="0" w:color="D3D3D3"/>
          <w:left w:val="none"/>
          <w:right w:val="none"/>
          <w:insideV w:val="none"/>
        </w:tblBorders>
        <w:tblLook w:firstColumn="1" w:firstRow="1" w:lastColumn="0" w:lastRow="0" w:noHBand="0" w:noVBand="1" w:val="04A0"/>
      </w:tblPr>
      <w:tblGrid>
        <w:gridCol w:w="3364"/>
        <w:gridCol w:w="3364"/>
        <w:gridCol w:w="3364"/>
      </w:tblGrid>
      <w:tr>
        <w:trPr>
          <w:cantSplit/>
        </w:trPr>
        <w:tc>
          <w:tcPr>
            <w:tcW w:type="dxa" w:w="360"/>
          </w:tcPr>
          <w:p>
            <w:pPr>
              <w:pStyle w:val="tablecolhead"/>
              <w:spacing w:before="20" w:after="20" w:line="240" w:lineRule="auto"/>
              <w:jc w:val="center"/>
            </w:pPr>
            <w:r>
              <w:rPr>
                <w:rFonts w:ascii="Times New Roman" w:hAnsi="Times New Roman"/>
                <w:b/>
                <w:sz w:val="14"/>
              </w:rPr>
              <w:t>#</w:t>
            </w:r>
          </w:p>
        </w:tc>
        <w:tc>
          <w:tcPr>
            <w:tcW w:type="dxa" w:w="1296"/>
          </w:tcPr>
          <w:p>
            <w:pPr>
              <w:pStyle w:val="tablecolhead"/>
              <w:spacing w:before="20" w:after="20" w:line="240" w:lineRule="auto"/>
              <w:jc w:val="center"/>
            </w:pPr>
            <w:r>
              <w:rPr>
                <w:rFonts w:ascii="Times New Roman" w:hAnsi="Times New Roman"/>
                <w:b/>
                <w:sz w:val="14"/>
              </w:rPr>
              <w:t>Stage</w:t>
            </w:r>
          </w:p>
        </w:tc>
        <w:tc>
          <w:tcPr>
            <w:tcW w:type="dxa" w:w="3168"/>
          </w:tcPr>
          <w:p>
            <w:pPr>
              <w:pStyle w:val="tablecolhead"/>
              <w:spacing w:before="20" w:after="20" w:line="240" w:lineRule="auto"/>
              <w:jc w:val="center"/>
            </w:pPr>
            <w:r>
              <w:rPr>
                <w:rFonts w:ascii="Times New Roman" w:hAnsi="Times New Roman"/>
                <w:b/>
                <w:sz w:val="14"/>
              </w:rPr>
              <w:t>Data transformation</w:t>
            </w:r>
          </w:p>
        </w:tc>
      </w:tr>
      <w:tr>
        <w:trPr>
          <w:cantSplit/>
        </w:trPr>
        <w:tc>
          <w:tcPr>
            <w:tcW w:type="dxa" w:w="360"/>
          </w:tcPr>
          <w:p>
            <w:pPr>
              <w:pStyle w:val="tablecopy"/>
              <w:spacing w:before="16" w:after="16" w:line="240" w:lineRule="auto"/>
              <w:jc w:val="left"/>
            </w:pPr>
            <w:r>
              <w:rPr>
                <w:rFonts w:ascii="Times New Roman" w:hAnsi="Times New Roman"/>
                <w:sz w:val="14"/>
              </w:rPr>
              <w:t>1</w:t>
            </w:r>
          </w:p>
        </w:tc>
        <w:tc>
          <w:tcPr>
            <w:tcW w:type="dxa" w:w="1296"/>
          </w:tcPr>
          <w:p>
            <w:pPr>
              <w:pStyle w:val="tablecopy"/>
              <w:spacing w:before="16" w:after="16" w:line="240" w:lineRule="auto"/>
              <w:jc w:val="center"/>
            </w:pPr>
            <w:r>
              <w:rPr>
                <w:rFonts w:ascii="Times New Roman" w:hAnsi="Times New Roman"/>
                <w:sz w:val="14"/>
              </w:rPr>
              <w:t>Normalize</w:t>
            </w:r>
          </w:p>
        </w:tc>
        <w:tc>
          <w:tcPr>
            <w:tcW w:type="dxa" w:w="3168"/>
          </w:tcPr>
          <w:p>
            <w:pPr>
              <w:pStyle w:val="tablecopy"/>
              <w:spacing w:before="16" w:after="16" w:line="240" w:lineRule="auto"/>
              <w:jc w:val="left"/>
            </w:pPr>
            <w:r>
              <w:rPr>
                <w:rFonts w:ascii="Times New Roman" w:hAnsi="Times New Roman"/>
                <w:sz w:val="14"/>
              </w:rPr>
              <w:t>Raw string → lowercase, trimmed string</w:t>
            </w:r>
          </w:p>
        </w:tc>
      </w:tr>
      <w:tr>
        <w:trPr>
          <w:cantSplit/>
        </w:trPr>
        <w:tc>
          <w:tcPr>
            <w:tcW w:type="dxa" w:w="360"/>
          </w:tcPr>
          <w:p>
            <w:pPr>
              <w:pStyle w:val="tablecopy"/>
              <w:spacing w:before="16" w:after="16" w:line="240" w:lineRule="auto"/>
              <w:jc w:val="left"/>
            </w:pPr>
            <w:r>
              <w:rPr>
                <w:rFonts w:ascii="Times New Roman" w:hAnsi="Times New Roman"/>
                <w:sz w:val="14"/>
              </w:rPr>
              <w:t>2</w:t>
            </w:r>
          </w:p>
        </w:tc>
        <w:tc>
          <w:tcPr>
            <w:tcW w:type="dxa" w:w="1296"/>
          </w:tcPr>
          <w:p>
            <w:pPr>
              <w:pStyle w:val="tablecopy"/>
              <w:spacing w:before="16" w:after="16" w:line="240" w:lineRule="auto"/>
              <w:jc w:val="center"/>
            </w:pPr>
            <w:r>
              <w:rPr>
                <w:rFonts w:ascii="Times New Roman" w:hAnsi="Times New Roman"/>
                <w:sz w:val="14"/>
              </w:rPr>
              <w:t>Client hash</w:t>
            </w:r>
          </w:p>
        </w:tc>
        <w:tc>
          <w:tcPr>
            <w:tcW w:type="dxa" w:w="3168"/>
          </w:tcPr>
          <w:p>
            <w:pPr>
              <w:pStyle w:val="tablecopy"/>
              <w:spacing w:before="16" w:after="16" w:line="240" w:lineRule="auto"/>
              <w:jc w:val="left"/>
            </w:pPr>
            <w:r>
              <w:rPr>
                <w:rFonts w:ascii="Times New Roman" w:hAnsi="Times New Roman"/>
                <w:sz w:val="14"/>
              </w:rPr>
              <w:t>Normalized string → 64-hex SHA-256 (Web Crypto)</w:t>
            </w:r>
          </w:p>
        </w:tc>
      </w:tr>
      <w:tr>
        <w:trPr>
          <w:cantSplit/>
        </w:trPr>
        <w:tc>
          <w:tcPr>
            <w:tcW w:type="dxa" w:w="360"/>
          </w:tcPr>
          <w:p>
            <w:pPr>
              <w:pStyle w:val="tablecopy"/>
              <w:spacing w:before="16" w:after="16" w:line="240" w:lineRule="auto"/>
              <w:jc w:val="left"/>
            </w:pPr>
            <w:r>
              <w:rPr>
                <w:rFonts w:ascii="Times New Roman" w:hAnsi="Times New Roman"/>
                <w:sz w:val="14"/>
              </w:rPr>
              <w:t>3</w:t>
            </w:r>
          </w:p>
        </w:tc>
        <w:tc>
          <w:tcPr>
            <w:tcW w:type="dxa" w:w="1296"/>
          </w:tcPr>
          <w:p>
            <w:pPr>
              <w:pStyle w:val="tablecopy"/>
              <w:spacing w:before="16" w:after="16" w:line="240" w:lineRule="auto"/>
              <w:jc w:val="center"/>
            </w:pPr>
            <w:r>
              <w:rPr>
                <w:rFonts w:ascii="Times New Roman" w:hAnsi="Times New Roman"/>
                <w:sz w:val="14"/>
              </w:rPr>
              <w:t>Partition</w:t>
            </w:r>
          </w:p>
        </w:tc>
        <w:tc>
          <w:tcPr>
            <w:tcW w:type="dxa" w:w="3168"/>
          </w:tcPr>
          <w:p>
            <w:pPr>
              <w:pStyle w:val="tablecopy"/>
              <w:spacing w:before="16" w:after="16" w:line="240" w:lineRule="auto"/>
              <w:jc w:val="left"/>
            </w:pPr>
            <w:r>
              <w:rPr>
                <w:rFonts w:ascii="Times New Roman" w:hAnsi="Times New Roman"/>
                <w:sz w:val="14"/>
              </w:rPr>
              <w:t>Full hash → 5-char prefix + 59-char suffix</w:t>
            </w:r>
          </w:p>
        </w:tc>
      </w:tr>
      <w:tr>
        <w:trPr>
          <w:cantSplit/>
        </w:trPr>
        <w:tc>
          <w:tcPr>
            <w:tcW w:type="dxa" w:w="360"/>
          </w:tcPr>
          <w:p>
            <w:pPr>
              <w:pStyle w:val="tablecopy"/>
              <w:spacing w:before="16" w:after="16" w:line="240" w:lineRule="auto"/>
              <w:jc w:val="left"/>
            </w:pPr>
            <w:r>
              <w:rPr>
                <w:rFonts w:ascii="Times New Roman" w:hAnsi="Times New Roman"/>
                <w:sz w:val="14"/>
              </w:rPr>
              <w:t>4</w:t>
            </w:r>
          </w:p>
        </w:tc>
        <w:tc>
          <w:tcPr>
            <w:tcW w:type="dxa" w:w="1296"/>
          </w:tcPr>
          <w:p>
            <w:pPr>
              <w:pStyle w:val="tablecopy"/>
              <w:spacing w:before="16" w:after="16" w:line="240" w:lineRule="auto"/>
              <w:jc w:val="center"/>
            </w:pPr>
            <w:r>
              <w:rPr>
                <w:rFonts w:ascii="Times New Roman" w:hAnsi="Times New Roman"/>
                <w:sz w:val="14"/>
              </w:rPr>
              <w:t>Range query</w:t>
            </w:r>
          </w:p>
        </w:tc>
        <w:tc>
          <w:tcPr>
            <w:tcW w:type="dxa" w:w="3168"/>
          </w:tcPr>
          <w:p>
            <w:pPr>
              <w:pStyle w:val="tablecopy"/>
              <w:spacing w:before="16" w:after="16" w:line="240" w:lineRule="auto"/>
              <w:jc w:val="left"/>
            </w:pPr>
            <w:r>
              <w:rPr>
                <w:rFonts w:ascii="Times New Roman" w:hAnsi="Times New Roman"/>
                <w:sz w:val="14"/>
              </w:rPr>
              <w:t>Prefix → HTTP GET /api/v1/range/{P}</w:t>
            </w:r>
          </w:p>
        </w:tc>
      </w:tr>
      <w:tr>
        <w:trPr>
          <w:cantSplit/>
        </w:trPr>
        <w:tc>
          <w:tcPr>
            <w:tcW w:type="dxa" w:w="360"/>
          </w:tcPr>
          <w:p>
            <w:pPr>
              <w:pStyle w:val="tablecopy"/>
              <w:spacing w:before="16" w:after="16" w:line="240" w:lineRule="auto"/>
              <w:jc w:val="left"/>
            </w:pPr>
            <w:r>
              <w:rPr>
                <w:rFonts w:ascii="Times New Roman" w:hAnsi="Times New Roman"/>
                <w:sz w:val="14"/>
              </w:rPr>
              <w:t>5</w:t>
            </w:r>
          </w:p>
        </w:tc>
        <w:tc>
          <w:tcPr>
            <w:tcW w:type="dxa" w:w="1296"/>
          </w:tcPr>
          <w:p>
            <w:pPr>
              <w:pStyle w:val="tablecopy"/>
              <w:spacing w:before="16" w:after="16" w:line="240" w:lineRule="auto"/>
              <w:jc w:val="center"/>
            </w:pPr>
            <w:r>
              <w:rPr>
                <w:rFonts w:ascii="Times New Roman" w:hAnsi="Times New Roman"/>
                <w:sz w:val="14"/>
              </w:rPr>
              <w:t>Server match</w:t>
            </w:r>
          </w:p>
        </w:tc>
        <w:tc>
          <w:tcPr>
            <w:tcW w:type="dxa" w:w="3168"/>
          </w:tcPr>
          <w:p>
            <w:pPr>
              <w:pStyle w:val="tablecopy"/>
              <w:spacing w:before="16" w:after="16" w:line="240" w:lineRule="auto"/>
              <w:jc w:val="left"/>
            </w:pPr>
            <w:r>
              <w:rPr>
                <w:rFonts w:ascii="Times New Roman" w:hAnsi="Times New Roman"/>
                <w:sz w:val="14"/>
              </w:rPr>
              <w:t>Prefix → candidate bucket from local store</w:t>
            </w:r>
          </w:p>
        </w:tc>
      </w:tr>
      <w:tr>
        <w:trPr>
          <w:cantSplit/>
        </w:trPr>
        <w:tc>
          <w:tcPr>
            <w:tcW w:type="dxa" w:w="360"/>
          </w:tcPr>
          <w:p>
            <w:pPr>
              <w:pStyle w:val="tablecopy"/>
              <w:spacing w:before="16" w:after="16" w:line="240" w:lineRule="auto"/>
              <w:jc w:val="left"/>
            </w:pPr>
            <w:r>
              <w:rPr>
                <w:rFonts w:ascii="Times New Roman" w:hAnsi="Times New Roman"/>
                <w:sz w:val="14"/>
              </w:rPr>
              <w:t>6</w:t>
            </w:r>
          </w:p>
        </w:tc>
        <w:tc>
          <w:tcPr>
            <w:tcW w:type="dxa" w:w="1296"/>
          </w:tcPr>
          <w:p>
            <w:pPr>
              <w:pStyle w:val="tablecopy"/>
              <w:spacing w:before="16" w:after="16" w:line="240" w:lineRule="auto"/>
              <w:jc w:val="center"/>
            </w:pPr>
            <w:r>
              <w:rPr>
                <w:rFonts w:ascii="Times New Roman" w:hAnsi="Times New Roman"/>
                <w:sz w:val="14"/>
              </w:rPr>
              <w:t>Client match</w:t>
            </w:r>
          </w:p>
        </w:tc>
        <w:tc>
          <w:tcPr>
            <w:tcW w:type="dxa" w:w="3168"/>
          </w:tcPr>
          <w:p>
            <w:pPr>
              <w:pStyle w:val="tablecopy"/>
              <w:spacing w:before="16" w:after="16" w:line="240" w:lineRule="auto"/>
              <w:jc w:val="left"/>
            </w:pPr>
            <w:r>
              <w:rPr>
                <w:rFonts w:ascii="Times New Roman" w:hAnsi="Times New Roman"/>
                <w:sz w:val="14"/>
              </w:rPr>
              <w:t>Bucket + local suffix → final matched records</w:t>
            </w:r>
          </w:p>
        </w:tc>
      </w:tr>
      <w:tr>
        <w:trPr>
          <w:cantSplit/>
        </w:trPr>
        <w:tc>
          <w:tcPr>
            <w:tcW w:type="dxa" w:w="360"/>
          </w:tcPr>
          <w:p>
            <w:pPr>
              <w:pStyle w:val="tablecopy"/>
              <w:spacing w:before="16" w:after="16" w:line="240" w:lineRule="auto"/>
              <w:jc w:val="left"/>
            </w:pPr>
            <w:r>
              <w:rPr>
                <w:rFonts w:ascii="Times New Roman" w:hAnsi="Times New Roman"/>
                <w:sz w:val="14"/>
              </w:rPr>
              <w:t>7</w:t>
            </w:r>
          </w:p>
        </w:tc>
        <w:tc>
          <w:tcPr>
            <w:tcW w:type="dxa" w:w="1296"/>
          </w:tcPr>
          <w:p>
            <w:pPr>
              <w:pStyle w:val="tablecopy"/>
              <w:spacing w:before="16" w:after="16" w:line="240" w:lineRule="auto"/>
              <w:jc w:val="center"/>
            </w:pPr>
            <w:r>
              <w:rPr>
                <w:rFonts w:ascii="Times New Roman" w:hAnsi="Times New Roman"/>
                <w:sz w:val="14"/>
              </w:rPr>
              <w:t>Multi-source</w:t>
            </w:r>
          </w:p>
        </w:tc>
        <w:tc>
          <w:tcPr>
            <w:tcW w:type="dxa" w:w="3168"/>
          </w:tcPr>
          <w:p>
            <w:pPr>
              <w:pStyle w:val="tablecopy"/>
              <w:spacing w:before="16" w:after="16" w:line="240" w:lineRule="auto"/>
              <w:jc w:val="left"/>
            </w:pPr>
            <w:r>
              <w:rPr>
                <w:rFonts w:ascii="Times New Roman" w:hAnsi="Times New Roman"/>
                <w:sz w:val="14"/>
              </w:rPr>
              <w:t>Target → concurrent results from registered sources</w:t>
            </w:r>
          </w:p>
        </w:tc>
      </w:tr>
      <w:tr>
        <w:trPr>
          <w:cantSplit/>
        </w:trPr>
        <w:tc>
          <w:tcPr>
            <w:tcW w:type="dxa" w:w="360"/>
          </w:tcPr>
          <w:p>
            <w:pPr>
              <w:pStyle w:val="tablecopy"/>
              <w:spacing w:before="16" w:after="16" w:line="240" w:lineRule="auto"/>
              <w:jc w:val="left"/>
            </w:pPr>
            <w:r>
              <w:rPr>
                <w:rFonts w:ascii="Times New Roman" w:hAnsi="Times New Roman"/>
                <w:sz w:val="14"/>
              </w:rPr>
              <w:t>8</w:t>
            </w:r>
          </w:p>
        </w:tc>
        <w:tc>
          <w:tcPr>
            <w:tcW w:type="dxa" w:w="1296"/>
          </w:tcPr>
          <w:p>
            <w:pPr>
              <w:pStyle w:val="tablecopy"/>
              <w:spacing w:before="16" w:after="16" w:line="240" w:lineRule="auto"/>
              <w:jc w:val="center"/>
            </w:pPr>
            <w:r>
              <w:rPr>
                <w:rFonts w:ascii="Times New Roman" w:hAnsi="Times New Roman"/>
                <w:sz w:val="14"/>
              </w:rPr>
              <w:t>Risk score</w:t>
            </w:r>
          </w:p>
        </w:tc>
        <w:tc>
          <w:tcPr>
            <w:tcW w:type="dxa" w:w="3168"/>
          </w:tcPr>
          <w:p>
            <w:pPr>
              <w:pStyle w:val="tablecopy"/>
              <w:spacing w:before="16" w:after="16" w:line="240" w:lineRule="auto"/>
              <w:jc w:val="left"/>
            </w:pPr>
            <w:r>
              <w:rPr>
                <w:rFonts w:ascii="Times New Roman" w:hAnsi="Times New Roman"/>
                <w:sz w:val="14"/>
              </w:rPr>
              <w:t>Aggregated text → {score, level, factors}</w:t>
            </w:r>
          </w:p>
        </w:tc>
      </w:tr>
      <w:tr>
        <w:trPr>
          <w:cantSplit/>
        </w:trPr>
        <w:tc>
          <w:tcPr>
            <w:tcW w:type="dxa" w:w="360"/>
          </w:tcPr>
          <w:p>
            <w:pPr>
              <w:pStyle w:val="tablecopy"/>
              <w:spacing w:before="16" w:after="16" w:line="240" w:lineRule="auto"/>
              <w:jc w:val="left"/>
            </w:pPr>
            <w:r>
              <w:rPr>
                <w:rFonts w:ascii="Times New Roman" w:hAnsi="Times New Roman"/>
                <w:sz w:val="14"/>
              </w:rPr>
              <w:t>9</w:t>
            </w:r>
          </w:p>
        </w:tc>
        <w:tc>
          <w:tcPr>
            <w:tcW w:type="dxa" w:w="1296"/>
          </w:tcPr>
          <w:p>
            <w:pPr>
              <w:pStyle w:val="tablecopy"/>
              <w:spacing w:before="16" w:after="16" w:line="240" w:lineRule="auto"/>
              <w:jc w:val="center"/>
            </w:pPr>
            <w:r>
              <w:rPr>
                <w:rFonts w:ascii="Times New Roman" w:hAnsi="Times New Roman"/>
                <w:sz w:val="14"/>
              </w:rPr>
              <w:t>Canonicalize</w:t>
            </w:r>
          </w:p>
        </w:tc>
        <w:tc>
          <w:tcPr>
            <w:tcW w:type="dxa" w:w="3168"/>
          </w:tcPr>
          <w:p>
            <w:pPr>
              <w:pStyle w:val="tablecopy"/>
              <w:spacing w:before="16" w:after="16" w:line="240" w:lineRule="auto"/>
              <w:jc w:val="left"/>
            </w:pPr>
            <w:r>
              <w:rPr>
                <w:rFonts w:ascii="Times New Roman" w:hAnsi="Times New Roman"/>
                <w:sz w:val="14"/>
              </w:rPr>
              <w:t>Audit event → sorted-key JSON → SHA-256 leaf</w:t>
            </w:r>
          </w:p>
        </w:tc>
      </w:tr>
      <w:tr>
        <w:trPr>
          <w:cantSplit/>
        </w:trPr>
        <w:tc>
          <w:tcPr>
            <w:tcW w:type="dxa" w:w="360"/>
          </w:tcPr>
          <w:p>
            <w:pPr>
              <w:pStyle w:val="tablecopy"/>
              <w:spacing w:before="16" w:after="16" w:line="240" w:lineRule="auto"/>
              <w:jc w:val="left"/>
            </w:pPr>
            <w:r>
              <w:rPr>
                <w:rFonts w:ascii="Times New Roman" w:hAnsi="Times New Roman"/>
                <w:sz w:val="14"/>
              </w:rPr>
              <w:t>10</w:t>
            </w:r>
          </w:p>
        </w:tc>
        <w:tc>
          <w:tcPr>
            <w:tcW w:type="dxa" w:w="1296"/>
          </w:tcPr>
          <w:p>
            <w:pPr>
              <w:pStyle w:val="tablecopy"/>
              <w:spacing w:before="16" w:after="16" w:line="240" w:lineRule="auto"/>
              <w:jc w:val="left"/>
            </w:pPr>
            <w:r>
              <w:rPr>
                <w:rFonts w:ascii="Times New Roman" w:hAnsi="Times New Roman"/>
                <w:sz w:val="14"/>
              </w:rPr>
              <w:t>Batch / anchor</w:t>
            </w:r>
          </w:p>
        </w:tc>
        <w:tc>
          <w:tcPr>
            <w:tcW w:type="dxa" w:w="3168"/>
          </w:tcPr>
          <w:p>
            <w:pPr>
              <w:pStyle w:val="tablecopy"/>
              <w:spacing w:before="16" w:after="16" w:line="240" w:lineRule="auto"/>
              <w:jc w:val="left"/>
            </w:pPr>
            <w:r>
              <w:rPr>
                <w:rFonts w:ascii="Times New Roman" w:hAnsi="Times New Roman"/>
                <w:sz w:val="14"/>
              </w:rPr>
              <w:t>Leaf → Merkle root → on-chain anchor(root) tx</w:t>
            </w:r>
          </w:p>
        </w:tc>
      </w:tr>
    </w:tbl>
    <w:p>
      <w:pPr>
        <w:spacing w:before="0" w:after="50"/>
      </w:pPr>
    </w:p>
    <w:p>
      <w:pPr>
        <w:pStyle w:val="Heading1"/>
        <w:keepNext/>
      </w:pPr>
      <w:r>
        <w:t>MACHINE LEARNING SEVERITY TRIAGE</w:t>
      </w:r>
    </w:p>
    <w:p>
      <w:pPr>
        <w:pStyle w:val="Heading2"/>
        <w:keepNext/>
      </w:pPr>
      <w:r>
        <w:t>Dataset and Split</w:t>
      </w:r>
    </w:p>
    <w:p>
      <w:pPr>
        <w:pStyle w:val="BodyText"/>
      </w:pPr>
      <w:r>
        <w:t>The severity classifier is trained on 1,034 curated breach records, partitioned with a stratified 70/15/15 split (train 723, validation 154, test 157; seed 42), summarised in Table IV.</w:t>
      </w:r>
    </w:p>
    <w:p>
      <w:pPr>
        <w:pStyle w:val="tablehead"/>
        <w:keepNext/>
      </w:pPr>
      <w:r>
        <w:t>DATASET PARTITION AND CLASS DISTRIBUTION</w:t>
      </w:r>
    </w:p>
    <w:tbl>
      <w:tblPr>
        <w:tblW w:type="auto" w:w="0"/>
        <w:jc w:val="center"/>
        <w:tblBorders>
          <w:top w:val="single" w:sz="6" w:space="0" w:color="000000"/>
          <w:bottom w:val="single" w:sz="6" w:space="0" w:color="000000"/>
          <w:insideH w:val="single" w:sz="4" w:space="0" w:color="D3D3D3"/>
          <w:left w:val="none"/>
          <w:right w:val="none"/>
          <w:insideV w:val="none"/>
        </w:tblBorders>
        <w:tblLook w:firstColumn="1" w:firstRow="1" w:lastColumn="0" w:lastRow="0" w:noHBand="0" w:noVBand="1" w:val="04A0"/>
      </w:tblPr>
      <w:tblGrid>
        <w:gridCol w:w="1682"/>
        <w:gridCol w:w="1682"/>
        <w:gridCol w:w="1682"/>
        <w:gridCol w:w="1682"/>
        <w:gridCol w:w="1682"/>
        <w:gridCol w:w="1682"/>
      </w:tblGrid>
      <w:tr>
        <w:trPr>
          <w:cantSplit/>
        </w:trPr>
        <w:tc>
          <w:tcPr>
            <w:tcW w:type="dxa" w:w="1368"/>
          </w:tcPr>
          <w:p>
            <w:pPr>
              <w:pStyle w:val="tablecolhead"/>
              <w:spacing w:before="20" w:after="20" w:line="240" w:lineRule="auto"/>
              <w:jc w:val="center"/>
            </w:pPr>
            <w:r>
              <w:rPr>
                <w:rFonts w:ascii="Times New Roman" w:hAnsi="Times New Roman"/>
                <w:b/>
                <w:sz w:val="14"/>
              </w:rPr>
              <w:t>Split</w:t>
            </w:r>
          </w:p>
        </w:tc>
        <w:tc>
          <w:tcPr>
            <w:tcW w:type="dxa" w:w="648"/>
          </w:tcPr>
          <w:p>
            <w:pPr>
              <w:pStyle w:val="tablecolhead"/>
              <w:spacing w:before="20" w:after="20" w:line="240" w:lineRule="auto"/>
              <w:jc w:val="center"/>
            </w:pPr>
            <w:r>
              <w:rPr>
                <w:rFonts w:ascii="Times New Roman" w:hAnsi="Times New Roman"/>
                <w:b/>
                <w:sz w:val="14"/>
              </w:rPr>
              <w:t>Total</w:t>
            </w:r>
          </w:p>
        </w:tc>
        <w:tc>
          <w:tcPr>
            <w:tcW w:type="dxa" w:w="648"/>
          </w:tcPr>
          <w:p>
            <w:pPr>
              <w:pStyle w:val="tablecolhead"/>
              <w:spacing w:before="20" w:after="20" w:line="240" w:lineRule="auto"/>
              <w:jc w:val="center"/>
            </w:pPr>
            <w:r>
              <w:rPr>
                <w:rFonts w:ascii="Times New Roman" w:hAnsi="Times New Roman"/>
                <w:b/>
                <w:sz w:val="14"/>
              </w:rPr>
              <w:t>LOW</w:t>
            </w:r>
          </w:p>
        </w:tc>
        <w:tc>
          <w:tcPr>
            <w:tcW w:type="dxa" w:w="720"/>
          </w:tcPr>
          <w:p>
            <w:pPr>
              <w:pStyle w:val="tablecolhead"/>
              <w:spacing w:before="20" w:after="20" w:line="240" w:lineRule="auto"/>
              <w:jc w:val="center"/>
            </w:pPr>
            <w:r>
              <w:rPr>
                <w:rFonts w:ascii="Times New Roman" w:hAnsi="Times New Roman"/>
                <w:b/>
                <w:sz w:val="14"/>
              </w:rPr>
              <w:t>MEDIUM</w:t>
            </w:r>
          </w:p>
        </w:tc>
        <w:tc>
          <w:tcPr>
            <w:tcW w:type="dxa" w:w="648"/>
          </w:tcPr>
          <w:p>
            <w:pPr>
              <w:pStyle w:val="tablecolhead"/>
              <w:spacing w:before="20" w:after="20" w:line="240" w:lineRule="auto"/>
              <w:jc w:val="center"/>
            </w:pPr>
            <w:r>
              <w:rPr>
                <w:rFonts w:ascii="Times New Roman" w:hAnsi="Times New Roman"/>
                <w:b/>
                <w:sz w:val="14"/>
              </w:rPr>
              <w:t>HIGH</w:t>
            </w:r>
          </w:p>
        </w:tc>
        <w:tc>
          <w:tcPr>
            <w:tcW w:type="dxa" w:w="792"/>
          </w:tcPr>
          <w:p>
            <w:pPr>
              <w:pStyle w:val="tablecolhead"/>
              <w:spacing w:before="20" w:after="20" w:line="240" w:lineRule="auto"/>
              <w:jc w:val="center"/>
            </w:pPr>
            <w:r>
              <w:rPr>
                <w:rFonts w:ascii="Times New Roman" w:hAnsi="Times New Roman"/>
                <w:b/>
                <w:sz w:val="14"/>
              </w:rPr>
              <w:t>CRITICAL</w:t>
            </w:r>
          </w:p>
        </w:tc>
      </w:tr>
      <w:tr>
        <w:trPr>
          <w:cantSplit/>
        </w:trPr>
        <w:tc>
          <w:tcPr>
            <w:tcW w:type="dxa" w:w="1368"/>
          </w:tcPr>
          <w:p>
            <w:pPr>
              <w:pStyle w:val="tablecopy"/>
              <w:spacing w:before="16" w:after="16" w:line="240" w:lineRule="auto"/>
              <w:jc w:val="left"/>
            </w:pPr>
            <w:r>
              <w:rPr>
                <w:rFonts w:ascii="Times New Roman" w:hAnsi="Times New Roman"/>
                <w:sz w:val="14"/>
              </w:rPr>
              <w:t>Train (70%)</w:t>
            </w:r>
          </w:p>
        </w:tc>
        <w:tc>
          <w:tcPr>
            <w:tcW w:type="dxa" w:w="648"/>
          </w:tcPr>
          <w:p>
            <w:pPr>
              <w:pStyle w:val="tablecopy"/>
              <w:spacing w:before="16" w:after="16" w:line="240" w:lineRule="auto"/>
              <w:jc w:val="center"/>
            </w:pPr>
            <w:r>
              <w:rPr>
                <w:rFonts w:ascii="Times New Roman" w:hAnsi="Times New Roman"/>
                <w:sz w:val="14"/>
              </w:rPr>
              <w:t>723</w:t>
            </w:r>
          </w:p>
        </w:tc>
        <w:tc>
          <w:tcPr>
            <w:tcW w:type="dxa" w:w="648"/>
          </w:tcPr>
          <w:p>
            <w:pPr>
              <w:pStyle w:val="tablecopy"/>
              <w:spacing w:before="16" w:after="16" w:line="240" w:lineRule="auto"/>
              <w:jc w:val="center"/>
            </w:pPr>
            <w:r>
              <w:rPr>
                <w:rFonts w:ascii="Times New Roman" w:hAnsi="Times New Roman"/>
                <w:sz w:val="14"/>
              </w:rPr>
              <w:t>49</w:t>
            </w:r>
          </w:p>
        </w:tc>
        <w:tc>
          <w:tcPr>
            <w:tcW w:type="dxa" w:w="720"/>
          </w:tcPr>
          <w:p>
            <w:pPr>
              <w:pStyle w:val="tablecopy"/>
              <w:spacing w:before="16" w:after="16" w:line="240" w:lineRule="auto"/>
              <w:jc w:val="center"/>
            </w:pPr>
            <w:r>
              <w:rPr>
                <w:rFonts w:ascii="Times New Roman" w:hAnsi="Times New Roman"/>
                <w:sz w:val="14"/>
              </w:rPr>
              <w:t>341</w:t>
            </w:r>
          </w:p>
        </w:tc>
        <w:tc>
          <w:tcPr>
            <w:tcW w:type="dxa" w:w="648"/>
          </w:tcPr>
          <w:p>
            <w:pPr>
              <w:pStyle w:val="tablecopy"/>
              <w:spacing w:before="16" w:after="16" w:line="240" w:lineRule="auto"/>
              <w:jc w:val="center"/>
            </w:pPr>
            <w:r>
              <w:rPr>
                <w:rFonts w:ascii="Times New Roman" w:hAnsi="Times New Roman"/>
                <w:sz w:val="14"/>
              </w:rPr>
              <w:t>291</w:t>
            </w:r>
          </w:p>
        </w:tc>
        <w:tc>
          <w:tcPr>
            <w:tcW w:type="dxa" w:w="792"/>
          </w:tcPr>
          <w:p>
            <w:pPr>
              <w:pStyle w:val="tablecopy"/>
              <w:spacing w:before="16" w:after="16" w:line="240" w:lineRule="auto"/>
              <w:jc w:val="center"/>
            </w:pPr>
            <w:r>
              <w:rPr>
                <w:rFonts w:ascii="Times New Roman" w:hAnsi="Times New Roman"/>
                <w:sz w:val="14"/>
              </w:rPr>
              <w:t>42</w:t>
            </w:r>
          </w:p>
        </w:tc>
      </w:tr>
      <w:tr>
        <w:trPr>
          <w:cantSplit/>
        </w:trPr>
        <w:tc>
          <w:tcPr>
            <w:tcW w:type="dxa" w:w="1368"/>
          </w:tcPr>
          <w:p>
            <w:pPr>
              <w:pStyle w:val="tablecopy"/>
              <w:spacing w:before="16" w:after="16" w:line="240" w:lineRule="auto"/>
              <w:jc w:val="left"/>
            </w:pPr>
            <w:r>
              <w:rPr>
                <w:rFonts w:ascii="Times New Roman" w:hAnsi="Times New Roman"/>
                <w:sz w:val="14"/>
              </w:rPr>
              <w:t>Val (15%)</w:t>
            </w:r>
          </w:p>
        </w:tc>
        <w:tc>
          <w:tcPr>
            <w:tcW w:type="dxa" w:w="648"/>
          </w:tcPr>
          <w:p>
            <w:pPr>
              <w:pStyle w:val="tablecopy"/>
              <w:spacing w:before="16" w:after="16" w:line="240" w:lineRule="auto"/>
              <w:jc w:val="center"/>
            </w:pPr>
            <w:r>
              <w:rPr>
                <w:rFonts w:ascii="Times New Roman" w:hAnsi="Times New Roman"/>
                <w:sz w:val="14"/>
              </w:rPr>
              <w:t>154</w:t>
            </w:r>
          </w:p>
        </w:tc>
        <w:tc>
          <w:tcPr>
            <w:tcW w:type="dxa" w:w="648"/>
          </w:tcPr>
          <w:p>
            <w:pPr>
              <w:pStyle w:val="tablecopy"/>
              <w:spacing w:before="16" w:after="16" w:line="240" w:lineRule="auto"/>
              <w:jc w:val="center"/>
            </w:pPr>
            <w:r>
              <w:rPr>
                <w:rFonts w:ascii="Times New Roman" w:hAnsi="Times New Roman"/>
                <w:sz w:val="14"/>
              </w:rPr>
              <w:t>10</w:t>
            </w:r>
          </w:p>
        </w:tc>
        <w:tc>
          <w:tcPr>
            <w:tcW w:type="dxa" w:w="720"/>
          </w:tcPr>
          <w:p>
            <w:pPr>
              <w:pStyle w:val="tablecopy"/>
              <w:spacing w:before="16" w:after="16" w:line="240" w:lineRule="auto"/>
              <w:jc w:val="center"/>
            </w:pPr>
            <w:r>
              <w:rPr>
                <w:rFonts w:ascii="Times New Roman" w:hAnsi="Times New Roman"/>
                <w:sz w:val="14"/>
              </w:rPr>
              <w:t>73</w:t>
            </w:r>
          </w:p>
        </w:tc>
        <w:tc>
          <w:tcPr>
            <w:tcW w:type="dxa" w:w="648"/>
          </w:tcPr>
          <w:p>
            <w:pPr>
              <w:pStyle w:val="tablecopy"/>
              <w:spacing w:before="16" w:after="16" w:line="240" w:lineRule="auto"/>
              <w:jc w:val="center"/>
            </w:pPr>
            <w:r>
              <w:rPr>
                <w:rFonts w:ascii="Times New Roman" w:hAnsi="Times New Roman"/>
                <w:sz w:val="14"/>
              </w:rPr>
              <w:t>62</w:t>
            </w:r>
          </w:p>
        </w:tc>
        <w:tc>
          <w:tcPr>
            <w:tcW w:type="dxa" w:w="792"/>
          </w:tcPr>
          <w:p>
            <w:pPr>
              <w:pStyle w:val="tablecopy"/>
              <w:spacing w:before="16" w:after="16" w:line="240" w:lineRule="auto"/>
              <w:jc w:val="center"/>
            </w:pPr>
            <w:r>
              <w:rPr>
                <w:rFonts w:ascii="Times New Roman" w:hAnsi="Times New Roman"/>
                <w:sz w:val="14"/>
              </w:rPr>
              <w:t>9</w:t>
            </w:r>
          </w:p>
        </w:tc>
      </w:tr>
      <w:tr>
        <w:trPr>
          <w:cantSplit/>
        </w:trPr>
        <w:tc>
          <w:tcPr>
            <w:tcW w:type="dxa" w:w="1368"/>
          </w:tcPr>
          <w:p>
            <w:pPr>
              <w:pStyle w:val="tablecopy"/>
              <w:spacing w:before="16" w:after="16" w:line="240" w:lineRule="auto"/>
              <w:jc w:val="left"/>
            </w:pPr>
            <w:r>
              <w:rPr>
                <w:rFonts w:ascii="Times New Roman" w:hAnsi="Times New Roman"/>
                <w:sz w:val="14"/>
              </w:rPr>
              <w:t>Test (15%)</w:t>
            </w:r>
          </w:p>
        </w:tc>
        <w:tc>
          <w:tcPr>
            <w:tcW w:type="dxa" w:w="648"/>
          </w:tcPr>
          <w:p>
            <w:pPr>
              <w:pStyle w:val="tablecopy"/>
              <w:spacing w:before="16" w:after="16" w:line="240" w:lineRule="auto"/>
              <w:jc w:val="center"/>
            </w:pPr>
            <w:r>
              <w:rPr>
                <w:rFonts w:ascii="Times New Roman" w:hAnsi="Times New Roman"/>
                <w:sz w:val="14"/>
              </w:rPr>
              <w:t>157</w:t>
            </w:r>
          </w:p>
        </w:tc>
        <w:tc>
          <w:tcPr>
            <w:tcW w:type="dxa" w:w="648"/>
          </w:tcPr>
          <w:p>
            <w:pPr>
              <w:pStyle w:val="tablecopy"/>
              <w:spacing w:before="16" w:after="16" w:line="240" w:lineRule="auto"/>
              <w:jc w:val="center"/>
            </w:pPr>
            <w:r>
              <w:rPr>
                <w:rFonts w:ascii="Times New Roman" w:hAnsi="Times New Roman"/>
                <w:sz w:val="14"/>
              </w:rPr>
              <w:t>11</w:t>
            </w:r>
          </w:p>
        </w:tc>
        <w:tc>
          <w:tcPr>
            <w:tcW w:type="dxa" w:w="720"/>
          </w:tcPr>
          <w:p>
            <w:pPr>
              <w:pStyle w:val="tablecopy"/>
              <w:spacing w:before="16" w:after="16" w:line="240" w:lineRule="auto"/>
              <w:jc w:val="center"/>
            </w:pPr>
            <w:r>
              <w:rPr>
                <w:rFonts w:ascii="Times New Roman" w:hAnsi="Times New Roman"/>
                <w:sz w:val="14"/>
              </w:rPr>
              <w:t>74</w:t>
            </w:r>
          </w:p>
        </w:tc>
        <w:tc>
          <w:tcPr>
            <w:tcW w:type="dxa" w:w="648"/>
          </w:tcPr>
          <w:p>
            <w:pPr>
              <w:pStyle w:val="tablecopy"/>
              <w:spacing w:before="16" w:after="16" w:line="240" w:lineRule="auto"/>
              <w:jc w:val="center"/>
            </w:pPr>
            <w:r>
              <w:rPr>
                <w:rFonts w:ascii="Times New Roman" w:hAnsi="Times New Roman"/>
                <w:sz w:val="14"/>
              </w:rPr>
              <w:t>63</w:t>
            </w:r>
          </w:p>
        </w:tc>
        <w:tc>
          <w:tcPr>
            <w:tcW w:type="dxa" w:w="792"/>
          </w:tcPr>
          <w:p>
            <w:pPr>
              <w:pStyle w:val="tablecopy"/>
              <w:spacing w:before="16" w:after="16" w:line="240" w:lineRule="auto"/>
              <w:jc w:val="center"/>
            </w:pPr>
            <w:r>
              <w:rPr>
                <w:rFonts w:ascii="Times New Roman" w:hAnsi="Times New Roman"/>
                <w:sz w:val="14"/>
              </w:rPr>
              <w:t>9</w:t>
            </w:r>
          </w:p>
        </w:tc>
      </w:tr>
    </w:tbl>
    <w:p>
      <w:pPr>
        <w:spacing w:before="0" w:after="50"/>
      </w:pPr>
    </w:p>
    <w:p>
      <w:pPr>
        <w:pStyle w:val="Heading2"/>
        <w:keepNext/>
      </w:pPr>
      <w:r>
        <w:t>Two Distinct Model Populations</w:t>
      </w:r>
    </w:p>
    <w:p>
      <w:pPr>
        <w:pStyle w:val="BodyText"/>
      </w:pPr>
      <w:r>
        <w:t>BreachShield contains two architecturally similar but functionally distinct CNN/RNN/Transformer populations. The severity classifiers load real, trained checkpoints from disk, confirmed deterministic across repeated inference calls; these feed the severity-analysis block of the live threat-analysis endpoint. A separate set of URL-comparison models feeds a demonstration endpoint, does not load any checkpoint, and produces different output on every instantiation. All ML results in this paper refer exclusively to the first, checkpoint-loaded population.</w:t>
      </w:r>
    </w:p>
    <w:p>
      <w:pPr>
        <w:pStyle w:val="Heading2"/>
        <w:keepNext/>
      </w:pPr>
      <w:r>
        <w:t>Comparative Results</w:t>
      </w:r>
    </w:p>
    <w:p>
      <w:pPr>
        <w:pStyle w:val="BodyText"/>
      </w:pPr>
      <w:r>
        <w:t>XGBoost [10] (max depth=6, learning rate=0.1) is compared against a 1D-CNN, an RNN (retrained with packed sequences and gradient clipping), and a Transformer encoder, all trained on the same 165-dimensional feature representation. Table V summarises the comparative benchmark on the held-out test set (N=157).</w:t>
      </w:r>
    </w:p>
    <w:p>
      <w:pPr>
        <w:pStyle w:val="tablehead"/>
        <w:keepNext/>
      </w:pPr>
      <w:r>
        <w:t>COMPARATIVE BENCHMARK ON TEST SET (N=157)</w:t>
      </w:r>
    </w:p>
    <w:tbl>
      <w:tblPr>
        <w:tblW w:type="auto" w:w="0"/>
        <w:jc w:val="center"/>
        <w:tblBorders>
          <w:top w:val="single" w:sz="6" w:space="0" w:color="000000"/>
          <w:bottom w:val="single" w:sz="6" w:space="0" w:color="000000"/>
          <w:insideH w:val="single" w:sz="4" w:space="0" w:color="D3D3D3"/>
          <w:left w:val="none"/>
          <w:right w:val="none"/>
          <w:insideV w:val="none"/>
        </w:tblBorders>
        <w:tblLook w:firstColumn="1" w:firstRow="1" w:lastColumn="0" w:lastRow="0" w:noHBand="0" w:noVBand="1" w:val="04A0"/>
      </w:tblPr>
      <w:tblGrid>
        <w:gridCol w:w="2523"/>
        <w:gridCol w:w="2523"/>
        <w:gridCol w:w="2523"/>
        <w:gridCol w:w="2523"/>
      </w:tblGrid>
      <w:tr>
        <w:trPr>
          <w:cantSplit/>
        </w:trPr>
        <w:tc>
          <w:tcPr>
            <w:tcW w:type="dxa" w:w="1800"/>
          </w:tcPr>
          <w:p>
            <w:pPr>
              <w:pStyle w:val="tablecolhead"/>
              <w:spacing w:before="20" w:after="20" w:line="240" w:lineRule="auto"/>
              <w:jc w:val="center"/>
            </w:pPr>
            <w:r>
              <w:rPr>
                <w:rFonts w:ascii="Times New Roman" w:hAnsi="Times New Roman"/>
                <w:b/>
                <w:sz w:val="14"/>
              </w:rPr>
              <w:t>Model</w:t>
            </w:r>
          </w:p>
        </w:tc>
        <w:tc>
          <w:tcPr>
            <w:tcW w:type="dxa" w:w="936"/>
          </w:tcPr>
          <w:p>
            <w:pPr>
              <w:pStyle w:val="tablecolhead"/>
              <w:spacing w:before="20" w:after="20" w:line="240" w:lineRule="auto"/>
              <w:jc w:val="center"/>
            </w:pPr>
            <w:r>
              <w:rPr>
                <w:rFonts w:ascii="Times New Roman" w:hAnsi="Times New Roman"/>
                <w:b/>
                <w:sz w:val="14"/>
              </w:rPr>
              <w:t>Accuracy</w:t>
            </w:r>
          </w:p>
        </w:tc>
        <w:tc>
          <w:tcPr>
            <w:tcW w:type="dxa" w:w="1008"/>
          </w:tcPr>
          <w:p>
            <w:pPr>
              <w:pStyle w:val="tablecolhead"/>
              <w:spacing w:before="20" w:after="20" w:line="240" w:lineRule="auto"/>
              <w:jc w:val="center"/>
            </w:pPr>
            <w:r>
              <w:rPr>
                <w:rFonts w:ascii="Times New Roman" w:hAnsi="Times New Roman"/>
                <w:b/>
                <w:sz w:val="14"/>
              </w:rPr>
              <w:t>Macro F1</w:t>
            </w:r>
          </w:p>
        </w:tc>
        <w:tc>
          <w:tcPr>
            <w:tcW w:type="dxa" w:w="1080"/>
          </w:tcPr>
          <w:p>
            <w:pPr>
              <w:pStyle w:val="tablecolhead"/>
              <w:spacing w:before="20" w:after="20" w:line="240" w:lineRule="auto"/>
              <w:jc w:val="center"/>
            </w:pPr>
            <w:r>
              <w:rPr>
                <w:rFonts w:ascii="Times New Roman" w:hAnsi="Times New Roman"/>
                <w:b/>
                <w:sz w:val="14"/>
              </w:rPr>
              <w:t>Weighted F1</w:t>
            </w:r>
          </w:p>
        </w:tc>
      </w:tr>
      <w:tr>
        <w:trPr>
          <w:cantSplit/>
        </w:trPr>
        <w:tc>
          <w:tcPr>
            <w:tcW w:type="dxa" w:w="1800"/>
          </w:tcPr>
          <w:p>
            <w:pPr>
              <w:pStyle w:val="tablecopy"/>
              <w:spacing w:before="16" w:after="16" w:line="240" w:lineRule="auto"/>
              <w:jc w:val="left"/>
            </w:pPr>
            <w:r>
              <w:rPr>
                <w:rFonts w:ascii="Times New Roman" w:hAnsi="Times New Roman"/>
                <w:sz w:val="14"/>
              </w:rPr>
              <w:t>Naive baseline (predict MED)</w:t>
            </w:r>
          </w:p>
        </w:tc>
        <w:tc>
          <w:tcPr>
            <w:tcW w:type="dxa" w:w="936"/>
          </w:tcPr>
          <w:p>
            <w:pPr>
              <w:pStyle w:val="tablecopy"/>
              <w:spacing w:before="16" w:after="16" w:line="240" w:lineRule="auto"/>
              <w:jc w:val="center"/>
            </w:pPr>
            <w:r>
              <w:rPr>
                <w:rFonts w:ascii="Times New Roman" w:hAnsi="Times New Roman"/>
                <w:sz w:val="14"/>
              </w:rPr>
              <w:t>47.1%</w:t>
            </w:r>
          </w:p>
        </w:tc>
        <w:tc>
          <w:tcPr>
            <w:tcW w:type="dxa" w:w="1008"/>
          </w:tcPr>
          <w:p>
            <w:pPr>
              <w:pStyle w:val="tablecopy"/>
              <w:spacing w:before="16" w:after="16" w:line="240" w:lineRule="auto"/>
              <w:jc w:val="center"/>
            </w:pPr>
            <w:r>
              <w:rPr>
                <w:rFonts w:ascii="Times New Roman" w:hAnsi="Times New Roman"/>
                <w:sz w:val="14"/>
              </w:rPr>
              <w:t>16.0%</w:t>
            </w:r>
          </w:p>
        </w:tc>
        <w:tc>
          <w:tcPr>
            <w:tcW w:type="dxa" w:w="1080"/>
          </w:tcPr>
          <w:p>
            <w:pPr>
              <w:pStyle w:val="tablecopy"/>
              <w:spacing w:before="16" w:after="16" w:line="240" w:lineRule="auto"/>
              <w:jc w:val="center"/>
            </w:pPr>
            <w:r>
              <w:rPr>
                <w:rFonts w:ascii="Times New Roman" w:hAnsi="Times New Roman"/>
                <w:sz w:val="14"/>
              </w:rPr>
              <w:t>30.2%</w:t>
            </w:r>
          </w:p>
        </w:tc>
      </w:tr>
      <w:tr>
        <w:trPr>
          <w:cantSplit/>
        </w:trPr>
        <w:tc>
          <w:tcPr>
            <w:tcW w:type="dxa" w:w="1800"/>
          </w:tcPr>
          <w:p>
            <w:pPr>
              <w:pStyle w:val="tablecopy"/>
              <w:spacing w:before="16" w:after="16" w:line="240" w:lineRule="auto"/>
              <w:jc w:val="left"/>
            </w:pPr>
            <w:r>
              <w:rPr>
                <w:rFonts w:ascii="Times New Roman" w:hAnsi="Times New Roman"/>
                <w:sz w:val="14"/>
              </w:rPr>
              <w:t>RNN (retrained, packed+clip)</w:t>
            </w:r>
          </w:p>
        </w:tc>
        <w:tc>
          <w:tcPr>
            <w:tcW w:type="dxa" w:w="936"/>
          </w:tcPr>
          <w:p>
            <w:pPr>
              <w:pStyle w:val="tablecopy"/>
              <w:spacing w:before="16" w:after="16" w:line="240" w:lineRule="auto"/>
              <w:jc w:val="center"/>
            </w:pPr>
            <w:r>
              <w:rPr>
                <w:rFonts w:ascii="Times New Roman" w:hAnsi="Times New Roman"/>
                <w:sz w:val="14"/>
              </w:rPr>
              <w:t>44.6%</w:t>
            </w:r>
          </w:p>
        </w:tc>
        <w:tc>
          <w:tcPr>
            <w:tcW w:type="dxa" w:w="1008"/>
          </w:tcPr>
          <w:p>
            <w:pPr>
              <w:pStyle w:val="tablecopy"/>
              <w:spacing w:before="16" w:after="16" w:line="240" w:lineRule="auto"/>
              <w:jc w:val="center"/>
            </w:pPr>
            <w:r>
              <w:rPr>
                <w:rFonts w:ascii="Times New Roman" w:hAnsi="Times New Roman"/>
                <w:sz w:val="14"/>
              </w:rPr>
              <w:t>34.0%</w:t>
            </w:r>
          </w:p>
        </w:tc>
        <w:tc>
          <w:tcPr>
            <w:tcW w:type="dxa" w:w="1080"/>
          </w:tcPr>
          <w:p>
            <w:pPr>
              <w:pStyle w:val="tablecopy"/>
              <w:spacing w:before="16" w:after="16" w:line="240" w:lineRule="auto"/>
              <w:jc w:val="center"/>
            </w:pPr>
            <w:r>
              <w:rPr>
                <w:rFonts w:ascii="Times New Roman" w:hAnsi="Times New Roman"/>
                <w:sz w:val="14"/>
              </w:rPr>
              <w:t>46.8%</w:t>
            </w:r>
          </w:p>
        </w:tc>
      </w:tr>
      <w:tr>
        <w:trPr>
          <w:cantSplit/>
        </w:trPr>
        <w:tc>
          <w:tcPr>
            <w:tcW w:type="dxa" w:w="1800"/>
          </w:tcPr>
          <w:p>
            <w:pPr>
              <w:pStyle w:val="tablecopy"/>
              <w:spacing w:before="16" w:after="16" w:line="240" w:lineRule="auto"/>
              <w:jc w:val="left"/>
            </w:pPr>
            <w:r>
              <w:rPr>
                <w:rFonts w:ascii="Times New Roman" w:hAnsi="Times New Roman"/>
                <w:sz w:val="14"/>
              </w:rPr>
              <w:t>Transformer (2L / 4H)</w:t>
            </w:r>
          </w:p>
        </w:tc>
        <w:tc>
          <w:tcPr>
            <w:tcW w:type="dxa" w:w="936"/>
          </w:tcPr>
          <w:p>
            <w:pPr>
              <w:pStyle w:val="tablecopy"/>
              <w:spacing w:before="16" w:after="16" w:line="240" w:lineRule="auto"/>
              <w:jc w:val="center"/>
            </w:pPr>
            <w:r>
              <w:rPr>
                <w:rFonts w:ascii="Times New Roman" w:hAnsi="Times New Roman"/>
                <w:sz w:val="14"/>
              </w:rPr>
              <w:t>48.4%</w:t>
            </w:r>
          </w:p>
        </w:tc>
        <w:tc>
          <w:tcPr>
            <w:tcW w:type="dxa" w:w="1008"/>
          </w:tcPr>
          <w:p>
            <w:pPr>
              <w:pStyle w:val="tablecopy"/>
              <w:spacing w:before="16" w:after="16" w:line="240" w:lineRule="auto"/>
              <w:jc w:val="center"/>
            </w:pPr>
            <w:r>
              <w:rPr>
                <w:rFonts w:ascii="Times New Roman" w:hAnsi="Times New Roman"/>
                <w:sz w:val="14"/>
              </w:rPr>
              <w:t>42.9%</w:t>
            </w:r>
          </w:p>
        </w:tc>
        <w:tc>
          <w:tcPr>
            <w:tcW w:type="dxa" w:w="1080"/>
          </w:tcPr>
          <w:p>
            <w:pPr>
              <w:pStyle w:val="tablecopy"/>
              <w:spacing w:before="16" w:after="16" w:line="240" w:lineRule="auto"/>
              <w:jc w:val="center"/>
            </w:pPr>
            <w:r>
              <w:rPr>
                <w:rFonts w:ascii="Times New Roman" w:hAnsi="Times New Roman"/>
                <w:sz w:val="14"/>
              </w:rPr>
              <w:t>50.8%</w:t>
            </w:r>
          </w:p>
        </w:tc>
      </w:tr>
      <w:tr>
        <w:trPr>
          <w:cantSplit/>
        </w:trPr>
        <w:tc>
          <w:tcPr>
            <w:tcW w:type="dxa" w:w="1800"/>
          </w:tcPr>
          <w:p>
            <w:pPr>
              <w:pStyle w:val="tablecopy"/>
              <w:spacing w:before="16" w:after="16" w:line="240" w:lineRule="auto"/>
              <w:jc w:val="left"/>
            </w:pPr>
            <w:r>
              <w:rPr>
                <w:rFonts w:ascii="Times New Roman" w:hAnsi="Times New Roman"/>
                <w:sz w:val="14"/>
              </w:rPr>
              <w:t>1D-CNN (k=3,4,5)</w:t>
            </w:r>
          </w:p>
        </w:tc>
        <w:tc>
          <w:tcPr>
            <w:tcW w:type="dxa" w:w="936"/>
          </w:tcPr>
          <w:p>
            <w:pPr>
              <w:pStyle w:val="tablecopy"/>
              <w:spacing w:before="16" w:after="16" w:line="240" w:lineRule="auto"/>
              <w:jc w:val="center"/>
            </w:pPr>
            <w:r>
              <w:rPr>
                <w:rFonts w:ascii="Times New Roman" w:hAnsi="Times New Roman"/>
                <w:sz w:val="14"/>
              </w:rPr>
              <w:t>66.2%</w:t>
            </w:r>
          </w:p>
        </w:tc>
        <w:tc>
          <w:tcPr>
            <w:tcW w:type="dxa" w:w="1008"/>
          </w:tcPr>
          <w:p>
            <w:pPr>
              <w:pStyle w:val="tablecopy"/>
              <w:spacing w:before="16" w:after="16" w:line="240" w:lineRule="auto"/>
              <w:jc w:val="center"/>
            </w:pPr>
            <w:r>
              <w:rPr>
                <w:rFonts w:ascii="Times New Roman" w:hAnsi="Times New Roman"/>
                <w:sz w:val="14"/>
              </w:rPr>
              <w:t>57.2%</w:t>
            </w:r>
          </w:p>
        </w:tc>
        <w:tc>
          <w:tcPr>
            <w:tcW w:type="dxa" w:w="1080"/>
          </w:tcPr>
          <w:p>
            <w:pPr>
              <w:pStyle w:val="tablecopy"/>
              <w:spacing w:before="16" w:after="16" w:line="240" w:lineRule="auto"/>
              <w:jc w:val="center"/>
            </w:pPr>
            <w:r>
              <w:rPr>
                <w:rFonts w:ascii="Times New Roman" w:hAnsi="Times New Roman"/>
                <w:sz w:val="14"/>
              </w:rPr>
              <w:t>65.7%</w:t>
            </w:r>
          </w:p>
        </w:tc>
      </w:tr>
      <w:tr>
        <w:trPr>
          <w:cantSplit/>
        </w:trPr>
        <w:tc>
          <w:tcPr>
            <w:tcW w:type="dxa" w:w="1800"/>
          </w:tcPr>
          <w:p>
            <w:pPr>
              <w:pStyle w:val="tablecopy"/>
              <w:spacing w:before="16" w:after="16" w:line="240" w:lineRule="auto"/>
              <w:jc w:val="left"/>
            </w:pPr>
            <w:r>
              <w:rPr>
                <w:rFonts w:ascii="Times New Roman" w:hAnsi="Times New Roman"/>
                <w:sz w:val="14"/>
              </w:rPr>
              <w:t>XGBoost</w:t>
            </w:r>
          </w:p>
        </w:tc>
        <w:tc>
          <w:tcPr>
            <w:tcW w:type="dxa" w:w="936"/>
          </w:tcPr>
          <w:p>
            <w:pPr>
              <w:pStyle w:val="tablecopy"/>
              <w:spacing w:before="16" w:after="16" w:line="240" w:lineRule="auto"/>
              <w:jc w:val="center"/>
            </w:pPr>
            <w:r>
              <w:rPr>
                <w:rFonts w:ascii="Times New Roman" w:hAnsi="Times New Roman"/>
                <w:sz w:val="14"/>
              </w:rPr>
              <w:t>89.2%</w:t>
            </w:r>
          </w:p>
        </w:tc>
        <w:tc>
          <w:tcPr>
            <w:tcW w:type="dxa" w:w="1008"/>
          </w:tcPr>
          <w:p>
            <w:pPr>
              <w:pStyle w:val="tablecopy"/>
              <w:spacing w:before="16" w:after="16" w:line="240" w:lineRule="auto"/>
              <w:jc w:val="center"/>
            </w:pPr>
            <w:r>
              <w:rPr>
                <w:rFonts w:ascii="Times New Roman" w:hAnsi="Times New Roman"/>
                <w:sz w:val="14"/>
              </w:rPr>
              <w:t>83.2%</w:t>
            </w:r>
          </w:p>
        </w:tc>
        <w:tc>
          <w:tcPr>
            <w:tcW w:type="dxa" w:w="1080"/>
          </w:tcPr>
          <w:p>
            <w:pPr>
              <w:pStyle w:val="tablecopy"/>
              <w:spacing w:before="16" w:after="16" w:line="240" w:lineRule="auto"/>
              <w:jc w:val="center"/>
            </w:pPr>
            <w:r>
              <w:rPr>
                <w:rFonts w:ascii="Times New Roman" w:hAnsi="Times New Roman"/>
                <w:sz w:val="14"/>
              </w:rPr>
              <w:t>89.4%</w:t>
            </w:r>
          </w:p>
        </w:tc>
      </w:tr>
    </w:tbl>
    <w:p>
      <w:pPr>
        <w:spacing w:before="0" w:after="50"/>
      </w:pPr>
    </w:p>
    <w:p>
      <w:pPr>
        <w:keepNext/>
        <w:spacing w:before="60" w:after="30"/>
        <w:jc w:val="center"/>
      </w:pPr>
      <w:r>
        <w:drawing>
          <wp:inline xmlns:a="http://schemas.openxmlformats.org/drawingml/2006/main" xmlns:pic="http://schemas.openxmlformats.org/drawingml/2006/picture">
            <wp:extent cx="3063240" cy="1711811"/>
            <wp:docPr id="3" name="Picture 3"/>
            <wp:cNvGraphicFramePr>
              <a:graphicFrameLocks noChangeAspect="1"/>
            </wp:cNvGraphicFramePr>
            <a:graphic>
              <a:graphicData uri="http://schemas.openxmlformats.org/drawingml/2006/picture">
                <pic:pic>
                  <pic:nvPicPr>
                    <pic:cNvPr id="0" name="fig_model_comparison.png"/>
                    <pic:cNvPicPr/>
                  </pic:nvPicPr>
                  <pic:blipFill>
                    <a:blip r:embed="rId15"/>
                    <a:stretch>
                      <a:fillRect/>
                    </a:stretch>
                  </pic:blipFill>
                  <pic:spPr>
                    <a:xfrm>
                      <a:off x="0" y="0"/>
                      <a:ext cx="3063240" cy="1711811"/>
                    </a:xfrm>
                    <a:prstGeom prst="rect"/>
                  </pic:spPr>
                </pic:pic>
              </a:graphicData>
            </a:graphic>
          </wp:inline>
        </w:drawing>
      </w:r>
    </w:p>
    <w:p>
      <w:pPr>
        <w:pStyle w:val="figurecaption"/>
        <w:keepNext w:val="0"/>
      </w:pPr>
      <w:r>
        <w:t>Comparative severity classification benchmark across models on held-out test set.</w:t>
      </w:r>
    </w:p>
    <w:p>
      <w:pPr>
        <w:pStyle w:val="BodyText"/>
      </w:pPr>
      <w:r>
        <w:t>XGBoost's confusion matrix on the test set shows that its few errors are concentrated at adjacent severity boundaries (e.g. MEDIUM predicted as HIGH) rather than distant misclassifications — a favourable error pattern for a risk-triage system where a near-miss in severity is less costly than a distant one. Table VI gives per-class precision, recall, and F1 for the production-benchmarked XGBoost model.</w:t>
      </w:r>
    </w:p>
    <w:p>
      <w:pPr>
        <w:pStyle w:val="tablehead"/>
        <w:keepNext/>
      </w:pPr>
      <w:r>
        <w:t>XGBOOST PER-CLASS METRICS (TEST SET)</w:t>
      </w:r>
    </w:p>
    <w:tbl>
      <w:tblPr>
        <w:tblW w:type="auto" w:w="0"/>
        <w:jc w:val="center"/>
        <w:tblBorders>
          <w:top w:val="single" w:sz="6" w:space="0" w:color="000000"/>
          <w:bottom w:val="single" w:sz="6" w:space="0" w:color="000000"/>
          <w:insideH w:val="single" w:sz="4" w:space="0" w:color="D3D3D3"/>
          <w:left w:val="none"/>
          <w:right w:val="none"/>
          <w:insideV w:val="none"/>
        </w:tblBorders>
        <w:tblLook w:firstColumn="1" w:firstRow="1" w:lastColumn="0" w:lastRow="0" w:noHBand="0" w:noVBand="1" w:val="04A0"/>
      </w:tblPr>
      <w:tblGrid>
        <w:gridCol w:w="2523"/>
        <w:gridCol w:w="2523"/>
        <w:gridCol w:w="2523"/>
        <w:gridCol w:w="2523"/>
      </w:tblGrid>
      <w:tr>
        <w:trPr>
          <w:cantSplit/>
        </w:trPr>
        <w:tc>
          <w:tcPr>
            <w:tcW w:type="dxa" w:w="1224"/>
          </w:tcPr>
          <w:p>
            <w:pPr>
              <w:pStyle w:val="tablecolhead"/>
              <w:spacing w:before="20" w:after="20" w:line="240" w:lineRule="auto"/>
              <w:jc w:val="center"/>
            </w:pPr>
            <w:r>
              <w:rPr>
                <w:rFonts w:ascii="Times New Roman" w:hAnsi="Times New Roman"/>
                <w:b/>
                <w:sz w:val="14"/>
              </w:rPr>
              <w:t>Tier</w:t>
            </w:r>
          </w:p>
        </w:tc>
        <w:tc>
          <w:tcPr>
            <w:tcW w:type="dxa" w:w="1152"/>
          </w:tcPr>
          <w:p>
            <w:pPr>
              <w:pStyle w:val="tablecolhead"/>
              <w:spacing w:before="20" w:after="20" w:line="240" w:lineRule="auto"/>
              <w:jc w:val="center"/>
            </w:pPr>
            <w:r>
              <w:rPr>
                <w:rFonts w:ascii="Times New Roman" w:hAnsi="Times New Roman"/>
                <w:b/>
                <w:sz w:val="14"/>
              </w:rPr>
              <w:t>Precision</w:t>
            </w:r>
          </w:p>
        </w:tc>
        <w:tc>
          <w:tcPr>
            <w:tcW w:type="dxa" w:w="1152"/>
          </w:tcPr>
          <w:p>
            <w:pPr>
              <w:pStyle w:val="tablecolhead"/>
              <w:spacing w:before="20" w:after="20" w:line="240" w:lineRule="auto"/>
              <w:jc w:val="center"/>
            </w:pPr>
            <w:r>
              <w:rPr>
                <w:rFonts w:ascii="Times New Roman" w:hAnsi="Times New Roman"/>
                <w:b/>
                <w:sz w:val="14"/>
              </w:rPr>
              <w:t>Recall</w:t>
            </w:r>
          </w:p>
        </w:tc>
        <w:tc>
          <w:tcPr>
            <w:tcW w:type="dxa" w:w="1296"/>
          </w:tcPr>
          <w:p>
            <w:pPr>
              <w:pStyle w:val="tablecolhead"/>
              <w:spacing w:before="20" w:after="20" w:line="240" w:lineRule="auto"/>
              <w:jc w:val="center"/>
            </w:pPr>
            <w:r>
              <w:rPr>
                <w:rFonts w:ascii="Times New Roman" w:hAnsi="Times New Roman"/>
                <w:b/>
                <w:sz w:val="14"/>
              </w:rPr>
              <w:t>F1</w:t>
            </w:r>
          </w:p>
        </w:tc>
      </w:tr>
      <w:tr>
        <w:trPr>
          <w:cantSplit/>
        </w:trPr>
        <w:tc>
          <w:tcPr>
            <w:tcW w:type="dxa" w:w="1224"/>
          </w:tcPr>
          <w:p>
            <w:pPr>
              <w:pStyle w:val="tablecopy"/>
              <w:spacing w:before="16" w:after="16" w:line="240" w:lineRule="auto"/>
              <w:jc w:val="left"/>
            </w:pPr>
            <w:r>
              <w:rPr>
                <w:rFonts w:ascii="Times New Roman" w:hAnsi="Times New Roman"/>
                <w:sz w:val="14"/>
              </w:rPr>
              <w:t>LOW</w:t>
            </w:r>
          </w:p>
        </w:tc>
        <w:tc>
          <w:tcPr>
            <w:tcW w:type="dxa" w:w="1152"/>
          </w:tcPr>
          <w:p>
            <w:pPr>
              <w:pStyle w:val="tablecopy"/>
              <w:spacing w:before="16" w:after="16" w:line="240" w:lineRule="auto"/>
              <w:jc w:val="center"/>
            </w:pPr>
            <w:r>
              <w:rPr>
                <w:rFonts w:ascii="Times New Roman" w:hAnsi="Times New Roman"/>
                <w:sz w:val="14"/>
              </w:rPr>
              <w:t>64.3%</w:t>
            </w:r>
          </w:p>
        </w:tc>
        <w:tc>
          <w:tcPr>
            <w:tcW w:type="dxa" w:w="1152"/>
          </w:tcPr>
          <w:p>
            <w:pPr>
              <w:pStyle w:val="tablecopy"/>
              <w:spacing w:before="16" w:after="16" w:line="240" w:lineRule="auto"/>
              <w:jc w:val="center"/>
            </w:pPr>
            <w:r>
              <w:rPr>
                <w:rFonts w:ascii="Times New Roman" w:hAnsi="Times New Roman"/>
                <w:sz w:val="14"/>
              </w:rPr>
              <w:t>81.8%</w:t>
            </w:r>
          </w:p>
        </w:tc>
        <w:tc>
          <w:tcPr>
            <w:tcW w:type="dxa" w:w="1296"/>
          </w:tcPr>
          <w:p>
            <w:pPr>
              <w:pStyle w:val="tablecopy"/>
              <w:spacing w:before="16" w:after="16" w:line="240" w:lineRule="auto"/>
              <w:jc w:val="center"/>
            </w:pPr>
            <w:r>
              <w:rPr>
                <w:rFonts w:ascii="Times New Roman" w:hAnsi="Times New Roman"/>
                <w:sz w:val="14"/>
              </w:rPr>
              <w:t>72.0%</w:t>
            </w:r>
          </w:p>
        </w:tc>
      </w:tr>
      <w:tr>
        <w:trPr>
          <w:cantSplit/>
        </w:trPr>
        <w:tc>
          <w:tcPr>
            <w:tcW w:type="dxa" w:w="1224"/>
          </w:tcPr>
          <w:p>
            <w:pPr>
              <w:pStyle w:val="tablecopy"/>
              <w:spacing w:before="16" w:after="16" w:line="240" w:lineRule="auto"/>
              <w:jc w:val="left"/>
            </w:pPr>
            <w:r>
              <w:rPr>
                <w:rFonts w:ascii="Times New Roman" w:hAnsi="Times New Roman"/>
                <w:sz w:val="14"/>
              </w:rPr>
              <w:t>MEDIUM</w:t>
            </w:r>
          </w:p>
        </w:tc>
        <w:tc>
          <w:tcPr>
            <w:tcW w:type="dxa" w:w="1152"/>
          </w:tcPr>
          <w:p>
            <w:pPr>
              <w:pStyle w:val="tablecopy"/>
              <w:spacing w:before="16" w:after="16" w:line="240" w:lineRule="auto"/>
              <w:jc w:val="center"/>
            </w:pPr>
            <w:r>
              <w:rPr>
                <w:rFonts w:ascii="Times New Roman" w:hAnsi="Times New Roman"/>
                <w:sz w:val="14"/>
              </w:rPr>
              <w:t>90.7%</w:t>
            </w:r>
          </w:p>
        </w:tc>
        <w:tc>
          <w:tcPr>
            <w:tcW w:type="dxa" w:w="1152"/>
          </w:tcPr>
          <w:p>
            <w:pPr>
              <w:pStyle w:val="tablecopy"/>
              <w:spacing w:before="16" w:after="16" w:line="240" w:lineRule="auto"/>
              <w:jc w:val="center"/>
            </w:pPr>
            <w:r>
              <w:rPr>
                <w:rFonts w:ascii="Times New Roman" w:hAnsi="Times New Roman"/>
                <w:sz w:val="14"/>
              </w:rPr>
              <w:t>91.9%</w:t>
            </w:r>
          </w:p>
        </w:tc>
        <w:tc>
          <w:tcPr>
            <w:tcW w:type="dxa" w:w="1296"/>
          </w:tcPr>
          <w:p>
            <w:pPr>
              <w:pStyle w:val="tablecopy"/>
              <w:spacing w:before="16" w:after="16" w:line="240" w:lineRule="auto"/>
              <w:jc w:val="center"/>
            </w:pPr>
            <w:r>
              <w:rPr>
                <w:rFonts w:ascii="Times New Roman" w:hAnsi="Times New Roman"/>
                <w:sz w:val="14"/>
              </w:rPr>
              <w:t>91.3%</w:t>
            </w:r>
          </w:p>
        </w:tc>
      </w:tr>
      <w:tr>
        <w:trPr>
          <w:cantSplit/>
        </w:trPr>
        <w:tc>
          <w:tcPr>
            <w:tcW w:type="dxa" w:w="1224"/>
          </w:tcPr>
          <w:p>
            <w:pPr>
              <w:pStyle w:val="tablecopy"/>
              <w:spacing w:before="16" w:after="16" w:line="240" w:lineRule="auto"/>
              <w:jc w:val="left"/>
            </w:pPr>
            <w:r>
              <w:rPr>
                <w:rFonts w:ascii="Times New Roman" w:hAnsi="Times New Roman"/>
                <w:sz w:val="14"/>
              </w:rPr>
              <w:t>HIGH</w:t>
            </w:r>
          </w:p>
        </w:tc>
        <w:tc>
          <w:tcPr>
            <w:tcW w:type="dxa" w:w="1152"/>
          </w:tcPr>
          <w:p>
            <w:pPr>
              <w:pStyle w:val="tablecopy"/>
              <w:spacing w:before="16" w:after="16" w:line="240" w:lineRule="auto"/>
              <w:jc w:val="center"/>
            </w:pPr>
            <w:r>
              <w:rPr>
                <w:rFonts w:ascii="Times New Roman" w:hAnsi="Times New Roman"/>
                <w:sz w:val="14"/>
              </w:rPr>
              <w:t>94.9%</w:t>
            </w:r>
          </w:p>
        </w:tc>
        <w:tc>
          <w:tcPr>
            <w:tcW w:type="dxa" w:w="1152"/>
          </w:tcPr>
          <w:p>
            <w:pPr>
              <w:pStyle w:val="tablecopy"/>
              <w:spacing w:before="16" w:after="16" w:line="240" w:lineRule="auto"/>
              <w:jc w:val="center"/>
            </w:pPr>
            <w:r>
              <w:rPr>
                <w:rFonts w:ascii="Times New Roman" w:hAnsi="Times New Roman"/>
                <w:sz w:val="14"/>
              </w:rPr>
              <w:t>88.9%</w:t>
            </w:r>
          </w:p>
        </w:tc>
        <w:tc>
          <w:tcPr>
            <w:tcW w:type="dxa" w:w="1296"/>
          </w:tcPr>
          <w:p>
            <w:pPr>
              <w:pStyle w:val="tablecopy"/>
              <w:spacing w:before="16" w:after="16" w:line="240" w:lineRule="auto"/>
              <w:jc w:val="center"/>
            </w:pPr>
            <w:r>
              <w:rPr>
                <w:rFonts w:ascii="Times New Roman" w:hAnsi="Times New Roman"/>
                <w:sz w:val="14"/>
              </w:rPr>
              <w:t>91.8%</w:t>
            </w:r>
          </w:p>
        </w:tc>
      </w:tr>
      <w:tr>
        <w:trPr>
          <w:cantSplit/>
        </w:trPr>
        <w:tc>
          <w:tcPr>
            <w:tcW w:type="dxa" w:w="1224"/>
          </w:tcPr>
          <w:p>
            <w:pPr>
              <w:pStyle w:val="tablecopy"/>
              <w:spacing w:before="16" w:after="16" w:line="240" w:lineRule="auto"/>
              <w:jc w:val="left"/>
            </w:pPr>
            <w:r>
              <w:rPr>
                <w:rFonts w:ascii="Times New Roman" w:hAnsi="Times New Roman"/>
                <w:sz w:val="14"/>
              </w:rPr>
              <w:t>CRITICAL†</w:t>
            </w:r>
          </w:p>
        </w:tc>
        <w:tc>
          <w:tcPr>
            <w:tcW w:type="dxa" w:w="1152"/>
          </w:tcPr>
          <w:p>
            <w:pPr>
              <w:pStyle w:val="tablecopy"/>
              <w:spacing w:before="16" w:after="16" w:line="240" w:lineRule="auto"/>
              <w:jc w:val="center"/>
            </w:pPr>
            <w:r>
              <w:rPr>
                <w:rFonts w:ascii="Times New Roman" w:hAnsi="Times New Roman"/>
                <w:sz w:val="14"/>
              </w:rPr>
              <w:t>77.8%</w:t>
            </w:r>
          </w:p>
        </w:tc>
        <w:tc>
          <w:tcPr>
            <w:tcW w:type="dxa" w:w="1152"/>
          </w:tcPr>
          <w:p>
            <w:pPr>
              <w:pStyle w:val="tablecopy"/>
              <w:spacing w:before="16" w:after="16" w:line="240" w:lineRule="auto"/>
              <w:jc w:val="center"/>
            </w:pPr>
            <w:r>
              <w:rPr>
                <w:rFonts w:ascii="Times New Roman" w:hAnsi="Times New Roman"/>
                <w:sz w:val="14"/>
              </w:rPr>
              <w:t>77.8%</w:t>
            </w:r>
          </w:p>
        </w:tc>
        <w:tc>
          <w:tcPr>
            <w:tcW w:type="dxa" w:w="1296"/>
          </w:tcPr>
          <w:p>
            <w:pPr>
              <w:pStyle w:val="tablecopy"/>
              <w:spacing w:before="16" w:after="16" w:line="240" w:lineRule="auto"/>
              <w:jc w:val="center"/>
            </w:pPr>
            <w:r>
              <w:rPr>
                <w:rFonts w:ascii="Times New Roman" w:hAnsi="Times New Roman"/>
                <w:sz w:val="14"/>
              </w:rPr>
              <w:t>77.8%</w:t>
            </w:r>
          </w:p>
        </w:tc>
      </w:tr>
    </w:tbl>
    <w:p>
      <w:pPr>
        <w:spacing w:before="0" w:after="50"/>
      </w:pPr>
    </w:p>
    <w:p>
      <w:pPr>
        <w:pStyle w:val="BodyText"/>
      </w:pPr>
      <w:r>
        <w:t>† CRITICAL tier support n = 9; wide confidence interval, not to be over-interpreted.</w:t>
      </w:r>
    </w:p>
    <w:p>
      <w:pPr>
        <w:keepNext/>
        <w:spacing w:before="60" w:after="30"/>
        <w:jc w:val="center"/>
      </w:pPr>
      <w:r>
        <w:drawing>
          <wp:inline xmlns:a="http://schemas.openxmlformats.org/drawingml/2006/main" xmlns:pic="http://schemas.openxmlformats.org/drawingml/2006/picture">
            <wp:extent cx="3063240" cy="1696564"/>
            <wp:docPr id="4" name="Picture 4"/>
            <wp:cNvGraphicFramePr>
              <a:graphicFrameLocks noChangeAspect="1"/>
            </wp:cNvGraphicFramePr>
            <a:graphic>
              <a:graphicData uri="http://schemas.openxmlformats.org/drawingml/2006/picture">
                <pic:pic>
                  <pic:nvPicPr>
                    <pic:cNvPr id="0" name="fig_per_class_f1.png"/>
                    <pic:cNvPicPr/>
                  </pic:nvPicPr>
                  <pic:blipFill>
                    <a:blip r:embed="rId16"/>
                    <a:stretch>
                      <a:fillRect/>
                    </a:stretch>
                  </pic:blipFill>
                  <pic:spPr>
                    <a:xfrm>
                      <a:off x="0" y="0"/>
                      <a:ext cx="3063240" cy="1696564"/>
                    </a:xfrm>
                    <a:prstGeom prst="rect"/>
                  </pic:spPr>
                </pic:pic>
              </a:graphicData>
            </a:graphic>
          </wp:inline>
        </w:drawing>
      </w:r>
    </w:p>
    <w:p>
      <w:pPr>
        <w:pStyle w:val="figurecaption"/>
        <w:keepNext w:val="0"/>
      </w:pPr>
      <w:r>
        <w:t>Per-class F1-score across severity tiers for XGBoost against neural baselines.</w:t>
      </w:r>
    </w:p>
    <w:p>
      <w:pPr>
        <w:pStyle w:val="Heading2"/>
        <w:keepNext/>
      </w:pPr>
      <w:r>
        <w:t>Analysis</w:t>
      </w:r>
    </w:p>
    <w:p>
      <w:pPr>
        <w:pStyle w:val="BodyText"/>
      </w:pPr>
      <w:r>
        <w:t>The gap in Table V is consistent with Grinsztajn et al.'s finding that tree-based models retain an advantage on medium-sized tabular data [14]: BreachShield's categorical feature vocabulary is a sparse, unordered categorical space, for which recurrent and attention architectures impose an artificial sequential or positional bias that tree splits do not. This is also consistent with Sahingoz et al.'s finding that CNN architectures outperform RNN and attention-based models on shorter, structurally-regular inputs [2] — our own CNN &gt; Transformer &gt; RNN ordering on macro F1 matches that pattern.</w:t>
      </w:r>
    </w:p>
    <w:p>
      <w:pPr>
        <w:pStyle w:val="Heading2"/>
        <w:keepNext/>
      </w:pPr>
      <w:r>
        <w:t>Production Deployment Status</w:t>
      </w:r>
    </w:p>
    <w:p>
      <w:pPr>
        <w:pStyle w:val="BodyText"/>
      </w:pPr>
      <w:r>
        <w:t>Despite its strong benchmark performance, the checkpoint-loaded XGBoost severity model is not the production search-path scorer. Production risk scoring is computed by the regex-driven engine described in Section V-C. XGBoost is retained as a validated research artifact because live OSINT feeds do not reliably supply the complete feature set the model's contract requires. Separately, a live pretrained URL-transformer classifier (UrlBERT) is deployed on the actual search path and confirmed functioning against a known-phishing test URL with 0.9999 confidence.</w:t>
      </w:r>
    </w:p>
    <w:p>
      <w:pPr>
        <w:pStyle w:val="Heading1"/>
        <w:keepNext/>
      </w:pPr>
      <w:r>
        <w:t>BLOCKCHAIN AUDIT TRAIL</w:t>
      </w:r>
    </w:p>
    <w:p>
      <w:pPr>
        <w:pStyle w:val="BodyText"/>
      </w:pPr>
      <w:r>
        <w:t>Audit events are canonicalised (sorted-key JSON) and hashed into Merkle leaves, enqueued, and flushed — on reaching a 100-leaf batch or a 60-second window, whichever comes first — into a Merkle tree. The resulting root is anchored on-chain via a call to an AnchorRegistry smart contract, which awaits a transaction receipt.</w:t>
      </w:r>
    </w:p>
    <w:p>
      <w:pPr>
        <w:pStyle w:val="Heading2"/>
        <w:keepNext/>
      </w:pPr>
      <w:r>
        <w:t>Design Rationale</w:t>
      </w:r>
    </w:p>
    <w:p>
      <w:pPr>
        <w:pStyle w:val="BodyText"/>
      </w:pPr>
      <w:r>
        <w:t>Anchoring every individual audit event on-chain would impose a transaction fee and latency cost per search, which is impractical for an interactive lookup service. Batching amortises this cost across up to 100 events, following the same size/time hybrid trigger used by Arabnouri et al.'s checkpoint-based design [7], at the price of a bounded window (up to 60 seconds) during which a batch's events are committed to the Merkle tree but not yet reflected in an on-chain root. Within that window, tampering with a not-yet-anchored event would go undetected by the anchor alone, though it would still be caught by the local canonical-JSON hash chain on the next successful anchor; closing this window fully would require either a shorter flush interval, trading batching efficiency for lower exposure, or a separate write-ahead commitment scheme, which is noted as future work in Section X.</w:t>
      </w:r>
    </w:p>
    <w:p>
      <w:pPr>
        <w:pStyle w:val="Heading2"/>
        <w:keepNext/>
      </w:pPr>
      <w:r>
        <w:t>Current Status</w:t>
      </w:r>
    </w:p>
    <w:p>
      <w:pPr>
        <w:pStyle w:val="BodyText"/>
      </w:pPr>
      <w:r>
        <w:t>Direct testing of a clean local deploy confirms the AnchorRegistry contract compiles successfully. Auto-deployment on node restart currently fails: with the deployer's private-key environment variable unset, the configured account list is empty and the deploy script cannot resolve a deployer address. This is a configuration defect rather than a design flaw in the batching or anchoring logic, and is resolved by supplying the missing credential — tracked as the first item in Section X's remediation plan.</w:t>
      </w:r>
    </w:p>
    <w:p>
      <w:pPr>
        <w:pStyle w:val="Heading1"/>
        <w:keepNext/>
      </w:pPr>
      <w:r>
        <w:t>EVALUATION</w:t>
      </w:r>
    </w:p>
    <w:p>
      <w:pPr>
        <w:pStyle w:val="Heading2"/>
        <w:keepNext/>
      </w:pPr>
      <w:r>
        <w:t>Evaluation Methodology</w:t>
      </w:r>
    </w:p>
    <w:p>
      <w:pPr>
        <w:pStyle w:val="BodyText"/>
      </w:pPr>
      <w:r>
        <w:t>Each subsystem in Table VII was evaluated by the method most appropriate to its failure mode. The k-anonymity search path and risk-scoring engine were evaluated by direct, live HTTP requests against the running gateway, cross-checked against source-level inspection of the matching and scoring logic rather than relying on endpoint output alone. The severity classifier's determinism was confirmed by issuing repeated inference calls against the same input and independently instantiating the model class, verifying that both approaches produced identical output — a check specifically motivated by the two-model-population distinction in Section VII-B, where one population is checkpoint-loaded and deterministic and the other is not. Automated backend and frontend test suites were run to completion in a clean environment. The blockchain contract's compile and auto-deploy status were verified by a clean local deployment attempt rather than assumed from prior runs.</w:t>
      </w:r>
    </w:p>
    <w:p>
      <w:pPr>
        <w:pStyle w:val="Heading2"/>
        <w:keepNext/>
      </w:pPr>
      <w:r>
        <w:t>Results</w:t>
      </w:r>
    </w:p>
    <w:p>
      <w:pPr>
        <w:pStyle w:val="BodyText"/>
      </w:pPr>
      <w:r>
        <w:t>Table VII summarises the platform's evaluation status across its major subsystems.</w:t>
      </w:r>
    </w:p>
    <w:p>
      <w:pPr>
        <w:pStyle w:val="tablehead"/>
        <w:keepNext/>
      </w:pPr>
      <w:r>
        <w:t>EVALUATION SUMMARY</w:t>
      </w:r>
    </w:p>
    <w:tbl>
      <w:tblPr>
        <w:tblW w:type="auto" w:w="0"/>
        <w:jc w:val="center"/>
        <w:tblBorders>
          <w:top w:val="single" w:sz="6" w:space="0" w:color="000000"/>
          <w:bottom w:val="single" w:sz="6" w:space="0" w:color="000000"/>
          <w:insideH w:val="single" w:sz="4" w:space="0" w:color="D3D3D3"/>
          <w:left w:val="none"/>
          <w:right w:val="none"/>
          <w:insideV w:val="none"/>
        </w:tblBorders>
        <w:tblLook w:firstColumn="1" w:firstRow="1" w:lastColumn="0" w:lastRow="0" w:noHBand="0" w:noVBand="1" w:val="04A0"/>
      </w:tblPr>
      <w:tblGrid>
        <w:gridCol w:w="5046"/>
        <w:gridCol w:w="5046"/>
      </w:tblGrid>
      <w:tr>
        <w:trPr>
          <w:cantSplit/>
        </w:trPr>
        <w:tc>
          <w:tcPr>
            <w:tcW w:type="dxa" w:w="1944"/>
          </w:tcPr>
          <w:p>
            <w:pPr>
              <w:pStyle w:val="tablecolhead"/>
              <w:spacing w:before="20" w:after="20" w:line="240" w:lineRule="auto"/>
              <w:jc w:val="center"/>
            </w:pPr>
            <w:r>
              <w:rPr>
                <w:rFonts w:ascii="Times New Roman" w:hAnsi="Times New Roman"/>
                <w:b/>
                <w:sz w:val="14"/>
              </w:rPr>
              <w:t>Component</w:t>
            </w:r>
          </w:p>
        </w:tc>
        <w:tc>
          <w:tcPr>
            <w:tcW w:type="dxa" w:w="2880"/>
          </w:tcPr>
          <w:p>
            <w:pPr>
              <w:pStyle w:val="tablecolhead"/>
              <w:spacing w:before="20" w:after="20" w:line="240" w:lineRule="auto"/>
              <w:jc w:val="center"/>
            </w:pPr>
            <w:r>
              <w:rPr>
                <w:rFonts w:ascii="Times New Roman" w:hAnsi="Times New Roman"/>
                <w:b/>
                <w:sz w:val="14"/>
              </w:rPr>
              <w:t>Result</w:t>
            </w:r>
          </w:p>
        </w:tc>
      </w:tr>
      <w:tr>
        <w:trPr>
          <w:cantSplit/>
        </w:trPr>
        <w:tc>
          <w:tcPr>
            <w:tcW w:type="dxa" w:w="1944"/>
          </w:tcPr>
          <w:p>
            <w:pPr>
              <w:pStyle w:val="tablecopy"/>
              <w:spacing w:before="16" w:after="16" w:line="240" w:lineRule="auto"/>
              <w:jc w:val="left"/>
            </w:pPr>
            <w:r>
              <w:rPr>
                <w:rFonts w:ascii="Times New Roman" w:hAnsi="Times New Roman"/>
                <w:sz w:val="14"/>
              </w:rPr>
              <w:t>k-anonymity search</w:t>
            </w:r>
          </w:p>
        </w:tc>
        <w:tc>
          <w:tcPr>
            <w:tcW w:type="dxa" w:w="2880"/>
          </w:tcPr>
          <w:p>
            <w:pPr>
              <w:pStyle w:val="tablecopy"/>
              <w:spacing w:before="16" w:after="16" w:line="240" w:lineRule="auto"/>
              <w:jc w:val="left"/>
            </w:pPr>
            <w:r>
              <w:rPr>
                <w:rFonts w:ascii="Times New Roman" w:hAnsi="Times New Roman"/>
                <w:sz w:val="14"/>
              </w:rPr>
              <w:t>Live-tested; correct prefix/bucket round trip</w:t>
            </w:r>
          </w:p>
        </w:tc>
      </w:tr>
      <w:tr>
        <w:trPr>
          <w:cantSplit/>
        </w:trPr>
        <w:tc>
          <w:tcPr>
            <w:tcW w:type="dxa" w:w="1944"/>
          </w:tcPr>
          <w:p>
            <w:pPr>
              <w:pStyle w:val="tablecopy"/>
              <w:spacing w:before="16" w:after="16" w:line="240" w:lineRule="auto"/>
              <w:jc w:val="left"/>
            </w:pPr>
            <w:r>
              <w:rPr>
                <w:rFonts w:ascii="Times New Roman" w:hAnsi="Times New Roman"/>
                <w:sz w:val="14"/>
              </w:rPr>
              <w:t>Severity classifier</w:t>
            </w:r>
          </w:p>
        </w:tc>
        <w:tc>
          <w:tcPr>
            <w:tcW w:type="dxa" w:w="2880"/>
          </w:tcPr>
          <w:p>
            <w:pPr>
              <w:pStyle w:val="tablecopy"/>
              <w:spacing w:before="16" w:after="16" w:line="240" w:lineRule="auto"/>
              <w:jc w:val="left"/>
            </w:pPr>
            <w:r>
              <w:rPr>
                <w:rFonts w:ascii="Times New Roman" w:hAnsi="Times New Roman"/>
                <w:sz w:val="14"/>
              </w:rPr>
              <w:t>89.2% test accuracy; checkpoint-loaded, deterministic</w:t>
            </w:r>
          </w:p>
        </w:tc>
      </w:tr>
      <w:tr>
        <w:trPr>
          <w:cantSplit/>
        </w:trPr>
        <w:tc>
          <w:tcPr>
            <w:tcW w:type="dxa" w:w="1944"/>
          </w:tcPr>
          <w:p>
            <w:pPr>
              <w:pStyle w:val="tablecopy"/>
              <w:spacing w:before="16" w:after="16" w:line="240" w:lineRule="auto"/>
              <w:jc w:val="left"/>
            </w:pPr>
            <w:r>
              <w:rPr>
                <w:rFonts w:ascii="Times New Roman" w:hAnsi="Times New Roman"/>
                <w:sz w:val="14"/>
              </w:rPr>
              <w:t>Backend test suite</w:t>
            </w:r>
          </w:p>
        </w:tc>
        <w:tc>
          <w:tcPr>
            <w:tcW w:type="dxa" w:w="2880"/>
          </w:tcPr>
          <w:p>
            <w:pPr>
              <w:pStyle w:val="tablecopy"/>
              <w:spacing w:before="16" w:after="16" w:line="240" w:lineRule="auto"/>
              <w:jc w:val="left"/>
            </w:pPr>
            <w:r>
              <w:rPr>
                <w:rFonts w:ascii="Times New Roman" w:hAnsi="Times New Roman"/>
                <w:sz w:val="14"/>
              </w:rPr>
              <w:t>101/101 passing, 26 suites</w:t>
            </w:r>
          </w:p>
        </w:tc>
      </w:tr>
      <w:tr>
        <w:trPr>
          <w:cantSplit/>
        </w:trPr>
        <w:tc>
          <w:tcPr>
            <w:tcW w:type="dxa" w:w="1944"/>
          </w:tcPr>
          <w:p>
            <w:pPr>
              <w:pStyle w:val="tablecopy"/>
              <w:spacing w:before="16" w:after="16" w:line="240" w:lineRule="auto"/>
              <w:jc w:val="left"/>
            </w:pPr>
            <w:r>
              <w:rPr>
                <w:rFonts w:ascii="Times New Roman" w:hAnsi="Times New Roman"/>
                <w:sz w:val="14"/>
              </w:rPr>
              <w:t>Frontend test suite</w:t>
            </w:r>
          </w:p>
        </w:tc>
        <w:tc>
          <w:tcPr>
            <w:tcW w:type="dxa" w:w="2880"/>
          </w:tcPr>
          <w:p>
            <w:pPr>
              <w:pStyle w:val="tablecopy"/>
              <w:spacing w:before="16" w:after="16" w:line="240" w:lineRule="auto"/>
              <w:jc w:val="left"/>
            </w:pPr>
            <w:r>
              <w:rPr>
                <w:rFonts w:ascii="Times New Roman" w:hAnsi="Times New Roman"/>
                <w:sz w:val="14"/>
              </w:rPr>
              <w:t>50/50 passing, 3 suites</w:t>
            </w:r>
          </w:p>
        </w:tc>
      </w:tr>
      <w:tr>
        <w:trPr>
          <w:cantSplit/>
        </w:trPr>
        <w:tc>
          <w:tcPr>
            <w:tcW w:type="dxa" w:w="1944"/>
          </w:tcPr>
          <w:p>
            <w:pPr>
              <w:pStyle w:val="tablecopy"/>
              <w:spacing w:before="16" w:after="16" w:line="240" w:lineRule="auto"/>
              <w:jc w:val="left"/>
            </w:pPr>
            <w:r>
              <w:rPr>
                <w:rFonts w:ascii="Times New Roman" w:hAnsi="Times New Roman"/>
                <w:sz w:val="14"/>
              </w:rPr>
              <w:t>Risk-scoring engine</w:t>
            </w:r>
          </w:p>
        </w:tc>
        <w:tc>
          <w:tcPr>
            <w:tcW w:type="dxa" w:w="2880"/>
          </w:tcPr>
          <w:p>
            <w:pPr>
              <w:pStyle w:val="tablecopy"/>
              <w:spacing w:before="16" w:after="16" w:line="240" w:lineRule="auto"/>
              <w:jc w:val="left"/>
            </w:pPr>
            <w:r>
              <w:rPr>
                <w:rFonts w:ascii="Times New Roman" w:hAnsi="Times New Roman"/>
                <w:sz w:val="14"/>
              </w:rPr>
              <w:t>Genuinely computed, regex-driven (source-verified)</w:t>
            </w:r>
          </w:p>
        </w:tc>
      </w:tr>
      <w:tr>
        <w:trPr>
          <w:cantSplit/>
        </w:trPr>
        <w:tc>
          <w:tcPr>
            <w:tcW w:type="dxa" w:w="1944"/>
          </w:tcPr>
          <w:p>
            <w:pPr>
              <w:pStyle w:val="tablecopy"/>
              <w:spacing w:before="16" w:after="16" w:line="240" w:lineRule="auto"/>
              <w:jc w:val="left"/>
            </w:pPr>
            <w:r>
              <w:rPr>
                <w:rFonts w:ascii="Times New Roman" w:hAnsi="Times New Roman"/>
                <w:sz w:val="14"/>
              </w:rPr>
              <w:t>Live URL classifier</w:t>
            </w:r>
          </w:p>
        </w:tc>
        <w:tc>
          <w:tcPr>
            <w:tcW w:type="dxa" w:w="2880"/>
          </w:tcPr>
          <w:p>
            <w:pPr>
              <w:pStyle w:val="tablecopy"/>
              <w:spacing w:before="16" w:after="16" w:line="240" w:lineRule="auto"/>
              <w:jc w:val="left"/>
            </w:pPr>
            <w:r>
              <w:rPr>
                <w:rFonts w:ascii="Times New Roman" w:hAnsi="Times New Roman"/>
                <w:sz w:val="14"/>
              </w:rPr>
              <w:t>Functioning; 0.9999 confidence on test case</w:t>
            </w:r>
          </w:p>
        </w:tc>
      </w:tr>
      <w:tr>
        <w:trPr>
          <w:cantSplit/>
        </w:trPr>
        <w:tc>
          <w:tcPr>
            <w:tcW w:type="dxa" w:w="1944"/>
          </w:tcPr>
          <w:p>
            <w:pPr>
              <w:pStyle w:val="tablecopy"/>
              <w:spacing w:before="16" w:after="16" w:line="240" w:lineRule="auto"/>
              <w:jc w:val="left"/>
            </w:pPr>
            <w:r>
              <w:rPr>
                <w:rFonts w:ascii="Times New Roman" w:hAnsi="Times New Roman"/>
                <w:sz w:val="14"/>
              </w:rPr>
              <w:t>Merkle audit batching</w:t>
            </w:r>
          </w:p>
        </w:tc>
        <w:tc>
          <w:tcPr>
            <w:tcW w:type="dxa" w:w="2880"/>
          </w:tcPr>
          <w:p>
            <w:pPr>
              <w:pStyle w:val="tablecopy"/>
              <w:spacing w:before="16" w:after="16" w:line="240" w:lineRule="auto"/>
              <w:jc w:val="left"/>
            </w:pPr>
            <w:r>
              <w:rPr>
                <w:rFonts w:ascii="Times New Roman" w:hAnsi="Times New Roman"/>
                <w:sz w:val="14"/>
              </w:rPr>
              <w:t>Construction verified; contract compiles</w:t>
            </w:r>
          </w:p>
        </w:tc>
      </w:tr>
      <w:tr>
        <w:trPr>
          <w:cantSplit/>
        </w:trPr>
        <w:tc>
          <w:tcPr>
            <w:tcW w:type="dxa" w:w="1944"/>
          </w:tcPr>
          <w:p>
            <w:pPr>
              <w:pStyle w:val="tablecopy"/>
              <w:spacing w:before="16" w:after="16" w:line="240" w:lineRule="auto"/>
              <w:jc w:val="left"/>
            </w:pPr>
            <w:r>
              <w:rPr>
                <w:rFonts w:ascii="Times New Roman" w:hAnsi="Times New Roman"/>
                <w:sz w:val="14"/>
              </w:rPr>
              <w:t>Blockchain auto-deploy</w:t>
            </w:r>
          </w:p>
        </w:tc>
        <w:tc>
          <w:tcPr>
            <w:tcW w:type="dxa" w:w="2880"/>
          </w:tcPr>
          <w:p>
            <w:pPr>
              <w:pStyle w:val="tablecopy"/>
              <w:spacing w:before="16" w:after="16" w:line="240" w:lineRule="auto"/>
              <w:jc w:val="left"/>
            </w:pPr>
            <w:r>
              <w:rPr>
                <w:rFonts w:ascii="Times New Roman" w:hAnsi="Times New Roman"/>
                <w:sz w:val="14"/>
              </w:rPr>
              <w:t>Fails — missing deployer credential</w:t>
            </w:r>
          </w:p>
        </w:tc>
      </w:tr>
      <w:tr>
        <w:trPr>
          <w:cantSplit/>
        </w:trPr>
        <w:tc>
          <w:tcPr>
            <w:tcW w:type="dxa" w:w="1944"/>
          </w:tcPr>
          <w:p>
            <w:pPr>
              <w:pStyle w:val="tablecopy"/>
              <w:spacing w:before="16" w:after="16" w:line="240" w:lineRule="auto"/>
              <w:jc w:val="left"/>
            </w:pPr>
            <w:r>
              <w:rPr>
                <w:rFonts w:ascii="Times New Roman" w:hAnsi="Times New Roman"/>
                <w:sz w:val="14"/>
              </w:rPr>
              <w:t>OSINT source adapters</w:t>
            </w:r>
          </w:p>
        </w:tc>
        <w:tc>
          <w:tcPr>
            <w:tcW w:type="dxa" w:w="2880"/>
          </w:tcPr>
          <w:p>
            <w:pPr>
              <w:pStyle w:val="tablecopy"/>
              <w:spacing w:before="16" w:after="16" w:line="240" w:lineRule="auto"/>
              <w:jc w:val="left"/>
            </w:pPr>
            <w:r>
              <w:rPr>
                <w:rFonts w:ascii="Times New Roman" w:hAnsi="Times New Roman"/>
                <w:sz w:val="14"/>
              </w:rPr>
              <w:t>2 of 4 live (local catalog, Telegram); 2 planned</w:t>
            </w:r>
          </w:p>
        </w:tc>
      </w:tr>
    </w:tbl>
    <w:p>
      <w:pPr>
        <w:spacing w:before="0" w:after="50"/>
      </w:pPr>
    </w:p>
    <w:p>
      <w:pPr>
        <w:pStyle w:val="Heading1"/>
        <w:keepNext/>
      </w:pPr>
      <w:r>
        <w:t>LIMITATIONS AND FUTURE WORK</w:t>
      </w:r>
    </w:p>
    <w:p>
      <w:pPr>
        <w:pStyle w:val="Heading2"/>
        <w:keepNext/>
      </w:pPr>
      <w:r>
        <w:t>Security and Privacy Limitations</w:t>
      </w:r>
    </w:p>
    <w:p>
      <w:pPr>
        <w:pStyle w:val="BodyText"/>
      </w:pPr>
      <w:r>
        <w:t>The k-anonymity search protocol uses the standard HIBP-style prefix-bucket construction without the stronger private-set-intersection guarantees Li et al. propose [9]; combined with OTP-gated access, the server can associate a query session with an authenticated identity even though it cannot determine the specific target within a returned bucket — a deliberate accountability/privacy trade-off that should not be understated. The bcrypt cost factor (10) and five-minute OTP expiry follow common practice for interactive authentication flows, but have not been independently load-tested under adversarial request volume. A development-only OTP bypass flag exists in the authentication path and must be confirmed disabled before any deployment.</w:t>
      </w:r>
    </w:p>
    <w:p>
      <w:pPr>
        <w:pStyle w:val="Heading2"/>
        <w:keepNext/>
      </w:pPr>
      <w:r>
        <w:t>Data and Model Limitations</w:t>
      </w:r>
    </w:p>
    <w:p>
      <w:pPr>
        <w:pStyle w:val="BodyText"/>
      </w:pPr>
      <w:r>
        <w:t>The CRITICAL severity class is represented by only nine test-set records; per-class precision/recall on this tier carries correspondingly wide uncertainty, and applying SMOTE or an equivalent resampling strategy following Alsubaei et al.'s demonstrated approach [3] is planned as near-term future work rather than a completed step. Two of four registered OSINT source adapters do not presently perform outbound network calls; wiring at least one to a real feed (e.g. a public phishing-indicator API) is a near-term priority.</w:t>
      </w:r>
    </w:p>
    <w:p>
      <w:pPr>
        <w:pStyle w:val="Heading2"/>
        <w:keepNext/>
      </w:pPr>
      <w:r>
        <w:t>Infrastructure Limitations</w:t>
      </w:r>
    </w:p>
    <w:p>
      <w:pPr>
        <w:pStyle w:val="BodyText"/>
      </w:pPr>
      <w:r>
        <w:t>Blockchain anchoring currently targets a local EVM node rather than a public chain, and auto-deployment is presently blocked by a missing credential (Section VIII-B); public verifiability claims are therefore not made until this is resolved. No system-level latency benchmark exists at the time of writing; per-request inference timings are available but should not be read as an aggregate or percentile system-performance claim.</w:t>
      </w:r>
    </w:p>
    <w:p>
      <w:pPr>
        <w:pStyle w:val="Heading2"/>
        <w:keepNext/>
      </w:pPr>
      <w:r>
        <w:t>Planned Remediation</w:t>
      </w:r>
    </w:p>
    <w:p>
      <w:pPr>
        <w:pStyle w:val="BodyText"/>
      </w:pPr>
      <w:r>
        <w:t>Planned near-term work is, in priority order: (i) supplying the missing deployment credential and re-verifying a clean blockchain auto-deploy; (ii) implementing a genuine network call for at least one of the two stubbed OSINT sources; (iii) applying SMOTE or an equivalent resampling strategy to the CRITICAL severity tier; and (iv) running a reproducible latency benchmark suite before any performance claim is made in future reporting. Medium-term work includes evaluating Li et al.'s private-set-intersection protocols [9] as a replacement for the current OTP-gated prefix design, and assessing public-chain anchoring following the batching pattern of Arabnouri et al. [7] once local verification is complete.</w:t>
      </w:r>
    </w:p>
    <w:p>
      <w:pPr>
        <w:pStyle w:val="Heading1"/>
        <w:keepNext/>
      </w:pPr>
      <w:r>
        <w:t>CONCLUSION</w:t>
      </w:r>
    </w:p>
    <w:p>
      <w:pPr>
        <w:pStyle w:val="BodyText"/>
      </w:pPr>
      <w:r>
        <w:t>BreachShield demonstrates a privacy-preserving breach intelligence architecture combining a k-anonymity search protocol, a benchmarked and reproducible ML severity classifier, and a Merkle-batched audit log, documented here down to its real class structures, call sequences, and scoring mechanism. The platform's core privacy and integrity guarantees — client-side hashing, OTP-gated accountable search, and tamper-evident audit anchoring — are implemented and verified; a small number of well-scoped items (source integrations, blockchain auto-deploy, class-imbalance correction, and a latency benchmark) remain open and are reported here as a concrete, prioritised roadmap rather than as unqualified claims.</w:t>
      </w:r>
    </w:p>
    <w:p>
      <w:pPr>
        <w:pStyle w:val="Heading5"/>
        <w:keepNext/>
      </w:pPr>
      <w:r>
        <w:t>ACKNOWLEDGMENT</w:t>
      </w:r>
    </w:p>
    <w:p>
      <w:pPr>
        <w:pStyle w:val="BodyText"/>
      </w:pPr>
      <w:r>
        <w:t>The authors thank Prof. Sushma T. M. for guidance throughout Project Phase II (BIS786).</w:t>
      </w:r>
    </w:p>
    <w:p>
      <w:pPr>
        <w:pStyle w:val="Heading5"/>
        <w:keepNext/>
      </w:pPr>
      <w:r>
        <w:t>REFERENCES</w:t>
      </w:r>
    </w:p>
    <w:p>
      <w:pPr>
        <w:pStyle w:val="references"/>
      </w:pPr>
      <w:r>
        <w:t>A. Aljofey, Q. Jiang, Q. Qu, M. Huang, and J.-P. Niyigena, “An Effective Phishing Detection Model Based on Character Level Convolutional Neural Network from URL,” Electronics, vol. 9, no. 9, p. 1514, 2020.</w:t>
      </w:r>
    </w:p>
    <w:p>
      <w:pPr>
        <w:pStyle w:val="references"/>
      </w:pPr>
      <w:r>
        <w:t>O. K. Sahingoz, E. Buber, and E. Kugu, “DEPHIDES: Deep Learning Based Phishing Detection System,” IEEE Access, vol. 12, pp. 8052–8070, 2024.</w:t>
      </w:r>
    </w:p>
    <w:p>
      <w:pPr>
        <w:pStyle w:val="references"/>
      </w:pPr>
      <w:r>
        <w:t>F. S. Alsubaei, A. A. Almazroi, and N. Ayub, “Enhancing Phishing Detection: A Novel Hybrid Deep Learning Framework for Cybercrime Forensics,” IEEE Access, vol. 12, pp. 8373–8389, 2024.</w:t>
      </w:r>
    </w:p>
    <w:p>
      <w:pPr>
        <w:pStyle w:val="references"/>
      </w:pPr>
      <w:r>
        <w:t>B. V. Pavani, D. Mahitha, and B. Uma Maheswari, “Enhancing Online Safety: Phishing URL Detection Using Machine Learning and Explainable AI,” in Proc. 2024 15th ICCCNT, IEEE, 2024.</w:t>
      </w:r>
    </w:p>
    <w:p>
      <w:pPr>
        <w:pStyle w:val="references"/>
      </w:pPr>
      <w:r>
        <w:t>M. Tawfik, A. A. Abu-Ein, A. H. Abdelhaliem, Y. M. Al-Sharo, and I. S. Fathi, “Explainable Few-Shot Learning with Modern BERT for Detecting Emerging Phishing Attacks Using XF-PhishBERT,” Scientific Reports, vol. 15, art. 42821, 2025.</w:t>
      </w:r>
    </w:p>
    <w:p>
      <w:pPr>
        <w:pStyle w:val="references"/>
      </w:pPr>
      <w:r>
        <w:t>P. Kühn, K. Wittorf, and C. Reuter, “Navigating the Shadows: Manual and Semi-Automated Evaluation of the Dark Web for Cyber Threat Intelligence,” IEEE Access, 2024.</w:t>
      </w:r>
    </w:p>
    <w:p>
      <w:pPr>
        <w:pStyle w:val="references"/>
      </w:pPr>
      <w:r>
        <w:t>A. Arabnouri, S. Eissazadeh, and A. Shafieinejad, “A Secure Auditable Log based on Blockchain,” Monadi, vol. 13, no. 2, pp. 75–86, 2024.</w:t>
      </w:r>
    </w:p>
    <w:p>
      <w:pPr>
        <w:pStyle w:val="references"/>
      </w:pPr>
      <w:r>
        <w:t>L. Sweeney, “k-Anonymity: A Model for Protecting Privacy,” Int. J. Uncertainty, Fuzziness Knowl.-Based Syst., vol. 10, no. 5, pp. 557–570, 2002.</w:t>
      </w:r>
    </w:p>
    <w:p>
      <w:pPr>
        <w:pStyle w:val="references"/>
      </w:pPr>
      <w:r>
        <w:t>L. Li, B. Pal, J. Ali, N. Sullivan, R. Chatterjee, and T. Ristenpart, “Protocols for Checking Compromised Credentials,” in Proc. ACM CCS, 2019, pp. 1387–1403.</w:t>
      </w:r>
    </w:p>
    <w:p>
      <w:pPr>
        <w:pStyle w:val="references"/>
      </w:pPr>
      <w:r>
        <w:t>T. Chen and C. Guestrin, “XGBoost: A Scalable Tree Boosting System,” in Proc. ACM SIGKDD, 2016, pp. 785–794.</w:t>
      </w:r>
    </w:p>
    <w:p>
      <w:pPr>
        <w:pStyle w:val="references"/>
      </w:pPr>
      <w:r>
        <w:t>R. C. Merkle, “A Digital Signature Based on a Conventional Encryption Function,” in Advances in Cryptology — CRYPTO '87, Springer, 1988, pp. 369–378.</w:t>
      </w:r>
    </w:p>
    <w:p>
      <w:pPr>
        <w:pStyle w:val="references"/>
      </w:pPr>
      <w:r>
        <w:t>S. A. Crosby and D. S. Wallach, “Efficient Data Structures for Tamper-Evident Logging,” in Proc. USENIX Security Symp., 2009.</w:t>
      </w:r>
    </w:p>
    <w:p>
      <w:pPr>
        <w:pStyle w:val="references"/>
      </w:pPr>
      <w:r>
        <w:t>K. El Emam and F. K. Dankar, “Protecting Privacy Using k-Anonymity,” J. Amer. Med. Inform. Assoc., vol. 15, no. 5, pp. 627–637, 2008.</w:t>
      </w:r>
    </w:p>
    <w:p>
      <w:pPr>
        <w:pStyle w:val="references"/>
      </w:pPr>
      <w:r>
        <w:t>L. Grinsztajn, E. Oyallon, and G. Varoquaux, “Why Do Tree-Based Models Still Outperform Deep Learning on Typical Tabular Data?,” in Proc. NeurIPS, 2022.</w:t>
      </w:r>
    </w:p>
    <w:p>
      <w:pPr>
        <w:pStyle w:val="references"/>
      </w:pPr>
      <w:r>
        <w:t>National Institute of Standards and Technology, “Digital Identity Guidelines,” NIST Special Publication 800-63-4, Jul. 2025.</w:t>
      </w:r>
    </w:p>
    <w:p>
      <w:pPr>
        <w:pStyle w:val="references"/>
      </w:pPr>
      <w:r>
        <w:t>RFC 7519, “JSON Web Token (JWT),” IETF, 2015.</w:t>
      </w:r>
    </w:p>
    <w:p>
      <w:pPr>
        <w:pStyle w:val="references"/>
      </w:pPr>
      <w:r>
        <w:t>M. Saleem, R. Islam, and M. A. Kabir, “The Anonymity of the Dark Web: A Survey,” IEEE Access, vol. 10, pp. 33628–33660, 2022.</w:t>
      </w:r>
    </w:p>
    <w:p>
      <w:pPr>
        <w:pStyle w:val="references"/>
      </w:pPr>
      <w:r>
        <w:t>J. Pastor-Galindo, P. Nespoli, F. Gómez Mármol, and G. Martínez Pérez, “The Not Yet Exploited Goldmine of OSINT: Opportunities, Open Challenges and Future Trends,” IEEE Access, vol. 8, pp. 10282–10304, 2020.</w:t>
      </w:r>
    </w:p>
    <w:p>
      <w:pPr>
        <w:pStyle w:val="references"/>
      </w:pPr>
      <w:r>
        <w:t>IBM Security, “Cost of a Data Breach Report 2024,” IBM Corporation, Jul. 2024.</w:t>
      </w:r>
    </w:p>
    <w:sectPr w:rsidR="009303D9" w:rsidSect="003B4E04">
      <w:type w:val="continuous"/>
      <w:pgSz w:w="11906" w:h="16838" w:code="9"/>
      <w:pgMar w:top="1080" w:right="907" w:bottom="1440" w:left="907" w:header="720" w:footer="720" w:gutter="0"/>
      <w:docGrid w:linePitch="360"/>
      <w:cols w:num="2" w:space="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641C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19DB8-A56D-484B-A293-761E7EEF5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account</cp:lastModifiedBy>
  <cp:revision>2</cp:revision>
  <dcterms:created xsi:type="dcterms:W3CDTF">2026-09-20T11:16:00Z</dcterms:created>
  <dcterms:modified xsi:type="dcterms:W3CDTF">2026-09-20T11:16:00Z</dcterms:modified>
</cp:coreProperties>
</file>