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Times New Roman" w:hAnsi="Times New Roman"/>
          <w:b/>
          <w:sz w:val="40"/>
        </w:rPr>
        <w:t>BreachShield: AI Powered OSINT Breach Detection &amp; Dark Web Protection</w:t>
      </w:r>
    </w:p>
    <w:tbl>
      <w:tblPr>
        <w:tblW w:type="auto" w:w="0"/>
        <w:jc w:val="center"/>
        <w:tblLook w:firstColumn="1" w:firstRow="1" w:lastColumn="0" w:lastRow="0" w:noHBand="0" w:noVBand="1" w:val="04A0"/>
      </w:tblPr>
      <w:tblGrid>
        <w:gridCol w:w="5162"/>
        <w:gridCol w:w="5162"/>
      </w:tblGrid>
      <w:tr>
        <w:tc>
          <w:tcPr>
            <w:tcW w:type="dxa" w:w="5162"/>
            <w:tcBorders>
              <w:top w:val="none"/>
              <w:left w:val="none"/>
              <w:bottom w:val="none"/>
              <w:right w:val="none"/>
            </w:tcBorders>
          </w:tcPr>
          <w:p>
            <w:pPr>
              <w:spacing w:before="40" w:after="80" w:line="252" w:lineRule="auto"/>
              <w:jc w:val="center"/>
            </w:pPr>
            <w:r>
              <w:rPr>
                <w:rFonts w:ascii="Times New Roman" w:hAnsi="Times New Roman"/>
                <w:b/>
                <w:sz w:val="19"/>
              </w:rPr>
              <w:t>Arvind D. H., Girishkumar N. M., Manoj, Premkumar Teli</w:t>
              <w:br/>
            </w:r>
            <w:r>
              <w:rPr>
                <w:rFonts w:ascii="Times New Roman" w:hAnsi="Times New Roman"/>
                <w:i/>
                <w:sz w:val="17"/>
              </w:rPr>
              <w:t>Department of Information Science and Engineering</w:t>
              <w:br/>
              <w:t>Acharya Institute of Technology, Bengaluru, India</w:t>
            </w:r>
          </w:p>
        </w:tc>
        <w:tc>
          <w:tcPr>
            <w:tcW w:type="dxa" w:w="5162"/>
            <w:tcBorders>
              <w:top w:val="none"/>
              <w:left w:val="none"/>
              <w:bottom w:val="none"/>
              <w:right w:val="none"/>
            </w:tcBorders>
          </w:tcPr>
          <w:p>
            <w:pPr>
              <w:spacing w:before="40" w:after="80" w:line="252" w:lineRule="auto"/>
              <w:jc w:val="center"/>
            </w:pPr>
            <w:r>
              <w:rPr>
                <w:rFonts w:ascii="Times New Roman" w:hAnsi="Times New Roman"/>
                <w:b/>
                <w:sz w:val="19"/>
              </w:rPr>
              <w:t>Sushma T. M.</w:t>
              <w:br/>
            </w:r>
            <w:r>
              <w:rPr>
                <w:rFonts w:ascii="Times New Roman" w:hAnsi="Times New Roman"/>
                <w:i/>
                <w:sz w:val="17"/>
              </w:rPr>
              <w:t>Assistant Professor, Dept. of Information Science and Engineering</w:t>
              <w:br/>
              <w:t>Acharya Institute of Technology, Bengaluru, India</w:t>
            </w:r>
          </w:p>
        </w:tc>
      </w:tr>
    </w:tbl>
    <w:p>
      <w:pPr>
        <w:sectPr>
          <w:pgSz w:w="11909" w:h="16834"/>
          <w:pgMar w:top="1008" w:right="792" w:bottom="1080" w:left="792" w:header="720" w:footer="720" w:gutter="0"/>
          <w:cols w:space="720"/>
          <w:docGrid w:linePitch="360"/>
        </w:sectPr>
      </w:pPr>
    </w:p>
    <w:p>
      <w:pPr>
        <w:spacing w:before="20" w:after="40" w:line="240" w:lineRule="auto"/>
        <w:jc w:val="both"/>
      </w:pPr>
      <w:r>
        <w:rPr>
          <w:rFonts w:ascii="Times New Roman" w:hAnsi="Times New Roman"/>
          <w:b/>
          <w:sz w:val="18"/>
        </w:rPr>
        <w:t>Abstract—</w:t>
      </w:r>
      <w:r>
        <w:rPr>
          <w:rFonts w:ascii="Times New Roman" w:hAnsi="Times New Roman"/>
          <w:sz w:val="18"/>
        </w:rPr>
        <w:t>Breach notification and dark-web exposure intelligence platforms suffer from a fundamental privacy paradox: to determine whether personal credentials have been compromised, users must transmit those sensitive identifiers in plaintext to a third-party server, creating a centralized query-surveillance and correlation vector. This paper presents BreachShield, a privacy-preserving Open-Source Intelligence (OSINT) breach detection and threat assessment platform designed to resolve this tension through cryptographic query isolation, accountable gating, and verifiable audit logging. BreachShield combines a client-side k-anonymity range-query protocol (20-bit SHA-256 prefix partitioning) executed via the W3C Web Crypto API, a dual-channel out-of-band One-Time Password (OTP) identity gate, a pluggable OSINT source aggregation engine supporting live breach stores and Telegram scraping, an empirical machine-learning breach severity assessment framework, and a Merkle-tree batched audit trail anchored to an Ethereum Virtual Machine (EVM) smart contract. We define a comprehensive threat model spanning external eavesdroppers, malicious authenticated users, insider adversaries, and source-poisoning vectors, supported by formal security and privacy analyses that evaluate prefix leakage against Private Set Intersection (PSI) baselines. We report extensive functional evaluation across all pipeline subsystems and detail the experimental evaluation of a 165-dimensional gradient-boosted decision tree classifier (XGBoost, 89.2% test accuracy) benchmarked against deep learning architectures.</w:t>
      </w:r>
    </w:p>
    <w:p>
      <w:pPr>
        <w:spacing w:before="20" w:after="100" w:line="240" w:lineRule="auto"/>
        <w:jc w:val="both"/>
      </w:pPr>
      <w:r>
        <w:rPr>
          <w:rFonts w:ascii="Times New Roman" w:hAnsi="Times New Roman"/>
          <w:b/>
          <w:sz w:val="18"/>
        </w:rPr>
        <w:t>Keywords—</w:t>
      </w:r>
      <w:r>
        <w:rPr>
          <w:rFonts w:ascii="Times New Roman" w:hAnsi="Times New Roman"/>
          <w:sz w:val="18"/>
        </w:rPr>
        <w:t>Breach intelligence, k-anonymity, Open-Source Intelligence (OSINT), threat modeling, Merkle tree, blockchain audit log, XGBoost, query privacy.</w:t>
      </w:r>
    </w:p>
    <w:p>
      <w:pPr>
        <w:keepNext/>
        <w:spacing w:before="140" w:after="40" w:line="240" w:lineRule="auto"/>
        <w:jc w:val="center"/>
      </w:pPr>
      <w:r>
        <w:rPr>
          <w:rFonts w:ascii="Times New Roman" w:hAnsi="Times New Roman"/>
          <w:b/>
          <w:sz w:val="19"/>
        </w:rPr>
        <w:t>I. INTRODUCTION</w:t>
      </w:r>
    </w:p>
    <w:p>
      <w:pPr>
        <w:spacing w:before="0" w:after="40" w:line="240" w:lineRule="auto"/>
        <w:jc w:val="both"/>
      </w:pPr>
      <w:r>
        <w:rPr>
          <w:rFonts w:ascii="Times New Roman" w:hAnsi="Times New Roman"/>
          <w:sz w:val="19"/>
        </w:rPr>
        <w:t>The exponential expansion of digital identity surfaces and automated credential theft has precipitated widespread exfiltration of personal records onto dark-web marketplaces, underground paste sites, and public data dumps [1], [2]. Traditional compromise-checking services are fundamentally reactive and architecturally centralized. Users or corporate security teams seeking to determine credential exposure typically submit target queries—such as cleartext email addresses, employee identities, or telephone numbers—directly to centralized lookup services. This lookup process exposes users to third-party query tracking: the lookup provider learns precisely which identifier is being monitored, when the query occurred, and the requesting network location [3]. Consequently, querying for compromised status inadvertently creates a high-value surveillance vector.</w:t>
      </w:r>
    </w:p>
    <w:p>
      <w:pPr>
        <w:spacing w:before="0" w:after="40" w:line="240" w:lineRule="auto"/>
        <w:jc w:val="both"/>
      </w:pPr>
      <w:r>
        <w:rPr>
          <w:rFonts w:ascii="Times New Roman" w:hAnsi="Times New Roman"/>
          <w:sz w:val="19"/>
        </w:rPr>
        <w:t>To counteract query-exposure risks, partial prefix-matching constructions (commonly termed k-anonymity range queries) have been introduced [3], [4]. In these models, clients hash target identifiers locally and submit only a truncated cryptographic hash prefix. The lookup server returns all records matching that prefix bucket, leaving the final matching step to the client. While prefix disclosure prevents the server from deterministically identifying the requested record among bucket candidates, naive public range endpoints remain vulnerable to bulk enumeration and dictionary-scraping attacks. Malicious actors can traverse the finite prefix space (16^d possibilities) to harvest complete compromised credential corpora.</w:t>
      </w:r>
    </w:p>
    <w:p>
      <w:pPr>
        <w:spacing w:before="0" w:after="40" w:line="240" w:lineRule="auto"/>
        <w:jc w:val="both"/>
      </w:pPr>
      <w:r>
        <w:rPr>
          <w:rFonts w:ascii="Times New Roman" w:hAnsi="Times New Roman"/>
          <w:sz w:val="19"/>
        </w:rPr>
        <w:t>Furthermore, multi-source OSINT threat ingestion introduces acute data integrity and operational reliability challenges [2]. Underground data sources, such as distributed Telegram dump channels, operate with erratic uptime, rate limits, and unauthenticated provenance. Once compromise intelligence is obtained, security administrators face the operational challenge of triaging threat severity: distinguishing between low-impact leaks (e.g., outdated usernames) and critical exposures (e.g., plaintext passwords correlated with national identity records). Finally, audit records generated during organizational investigations are vulnerable to retroactive manipulation or repudiation by privileged insiders unless backed by cryptographic integrity guarantees [5], [6].</w:t>
      </w:r>
    </w:p>
    <w:p>
      <w:pPr>
        <w:spacing w:before="0" w:after="40" w:line="240" w:lineRule="auto"/>
        <w:jc w:val="both"/>
      </w:pPr>
      <w:r>
        <w:rPr>
          <w:rFonts w:ascii="Times New Roman" w:hAnsi="Times New Roman"/>
          <w:sz w:val="19"/>
        </w:rPr>
        <w:t>This paper presents BreachShield, a privacy-preserving OSINT breach intelligence platform engineered to address query privacy, authenticated enumeration resistance, multi-source aggregation, severity triage, and audit integrity within a unified architecture. BreachShield implements an end-to-end operational pipeline combining client-side Web Crypto SHA-256 partitioning, an out-of-band carrier-compliant OTP authentication gate, concurrent OSINT source dispatching, heuristic and machine-learning threat scoring, and Merkle-tree batched EVM smart contract anchoring.</w:t>
      </w:r>
    </w:p>
    <w:p>
      <w:pPr>
        <w:spacing w:before="0" w:after="40" w:line="240" w:lineRule="auto"/>
        <w:jc w:val="both"/>
      </w:pPr>
      <w:r>
        <w:rPr>
          <w:rFonts w:ascii="Times New Roman" w:hAnsi="Times New Roman"/>
          <w:sz w:val="19"/>
        </w:rPr>
        <w:t>The primary contributions of this paper are:</w:t>
      </w:r>
    </w:p>
    <w:p>
      <w:pPr>
        <w:spacing w:before="0" w:after="40" w:line="240" w:lineRule="auto"/>
        <w:jc w:val="both"/>
      </w:pPr>
      <w:r>
        <w:rPr>
          <w:rFonts w:ascii="Times New Roman" w:hAnsi="Times New Roman"/>
          <w:sz w:val="19"/>
        </w:rPr>
        <w:t>1) Privacy-Preserving Breach Intelligence Architecture: A client-side k-anonymity range-query protocol that bounds query disclosure to 20 bits of entropy, performing local cryptographic partitioning via the W3C Web Crypto API prior to network transmission.</w:t>
      </w:r>
    </w:p>
    <w:p>
      <w:pPr>
        <w:spacing w:before="0" w:after="40" w:line="240" w:lineRule="auto"/>
        <w:jc w:val="both"/>
      </w:pPr>
      <w:r>
        <w:rPr>
          <w:rFonts w:ascii="Times New Roman" w:hAnsi="Times New Roman"/>
          <w:sz w:val="19"/>
        </w:rPr>
        <w:t>2) Multi-Source OSINT Aggregation Framework: An extensible asynchronous provider pipeline featuring concurrent dispatching, thread-safe Telegram scraper microservices with mutex-controlled SQLite session pooling, and automated failover data stores.</w:t>
      </w:r>
    </w:p>
    <w:p>
      <w:pPr>
        <w:spacing w:before="0" w:after="40" w:line="240" w:lineRule="auto"/>
        <w:jc w:val="both"/>
      </w:pPr>
      <w:r>
        <w:rPr>
          <w:rFonts w:ascii="Times New Roman" w:hAnsi="Times New Roman"/>
          <w:sz w:val="19"/>
        </w:rPr>
        <w:t>3) OTP-Gated Authenticated Breach-Search Architecture: An accountable access control gate utilizing cryptographically secure OTP issuance, bcrypt hashing, carrier-compliant telecom DLT SMS templating via an Android gateway, and cryptographic session-token binding that enforces identity match invariants.</w:t>
      </w:r>
    </w:p>
    <w:p>
      <w:pPr>
        <w:spacing w:before="0" w:after="40" w:line="240" w:lineRule="auto"/>
        <w:jc w:val="both"/>
      </w:pPr>
      <w:r>
        <w:rPr>
          <w:rFonts w:ascii="Times New Roman" w:hAnsi="Times New Roman"/>
          <w:sz w:val="19"/>
        </w:rPr>
        <w:t>4) Tamper-Evident Audit Logging: A deterministic audit logger using sorted-key canonical JSON leaf hashing, asynchronous batch buffering (100-record / 60-second window), Merkle tree generation, and EVM smart contract state anchoring.</w:t>
      </w:r>
    </w:p>
    <w:p>
      <w:pPr>
        <w:spacing w:before="0" w:after="40" w:line="240" w:lineRule="auto"/>
        <w:jc w:val="both"/>
      </w:pPr>
      <w:r>
        <w:rPr>
          <w:rFonts w:ascii="Times New Roman" w:hAnsi="Times New Roman"/>
          <w:sz w:val="19"/>
        </w:rPr>
        <w:t>5) Experimental Machine-Learning Severity Assessment: An empirical benchmark evaluating XGBoost against 1D-CNN, RNN, and Transformer architectures across 1,034 curated breach records on a 165-dimensional feature space, establishing structural criteria for tabular exposure triage.</w:t>
      </w:r>
    </w:p>
    <w:p>
      <w:pPr>
        <w:keepNext/>
        <w:spacing w:before="140" w:after="40" w:line="240" w:lineRule="auto"/>
        <w:jc w:val="center"/>
      </w:pPr>
      <w:r>
        <w:rPr>
          <w:rFonts w:ascii="Times New Roman" w:hAnsi="Times New Roman"/>
          <w:b/>
          <w:sz w:val="19"/>
        </w:rPr>
        <w:t>II. THREAT MODEL</w:t>
      </w:r>
    </w:p>
    <w:p>
      <w:pPr>
        <w:keepNext/>
        <w:spacing w:before="100" w:after="30" w:line="240" w:lineRule="auto"/>
        <w:jc w:val="left"/>
      </w:pPr>
      <w:r>
        <w:rPr>
          <w:rFonts w:ascii="Times New Roman" w:hAnsi="Times New Roman"/>
          <w:b/>
          <w:i/>
          <w:sz w:val="19"/>
        </w:rPr>
        <w:t>A. System Assets and Security Assumptions</w:t>
      </w:r>
    </w:p>
    <w:p>
      <w:pPr>
        <w:spacing w:before="0" w:after="40" w:line="240" w:lineRule="auto"/>
        <w:jc w:val="both"/>
      </w:pPr>
      <w:r>
        <w:rPr>
          <w:rFonts w:ascii="Times New Roman" w:hAnsi="Times New Roman"/>
          <w:sz w:val="19"/>
        </w:rPr>
        <w:t>The assets requiring protection within BreachShield include: (i) Target Identifier Privacy (T): The plaintext identity (email address or phone number) queried by a user; (ii) Credential Integrity: The authoritative repository of breach metadata and suffix buckets; (iii) Audit Log Verifiability: The chronological record of compliance events and threat intelligence queries; and (iv) Authentication Credentials: Ephemeral OTP codes, bcrypt password hashes, and JSON Web Tokens (JWT). All operational communications occur over TLS 1.3. Cryptographic primitives including SHA-256 and bcrypt are assumed computationally secure against preimage and collision attacks.</w:t>
      </w:r>
    </w:p>
    <w:p>
      <w:pPr>
        <w:keepNext/>
        <w:spacing w:before="100" w:after="30" w:line="240" w:lineRule="auto"/>
        <w:jc w:val="left"/>
      </w:pPr>
      <w:r>
        <w:rPr>
          <w:rFonts w:ascii="Times New Roman" w:hAnsi="Times New Roman"/>
          <w:b/>
          <w:i/>
          <w:sz w:val="19"/>
        </w:rPr>
        <w:t>B. Adversary Taxonomy and Capabilities</w:t>
      </w:r>
    </w:p>
    <w:p>
      <w:pPr>
        <w:spacing w:before="0" w:after="40" w:line="240" w:lineRule="auto"/>
        <w:jc w:val="both"/>
      </w:pPr>
      <w:r>
        <w:rPr>
          <w:rFonts w:ascii="Times New Roman" w:hAnsi="Times New Roman"/>
          <w:sz w:val="19"/>
        </w:rPr>
        <w:t>We define five adversarial classes categorized by vantage point and capabilities:</w:t>
      </w:r>
    </w:p>
    <w:p>
      <w:pPr>
        <w:spacing w:before="0" w:after="40" w:line="240" w:lineRule="auto"/>
        <w:jc w:val="both"/>
      </w:pPr>
      <w:r>
        <w:rPr>
          <w:rFonts w:ascii="Times New Roman" w:hAnsi="Times New Roman"/>
          <w:sz w:val="19"/>
        </w:rPr>
        <w:t>1) Attacker A1 (External Network Adversary): Positioned on the network path between the client browser and the API gateway. A1 can eavesdrop on, intercept, replay, or inject packets. While TLS 1.3 prevents payload tampering, A1 observes packet timing, transfer volumes, and TLS SNI metadata.</w:t>
      </w:r>
    </w:p>
    <w:p>
      <w:pPr>
        <w:spacing w:before="0" w:after="40" w:line="240" w:lineRule="auto"/>
        <w:jc w:val="both"/>
      </w:pPr>
      <w:r>
        <w:rPr>
          <w:rFonts w:ascii="Times New Roman" w:hAnsi="Times New Roman"/>
          <w:sz w:val="19"/>
        </w:rPr>
        <w:t>2) Attacker A2 (Authenticated Malicious User): Successfully completes OTP verification for identifier T_A but seeks to harvest prefix buckets to reconstruct the server breach corpus, query unauthorized identifiers T_B != T_A, or exhaust downstream OSINT rate limits.</w:t>
      </w:r>
    </w:p>
    <w:p>
      <w:pPr>
        <w:spacing w:before="0" w:after="40" w:line="240" w:lineRule="auto"/>
        <w:jc w:val="both"/>
      </w:pPr>
      <w:r>
        <w:rPr>
          <w:rFonts w:ascii="Times New Roman" w:hAnsi="Times New Roman"/>
          <w:sz w:val="19"/>
        </w:rPr>
        <w:t>3) Attacker A3 (Malicious Insider): Possesses administrative read access to backend application servers, runtime process memory, and persistent MySQL storage. A3 attempts to correlate client IP addresses, JWT tokens, and requested prefix buckets to unmask plaintext targets.</w:t>
      </w:r>
    </w:p>
    <w:p>
      <w:pPr>
        <w:spacing w:before="0" w:after="40" w:line="240" w:lineRule="auto"/>
        <w:jc w:val="both"/>
      </w:pPr>
      <w:r>
        <w:rPr>
          <w:rFonts w:ascii="Times New Roman" w:hAnsi="Times New Roman"/>
          <w:sz w:val="19"/>
        </w:rPr>
        <w:t>4) Attacker A4 (Source-Poisoning Adversary): Controls an upstream intelligence channel (such as a monitored public Telegram dump). A4 injects malformed data, deceptive entity records, or DoS payloads to corrupt threat triage scoring.</w:t>
      </w:r>
    </w:p>
    <w:p>
      <w:pPr>
        <w:spacing w:before="0" w:after="40" w:line="240" w:lineRule="auto"/>
        <w:jc w:val="both"/>
      </w:pPr>
      <w:r>
        <w:rPr>
          <w:rFonts w:ascii="Times New Roman" w:hAnsi="Times New Roman"/>
          <w:sz w:val="19"/>
        </w:rPr>
        <w:t>5) Attacker A5 (Audit Log Adversary): A privileged insider attempting to retroactively delete, truncate, reorder, or manipulate query audit logs to conceal unauthorized lookups or falsify historical evidence.</w:t>
      </w:r>
    </w:p>
    <w:p>
      <w:pPr>
        <w:keepNext/>
        <w:spacing w:before="140" w:after="40" w:line="240" w:lineRule="auto"/>
        <w:jc w:val="center"/>
      </w:pPr>
      <w:r>
        <w:rPr>
          <w:rFonts w:ascii="Times New Roman" w:hAnsi="Times New Roman"/>
          <w:b/>
          <w:sz w:val="19"/>
        </w:rPr>
        <w:t>III. SYSTEM ARCHITECTURE &amp; IMPLEMENTATION</w:t>
      </w:r>
    </w:p>
    <w:p>
      <w:pPr>
        <w:keepNext/>
        <w:spacing w:before="60" w:after="30"/>
        <w:jc w:val="center"/>
      </w:pPr>
      <w:r>
        <w:drawing>
          <wp:inline xmlns:a="http://schemas.openxmlformats.org/drawingml/2006/main" xmlns:pic="http://schemas.openxmlformats.org/drawingml/2006/picture">
            <wp:extent cx="3063240" cy="1715414"/>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3063240" cy="1715414"/>
                    </a:xfrm>
                    <a:prstGeom prst="rect"/>
                  </pic:spPr>
                </pic:pic>
              </a:graphicData>
            </a:graphic>
          </wp:inline>
        </w:drawing>
      </w:r>
    </w:p>
    <w:p>
      <w:pPr>
        <w:keepNext w:val="0"/>
        <w:spacing w:before="20" w:after="80"/>
        <w:jc w:val="center"/>
      </w:pPr>
      <w:r>
        <w:rPr>
          <w:rFonts w:ascii="Times New Roman" w:hAnsi="Times New Roman"/>
          <w:i/>
          <w:sz w:val="16"/>
        </w:rPr>
        <w:t>Fig. 1. BreachShield multi-tier system architecture and operational data paths.</w:t>
      </w:r>
    </w:p>
    <w:p>
      <w:pPr>
        <w:keepNext/>
        <w:spacing w:before="100" w:after="30" w:line="240" w:lineRule="auto"/>
        <w:jc w:val="left"/>
      </w:pPr>
      <w:r>
        <w:rPr>
          <w:rFonts w:ascii="Times New Roman" w:hAnsi="Times New Roman"/>
          <w:b/>
          <w:i/>
          <w:sz w:val="19"/>
        </w:rPr>
        <w:t>A. Client-Side Anonymization Tier</w:t>
      </w:r>
    </w:p>
    <w:p>
      <w:pPr>
        <w:spacing w:before="0" w:after="40" w:line="240" w:lineRule="auto"/>
        <w:jc w:val="both"/>
      </w:pPr>
      <w:r>
        <w:rPr>
          <w:rFonts w:ascii="Times New Roman" w:hAnsi="Times New Roman"/>
          <w:sz w:val="19"/>
        </w:rPr>
        <w:t>Implemented in React 19. Plaintext targets T are normalized locally by lowercasing and trimming whitespace. The normalized string is transformed into a 256-bit hash H = SHA-256(T) using the browser's hardware-accelerated W3C Web Crypto API (frontend/src/lib/kAnonymity.js). H is split into a 5-character (20-bit) prefix P = H[0:5] and a 59-character (236-bit) suffix S = H[5:64]. The plaintext target T and suffix S never traverse the network during range querying.</w:t>
      </w:r>
    </w:p>
    <w:p>
      <w:pPr>
        <w:keepNext/>
        <w:spacing w:before="100" w:after="30" w:line="240" w:lineRule="auto"/>
        <w:jc w:val="left"/>
      </w:pPr>
      <w:r>
        <w:rPr>
          <w:rFonts w:ascii="Times New Roman" w:hAnsi="Times New Roman"/>
          <w:b/>
          <w:i/>
          <w:sz w:val="19"/>
        </w:rPr>
        <w:t>B. API Gateway &amp; Session Gating</w:t>
      </w:r>
    </w:p>
    <w:p>
      <w:pPr>
        <w:spacing w:before="0" w:after="40" w:line="240" w:lineRule="auto"/>
        <w:jc w:val="both"/>
      </w:pPr>
      <w:r>
        <w:rPr>
          <w:rFonts w:ascii="Times New Roman" w:hAnsi="Times New Roman"/>
          <w:sz w:val="19"/>
        </w:rPr>
        <w:t>The gateway runs on Express 5 (backend/server.js), enforcing rate limiting, CORS restrictions, session validation, and breach source registry orchestration. Range queries are guarded by verifyOtpToken middleware. MySQL 8 serves as the persistent store for user records, OTP states, and local breach dumps, with an automatic JSON file-based fallback layer (backend/auth/db.js) activated upon database disconnection.</w:t>
      </w:r>
    </w:p>
    <w:p>
      <w:pPr>
        <w:keepNext/>
        <w:spacing w:before="100" w:after="30" w:line="240" w:lineRule="auto"/>
        <w:jc w:val="left"/>
      </w:pPr>
      <w:r>
        <w:rPr>
          <w:rFonts w:ascii="Times New Roman" w:hAnsi="Times New Roman"/>
          <w:b/>
          <w:i/>
          <w:sz w:val="19"/>
        </w:rPr>
        <w:t>C. OSINT Ingestion Microservice</w:t>
      </w:r>
    </w:p>
    <w:p>
      <w:pPr>
        <w:spacing w:before="0" w:after="40" w:line="240" w:lineRule="auto"/>
        <w:jc w:val="both"/>
      </w:pPr>
      <w:r>
        <w:rPr>
          <w:rFonts w:ascii="Times New Roman" w:hAnsi="Times New Roman"/>
          <w:sz w:val="19"/>
        </w:rPr>
        <w:t>High-entropy dark-web dump tracking is handled by a Python FastAPI microservice using Telethon MTProto. Because SQLite session files incur file-lock collisions under concurrent asynchronous requests (sqlite3.OperationalError), the microservice serializes channel client access through an asyncio.Lock mutex with an 8.0-second timeout ceiling, guaranteeing process isolation.</w:t>
      </w:r>
    </w:p>
    <w:p>
      <w:pPr>
        <w:keepNext/>
        <w:spacing w:before="100" w:after="30" w:line="240" w:lineRule="auto"/>
        <w:jc w:val="left"/>
      </w:pPr>
      <w:r>
        <w:rPr>
          <w:rFonts w:ascii="Times New Roman" w:hAnsi="Times New Roman"/>
          <w:b/>
          <w:i/>
          <w:sz w:val="19"/>
        </w:rPr>
        <w:t>D. Android Telecom Relay Gateway</w:t>
      </w:r>
    </w:p>
    <w:p>
      <w:pPr>
        <w:spacing w:before="0" w:after="40" w:line="240" w:lineRule="auto"/>
        <w:jc w:val="both"/>
      </w:pPr>
      <w:r>
        <w:rPr>
          <w:rFonts w:ascii="Times New Roman" w:hAnsi="Times New Roman"/>
          <w:sz w:val="19"/>
        </w:rPr>
        <w:t>In jurisdictions with strict telecom DLT mandates (such as India's TRAI regulations), automated cloud SMS gateways drop non-templated OTP payloads. BreachShield integrates a companion Android native client written in Kotlin (android-gateway/). It maintains a persistent bidirectional WebSocket connection to the gateway, transmitting pending OTPs via carrier hardware using pre-approved SMS header templates.</w:t>
      </w:r>
    </w:p>
    <w:p>
      <w:pPr>
        <w:keepNext/>
        <w:spacing w:before="100" w:after="30" w:line="240" w:lineRule="auto"/>
        <w:jc w:val="left"/>
      </w:pPr>
      <w:r>
        <w:rPr>
          <w:rFonts w:ascii="Times New Roman" w:hAnsi="Times New Roman"/>
          <w:b/>
          <w:i/>
          <w:sz w:val="19"/>
        </w:rPr>
        <w:t>E. Pluggable Source Registry</w:t>
      </w:r>
    </w:p>
    <w:p>
      <w:pPr>
        <w:spacing w:before="0" w:after="40" w:line="240" w:lineRule="auto"/>
        <w:jc w:val="both"/>
      </w:pPr>
      <w:r>
        <w:rPr>
          <w:rFonts w:ascii="Times New Roman" w:hAnsi="Times New Roman"/>
          <w:sz w:val="19"/>
        </w:rPr>
        <w:t>Breach sources implement an abstract contract defined in backend/sources/BreachSource.js:</w:t>
      </w:r>
    </w:p>
    <w:p>
      <w:pPr>
        <w:keepNext/>
        <w:spacing w:before="50" w:after="50"/>
        <w:jc w:val="center"/>
      </w:pPr>
      <w:r>
        <w:rPr>
          <w:rFonts w:ascii="Times New Roman" w:hAnsi="Times New Roman"/>
          <w:i/>
          <w:sz w:val="18"/>
        </w:rPr>
        <w:t>search(target, targetHash) -&gt; P(Record)</w:t>
      </w:r>
      <w:r>
        <w:t xml:space="preserve">      </w:t>
      </w:r>
      <w:r>
        <w:rPr>
          <w:rFonts w:ascii="Times New Roman" w:hAnsi="Times New Roman"/>
          <w:b w:val="0"/>
          <w:sz w:val="18"/>
        </w:rPr>
        <w:t>(1)</w:t>
      </w:r>
    </w:p>
    <w:p>
      <w:pPr>
        <w:spacing w:before="0" w:after="40" w:line="240" w:lineRule="auto"/>
        <w:jc w:val="both"/>
      </w:pPr>
      <w:r>
        <w:rPr>
          <w:rFonts w:ascii="Times New Roman" w:hAnsi="Times New Roman"/>
          <w:sz w:val="19"/>
        </w:rPr>
        <w:t>The registry dynamically loads four concrete adapters: (1) PublicBreachSource: Executes range queries against the local normalized breach database; (2) TelegramScraperSource: Dispatches HTTP queries to the FastAPI scraper; (3) PhishingFeedSource: Scaffolding for domain reputation feeds; and (4) ThreatIntelSource: Scaffolding for commercial threat intelligence feeds.</w:t>
      </w:r>
    </w:p>
    <w:p>
      <w:pPr>
        <w:keepNext/>
        <w:spacing w:before="100" w:after="30" w:line="240" w:lineRule="auto"/>
        <w:jc w:val="left"/>
      </w:pPr>
      <w:r>
        <w:rPr>
          <w:rFonts w:ascii="Times New Roman" w:hAnsi="Times New Roman"/>
          <w:b/>
          <w:i/>
          <w:sz w:val="19"/>
        </w:rPr>
        <w:t>F. Operational Risk-Scoring Engine</w:t>
      </w:r>
    </w:p>
    <w:p>
      <w:pPr>
        <w:spacing w:before="0" w:after="40" w:line="240" w:lineRule="auto"/>
        <w:jc w:val="both"/>
      </w:pPr>
      <w:r>
        <w:rPr>
          <w:rFonts w:ascii="Times New Roman" w:hAnsi="Times New Roman"/>
          <w:sz w:val="19"/>
        </w:rPr>
        <w:t>Threat triage on the operational search path is computed dynamically by riskEngine.js: analyzeExposure(): (i) Document / National ID exposure: up to 35 points; (ii) Password / cryptographic hash material: up to 30 points; (iii) Physical address coordinates: up to 20 points; (iv) Phone numbers: up to 15 points; (v) Multiple independent source mentions: up to 15 points; (vi) Cross-record correlation scores: up to 15 points; and (vii) Live URL phishing classification probabilities: up to 30 points, grounded in recent neural detection baselines [11]-[13]. The aggregated score is floored at 20, capped at 100, and mapped to categorical tiers: LOW (&lt;40), MEDIUM (40-59), HIGH (60-79), and CRITICAL (&gt;=80). Recency decay is calculated as:</w:t>
      </w:r>
    </w:p>
    <w:p>
      <w:pPr>
        <w:keepNext/>
        <w:spacing w:before="50" w:after="50"/>
        <w:jc w:val="center"/>
      </w:pPr>
      <w:r>
        <w:rPr>
          <w:rFonts w:ascii="Times New Roman" w:hAnsi="Times New Roman"/>
          <w:i/>
          <w:sz w:val="18"/>
        </w:rPr>
        <w:t>w_recency = max(0.20, 1.0 - 0.10 * delta_y)</w:t>
      </w:r>
      <w:r>
        <w:t xml:space="preserve">      </w:t>
      </w:r>
      <w:r>
        <w:rPr>
          <w:rFonts w:ascii="Times New Roman" w:hAnsi="Times New Roman"/>
          <w:b w:val="0"/>
          <w:sz w:val="18"/>
        </w:rPr>
        <w:t>(2)</w:t>
      </w:r>
    </w:p>
    <w:p>
      <w:pPr>
        <w:spacing w:before="0" w:after="40" w:line="240" w:lineRule="auto"/>
        <w:jc w:val="both"/>
      </w:pPr>
      <w:r>
        <w:rPr>
          <w:rFonts w:ascii="Times New Roman" w:hAnsi="Times New Roman"/>
          <w:sz w:val="19"/>
        </w:rPr>
        <w:t>where delta_y is the elapsed time in years since breach occurrence.</w:t>
      </w:r>
    </w:p>
    <w:p>
      <w:pPr>
        <w:keepNext/>
        <w:spacing w:before="140" w:after="40" w:line="240" w:lineRule="auto"/>
        <w:jc w:val="center"/>
      </w:pPr>
      <w:r>
        <w:rPr>
          <w:rFonts w:ascii="Times New Roman" w:hAnsi="Times New Roman"/>
          <w:b/>
          <w:sz w:val="19"/>
        </w:rPr>
        <w:t>IV. PRIVACY-PRESERVING PROTOCOLS</w:t>
      </w:r>
    </w:p>
    <w:p>
      <w:pPr>
        <w:keepNext/>
        <w:spacing w:before="100" w:after="30" w:line="240" w:lineRule="auto"/>
        <w:jc w:val="left"/>
      </w:pPr>
      <w:r>
        <w:rPr>
          <w:rFonts w:ascii="Times New Roman" w:hAnsi="Times New Roman"/>
          <w:b/>
          <w:i/>
          <w:sz w:val="19"/>
        </w:rPr>
        <w:t>A. Client-Side k-Anonymity Range Query</w:t>
      </w:r>
    </w:p>
    <w:p>
      <w:pPr>
        <w:spacing w:before="0" w:after="40" w:line="240" w:lineRule="auto"/>
        <w:jc w:val="both"/>
      </w:pPr>
      <w:r>
        <w:rPr>
          <w:rFonts w:ascii="Times New Roman" w:hAnsi="Times New Roman"/>
          <w:sz w:val="19"/>
        </w:rPr>
        <w:t>BreachShield implements an adapted k-anonymity bucket-matching protocol derived from Sweeney's model [4] and popularized by Li et al. [3]. Algorithm 1 formalizes this procedure.</w:t>
      </w:r>
    </w:p>
    <w:p>
      <w:pPr>
        <w:keepNext/>
        <w:spacing w:before="80" w:after="40"/>
        <w:jc w:val="left"/>
      </w:pPr>
      <w:r>
        <w:rPr>
          <w:rFonts w:ascii="Times New Roman" w:hAnsi="Times New Roman"/>
          <w:b/>
          <w:sz w:val="17"/>
        </w:rPr>
        <w:t>Algorithm 1: Client-Side k-Anonymity Range Query</w:t>
      </w:r>
    </w:p>
    <w:tbl>
      <w:tblPr>
        <w:tblW w:type="auto" w:w="0"/>
        <w:jc w:val="center"/>
        <w:tblBorders>
          <w:top w:val="single" w:sz="8" w:space="0" w:color="000000"/>
          <w:bottom w:val="single" w:sz="8" w:space="0" w:color="000000"/>
          <w:insideH w:val="none"/>
          <w:left w:val="none"/>
          <w:right w:val="none"/>
          <w:insideV w:val="none"/>
        </w:tblBorders>
        <w:tblLook w:firstColumn="1" w:firstRow="1" w:lastColumn="0" w:lastRow="0" w:noHBand="0" w:noVBand="1" w:val="04A0"/>
      </w:tblPr>
      <w:tblGrid>
        <w:gridCol w:w="10325"/>
      </w:tblGrid>
      <w:tr>
        <w:tc>
          <w:tcPr>
            <w:tcW w:type="dxa" w:w="4824"/>
          </w:tcPr>
          <w:p>
            <w:pPr>
              <w:spacing w:before="40" w:after="20" w:line="240" w:lineRule="auto"/>
            </w:pPr>
            <w:r>
              <w:rPr>
                <w:rFonts w:ascii="Times New Roman" w:hAnsi="Times New Roman"/>
                <w:b/>
                <w:sz w:val="16"/>
              </w:rPr>
              <w:t xml:space="preserve">Require: </w:t>
            </w:r>
            <w:r>
              <w:rPr>
                <w:rFonts w:ascii="Times New Roman" w:hAnsi="Times New Roman"/>
                <w:i/>
                <w:sz w:val="16"/>
              </w:rPr>
              <w:t>Target identifier string T, verified session token tau</w:t>
            </w:r>
          </w:p>
          <w:p>
            <w:pPr>
              <w:spacing w:before="0" w:after="60" w:line="240" w:lineRule="auto"/>
            </w:pPr>
            <w:r>
              <w:rPr>
                <w:rFonts w:ascii="Times New Roman" w:hAnsi="Times New Roman"/>
                <w:b/>
                <w:sz w:val="16"/>
              </w:rPr>
              <w:t xml:space="preserve">Ensure: </w:t>
            </w:r>
            <w:r>
              <w:rPr>
                <w:rFonts w:ascii="Times New Roman" w:hAnsi="Times New Roman"/>
                <w:i/>
                <w:sz w:val="16"/>
              </w:rPr>
              <w:t>Set of matched breach records R</w:t>
            </w:r>
          </w:p>
          <w:p>
            <w:pPr>
              <w:spacing w:before="10" w:after="10" w:line="240" w:lineRule="auto"/>
            </w:pPr>
            <w:r>
              <w:rPr>
                <w:rFonts w:ascii="Times New Roman" w:hAnsi="Times New Roman"/>
                <w:b/>
                <w:sz w:val="15"/>
              </w:rPr>
              <w:t xml:space="preserve">1: </w:t>
            </w:r>
            <w:r>
              <w:rPr>
                <w:rFonts w:ascii="Courier New" w:hAnsi="Courier New"/>
                <w:sz w:val="15"/>
              </w:rPr>
              <w:t>T' = ToLower(Trim(T))</w:t>
            </w:r>
          </w:p>
          <w:p>
            <w:pPr>
              <w:spacing w:before="10" w:after="10" w:line="240" w:lineRule="auto"/>
            </w:pPr>
            <w:r>
              <w:rPr>
                <w:rFonts w:ascii="Times New Roman" w:hAnsi="Times New Roman"/>
                <w:b/>
                <w:sz w:val="15"/>
              </w:rPr>
              <w:t xml:space="preserve">2: </w:t>
            </w:r>
            <w:r>
              <w:rPr>
                <w:rFonts w:ascii="Courier New" w:hAnsi="Courier New"/>
                <w:sz w:val="15"/>
              </w:rPr>
              <w:t>H = WebCrypto.SHA-256(T')  // in-browser</w:t>
            </w:r>
          </w:p>
          <w:p>
            <w:pPr>
              <w:spacing w:before="10" w:after="10" w:line="240" w:lineRule="auto"/>
            </w:pPr>
            <w:r>
              <w:rPr>
                <w:rFonts w:ascii="Times New Roman" w:hAnsi="Times New Roman"/>
                <w:b/>
                <w:sz w:val="15"/>
              </w:rPr>
              <w:t xml:space="preserve">3: </w:t>
            </w:r>
            <w:r>
              <w:rPr>
                <w:rFonts w:ascii="Courier New" w:hAnsi="Courier New"/>
                <w:sz w:val="15"/>
              </w:rPr>
              <w:t>P = H[0:5]                // 20-bit prefix</w:t>
            </w:r>
          </w:p>
          <w:p>
            <w:pPr>
              <w:spacing w:before="10" w:after="10" w:line="240" w:lineRule="auto"/>
            </w:pPr>
            <w:r>
              <w:rPr>
                <w:rFonts w:ascii="Times New Roman" w:hAnsi="Times New Roman"/>
                <w:b/>
                <w:sz w:val="15"/>
              </w:rPr>
              <w:t xml:space="preserve">4: </w:t>
            </w:r>
            <w:r>
              <w:rPr>
                <w:rFonts w:ascii="Courier New" w:hAnsi="Courier New"/>
                <w:sz w:val="15"/>
              </w:rPr>
              <w:t>S = H[5:64]               // 236-bit suffix</w:t>
            </w:r>
          </w:p>
          <w:p>
            <w:pPr>
              <w:spacing w:before="10" w:after="10" w:line="240" w:lineRule="auto"/>
            </w:pPr>
            <w:r>
              <w:rPr>
                <w:rFonts w:ascii="Times New Roman" w:hAnsi="Times New Roman"/>
                <w:b/>
                <w:sz w:val="15"/>
              </w:rPr>
              <w:t xml:space="preserve">5: </w:t>
            </w:r>
            <w:r>
              <w:rPr>
                <w:rFonts w:ascii="Courier New" w:hAnsi="Courier New"/>
                <w:sz w:val="15"/>
              </w:rPr>
              <w:t>B(P) = HTTP_GET('/api/v1/range/' + P, Headers={Bearer tau})</w:t>
            </w:r>
          </w:p>
          <w:p>
            <w:pPr>
              <w:spacing w:before="10" w:after="10" w:line="240" w:lineRule="auto"/>
            </w:pPr>
            <w:r>
              <w:rPr>
                <w:rFonts w:ascii="Times New Roman" w:hAnsi="Times New Roman"/>
                <w:b/>
                <w:sz w:val="15"/>
              </w:rPr>
              <w:t xml:space="preserve">6: </w:t>
            </w:r>
            <w:r>
              <w:rPr>
                <w:rFonts w:ascii="Courier New" w:hAnsi="Courier New"/>
                <w:sz w:val="15"/>
              </w:rPr>
              <w:t>R = empty_set</w:t>
            </w:r>
          </w:p>
          <w:p>
            <w:pPr>
              <w:spacing w:before="10" w:after="10" w:line="240" w:lineRule="auto"/>
            </w:pPr>
            <w:r>
              <w:rPr>
                <w:rFonts w:ascii="Times New Roman" w:hAnsi="Times New Roman"/>
                <w:b/>
                <w:sz w:val="15"/>
              </w:rPr>
              <w:t xml:space="preserve">7: </w:t>
            </w:r>
            <w:r>
              <w:rPr>
                <w:rFonts w:ascii="Courier New" w:hAnsi="Courier New"/>
                <w:sz w:val="15"/>
              </w:rPr>
              <w:t>for each (S_i, Metadata_i) in B(P) do</w:t>
            </w:r>
          </w:p>
          <w:p>
            <w:pPr>
              <w:spacing w:before="10" w:after="10" w:line="240" w:lineRule="auto"/>
            </w:pPr>
            <w:r>
              <w:rPr>
                <w:rFonts w:ascii="Times New Roman" w:hAnsi="Times New Roman"/>
                <w:b/>
                <w:sz w:val="15"/>
              </w:rPr>
              <w:t xml:space="preserve">8: </w:t>
            </w:r>
            <w:r>
              <w:rPr>
                <w:rFonts w:ascii="Courier New" w:hAnsi="Courier New"/>
                <w:sz w:val="15"/>
              </w:rPr>
              <w:t xml:space="preserve">    if S_i == S then</w:t>
            </w:r>
          </w:p>
          <w:p>
            <w:pPr>
              <w:spacing w:before="10" w:after="10" w:line="240" w:lineRule="auto"/>
            </w:pPr>
            <w:r>
              <w:rPr>
                <w:rFonts w:ascii="Times New Roman" w:hAnsi="Times New Roman"/>
                <w:b/>
                <w:sz w:val="15"/>
              </w:rPr>
              <w:t xml:space="preserve">9: </w:t>
            </w:r>
            <w:r>
              <w:rPr>
                <w:rFonts w:ascii="Courier New" w:hAnsi="Courier New"/>
                <w:sz w:val="15"/>
              </w:rPr>
              <w:t xml:space="preserve">        R = R union {Metadata_i}</w:t>
            </w:r>
          </w:p>
          <w:p>
            <w:pPr>
              <w:spacing w:before="10" w:after="10" w:line="240" w:lineRule="auto"/>
            </w:pPr>
            <w:r>
              <w:rPr>
                <w:rFonts w:ascii="Times New Roman" w:hAnsi="Times New Roman"/>
                <w:b/>
                <w:sz w:val="15"/>
              </w:rPr>
              <w:t xml:space="preserve">10: </w:t>
            </w:r>
            <w:r>
              <w:rPr>
                <w:rFonts w:ascii="Courier New" w:hAnsi="Courier New"/>
                <w:sz w:val="15"/>
              </w:rPr>
              <w:t xml:space="preserve">    end if</w:t>
            </w:r>
          </w:p>
          <w:p>
            <w:pPr>
              <w:spacing w:before="10" w:after="10" w:line="240" w:lineRule="auto"/>
            </w:pPr>
            <w:r>
              <w:rPr>
                <w:rFonts w:ascii="Times New Roman" w:hAnsi="Times New Roman"/>
                <w:b/>
                <w:sz w:val="15"/>
              </w:rPr>
              <w:t xml:space="preserve">11: </w:t>
            </w:r>
            <w:r>
              <w:rPr>
                <w:rFonts w:ascii="Courier New" w:hAnsi="Courier New"/>
                <w:sz w:val="15"/>
              </w:rPr>
              <w:t>end for</w:t>
            </w:r>
          </w:p>
          <w:p>
            <w:pPr>
              <w:spacing w:before="10" w:after="10" w:line="240" w:lineRule="auto"/>
            </w:pPr>
            <w:r>
              <w:rPr>
                <w:rFonts w:ascii="Times New Roman" w:hAnsi="Times New Roman"/>
                <w:b/>
                <w:sz w:val="15"/>
              </w:rPr>
              <w:t xml:space="preserve">12: </w:t>
            </w:r>
            <w:r>
              <w:rPr>
                <w:rFonts w:ascii="Courier New" w:hAnsi="Courier New"/>
                <w:sz w:val="15"/>
              </w:rPr>
              <w:t>return R</w:t>
            </w:r>
          </w:p>
        </w:tc>
      </w:tr>
    </w:tbl>
    <w:p>
      <w:pPr>
        <w:spacing w:before="0" w:after="40"/>
      </w:pPr>
    </w:p>
    <w:p>
      <w:pPr>
        <w:spacing w:before="0" w:after="40" w:line="240" w:lineRule="auto"/>
        <w:jc w:val="both"/>
      </w:pPr>
      <w:r>
        <w:rPr>
          <w:rFonts w:ascii="Times New Roman" w:hAnsi="Times New Roman"/>
          <w:sz w:val="19"/>
        </w:rPr>
        <w:t>The prefix length d=5 hex characters defines 16^5 = 1,048,576 uniform buckets. For a breach catalog containing N records, the expected candidate bucket size is:</w:t>
      </w:r>
    </w:p>
    <w:p>
      <w:pPr>
        <w:keepNext/>
        <w:spacing w:before="50" w:after="50"/>
        <w:jc w:val="center"/>
      </w:pPr>
      <w:r>
        <w:rPr>
          <w:rFonts w:ascii="Times New Roman" w:hAnsi="Times New Roman"/>
          <w:i/>
          <w:sz w:val="18"/>
        </w:rPr>
        <w:t>E[k] = N / 16^5 = N / 1,048,576</w:t>
      </w:r>
      <w:r>
        <w:t xml:space="preserve">      </w:t>
      </w:r>
      <w:r>
        <w:rPr>
          <w:rFonts w:ascii="Times New Roman" w:hAnsi="Times New Roman"/>
          <w:b w:val="0"/>
          <w:sz w:val="18"/>
        </w:rPr>
        <w:t>(3)</w:t>
      </w:r>
    </w:p>
    <w:p>
      <w:pPr>
        <w:spacing w:before="0" w:after="40" w:line="240" w:lineRule="auto"/>
        <w:jc w:val="both"/>
      </w:pPr>
      <w:r>
        <w:rPr>
          <w:rFonts w:ascii="Times New Roman" w:hAnsi="Times New Roman"/>
          <w:sz w:val="19"/>
        </w:rPr>
        <w:t>The mutual information disclosed to the server regarding the full hash H is bounded by:</w:t>
      </w:r>
    </w:p>
    <w:p>
      <w:pPr>
        <w:keepNext/>
        <w:spacing w:before="50" w:after="50"/>
        <w:jc w:val="center"/>
      </w:pPr>
      <w:r>
        <w:rPr>
          <w:rFonts w:ascii="Times New Roman" w:hAnsi="Times New Roman"/>
          <w:i/>
          <w:sz w:val="18"/>
        </w:rPr>
        <w:t>I(H; P) &lt;= log_2(16^5) = 20 bits</w:t>
      </w:r>
      <w:r>
        <w:t xml:space="preserve">      </w:t>
      </w:r>
      <w:r>
        <w:rPr>
          <w:rFonts w:ascii="Times New Roman" w:hAnsi="Times New Roman"/>
          <w:b w:val="0"/>
          <w:sz w:val="18"/>
        </w:rPr>
        <w:t>(4)</w:t>
      </w:r>
    </w:p>
    <w:p>
      <w:pPr>
        <w:spacing w:before="0" w:after="40" w:line="240" w:lineRule="auto"/>
        <w:jc w:val="both"/>
      </w:pPr>
      <w:r>
        <w:rPr>
          <w:rFonts w:ascii="Times New Roman" w:hAnsi="Times New Roman"/>
          <w:sz w:val="19"/>
        </w:rPr>
        <w:t>leaving 236 bits of suffix entropy undisclosed.</w:t>
      </w:r>
    </w:p>
    <w:p>
      <w:pPr>
        <w:keepNext/>
        <w:spacing w:before="100" w:after="30" w:line="240" w:lineRule="auto"/>
        <w:jc w:val="left"/>
      </w:pPr>
      <w:r>
        <w:rPr>
          <w:rFonts w:ascii="Times New Roman" w:hAnsi="Times New Roman"/>
          <w:b/>
          <w:i/>
          <w:sz w:val="19"/>
        </w:rPr>
        <w:t>B. OTP-Gated Accountable Search Protocol</w:t>
      </w:r>
    </w:p>
    <w:p>
      <w:pPr>
        <w:spacing w:before="0" w:after="40" w:line="240" w:lineRule="auto"/>
        <w:jc w:val="both"/>
      </w:pPr>
      <w:r>
        <w:rPr>
          <w:rFonts w:ascii="Times New Roman" w:hAnsi="Times New Roman"/>
          <w:sz w:val="19"/>
        </w:rPr>
        <w:t>To neutralize automated prefix-bucket enumeration by unauthenticated scrapers, BreachShield restricts search endpoints behind a dual-channel OTP gate:</w:t>
      </w:r>
    </w:p>
    <w:p>
      <w:pPr>
        <w:spacing w:before="0" w:after="40" w:line="240" w:lineRule="auto"/>
        <w:jc w:val="both"/>
      </w:pPr>
      <w:r>
        <w:rPr>
          <w:rFonts w:ascii="Times New Roman" w:hAnsi="Times New Roman"/>
          <w:sz w:val="19"/>
        </w:rPr>
        <w:t>1) Issuance (POST /api/auth/send-otp): The gateway enforces a 30-second resend cooldown per target. A 6-digit code C in [100000, 999999] is generated via crypto.randomInt(). The gateway computes salted bcrypt hash h_C = bcrypt(C, 10) and stores (T, h_C, t_exp) with 5-minute TTL. The code is dispatched out-of-band via Nodemailer or Android DLT SMS gateway.</w:t>
      </w:r>
    </w:p>
    <w:p>
      <w:pPr>
        <w:spacing w:before="0" w:after="40" w:line="240" w:lineRule="auto"/>
        <w:jc w:val="both"/>
      </w:pPr>
      <w:r>
        <w:rPr>
          <w:rFonts w:ascii="Times New Roman" w:hAnsi="Times New Roman"/>
          <w:sz w:val="19"/>
        </w:rPr>
        <w:t>2) Verification (POST /api/auth/verify-otp): Verified with hard limit &lt;= 5 attempts via bcrypt.compare().</w:t>
      </w:r>
    </w:p>
    <w:p>
      <w:pPr>
        <w:spacing w:before="0" w:after="40" w:line="240" w:lineRule="auto"/>
        <w:jc w:val="both"/>
      </w:pPr>
      <w:r>
        <w:rPr>
          <w:rFonts w:ascii="Times New Roman" w:hAnsi="Times New Roman"/>
          <w:sz w:val="19"/>
        </w:rPr>
        <w:t>3) Session Binding: Issues signed JWT tau = Sign_HMAC-SHA256({T, verified: true}, K_jwt) with 1h expiration:</w:t>
      </w:r>
    </w:p>
    <w:p>
      <w:pPr>
        <w:keepNext/>
        <w:spacing w:before="50" w:after="50"/>
        <w:jc w:val="center"/>
      </w:pPr>
      <w:r>
        <w:rPr>
          <w:rFonts w:ascii="Times New Roman" w:hAnsi="Times New Roman"/>
          <w:i/>
          <w:sz w:val="18"/>
        </w:rPr>
        <w:t>tau = Sign_HMAC-SHA256({T, verified: true}, K_jwt)</w:t>
      </w:r>
      <w:r>
        <w:t xml:space="preserve">      </w:t>
      </w:r>
      <w:r>
        <w:rPr>
          <w:rFonts w:ascii="Times New Roman" w:hAnsi="Times New Roman"/>
          <w:b w:val="0"/>
          <w:sz w:val="18"/>
        </w:rPr>
        <w:t>(5)</w:t>
      </w:r>
    </w:p>
    <w:p>
      <w:pPr>
        <w:spacing w:before="0" w:after="40" w:line="240" w:lineRule="auto"/>
        <w:jc w:val="both"/>
      </w:pPr>
      <w:r>
        <w:rPr>
          <w:rFonts w:ascii="Times New Roman" w:hAnsi="Times New Roman"/>
          <w:sz w:val="19"/>
        </w:rPr>
        <w:t>The gateway strictly enforces the identity invariant:</w:t>
      </w:r>
    </w:p>
    <w:p>
      <w:pPr>
        <w:keepNext/>
        <w:spacing w:before="50" w:after="50"/>
        <w:jc w:val="center"/>
      </w:pPr>
      <w:r>
        <w:rPr>
          <w:rFonts w:ascii="Times New Roman" w:hAnsi="Times New Roman"/>
          <w:i/>
          <w:sz w:val="18"/>
        </w:rPr>
        <w:t>normalize(T_query) == normalize(tau.target)</w:t>
      </w:r>
      <w:r>
        <w:t xml:space="preserve">      </w:t>
      </w:r>
      <w:r>
        <w:rPr>
          <w:rFonts w:ascii="Times New Roman" w:hAnsi="Times New Roman"/>
          <w:b w:val="0"/>
          <w:sz w:val="18"/>
        </w:rPr>
        <w:t>(6)</w:t>
      </w:r>
    </w:p>
    <w:p>
      <w:pPr>
        <w:spacing w:before="0" w:after="40" w:line="240" w:lineRule="auto"/>
        <w:jc w:val="both"/>
      </w:pPr>
      <w:r>
        <w:rPr>
          <w:rFonts w:ascii="Times New Roman" w:hAnsi="Times New Roman"/>
          <w:sz w:val="19"/>
        </w:rPr>
        <w:t>preventing authenticated users from executing lookups against third-party identifiers.</w:t>
      </w:r>
    </w:p>
    <w:p>
      <w:pPr>
        <w:keepNext/>
        <w:spacing w:before="140" w:after="40" w:line="240" w:lineRule="auto"/>
        <w:jc w:val="center"/>
      </w:pPr>
      <w:r>
        <w:rPr>
          <w:rFonts w:ascii="Times New Roman" w:hAnsi="Times New Roman"/>
          <w:b/>
          <w:sz w:val="19"/>
        </w:rPr>
        <w:t>V. TAMPER-EVIDENT AUDIT LOGGING</w:t>
      </w:r>
    </w:p>
    <w:p>
      <w:pPr>
        <w:keepNext/>
        <w:spacing w:before="60" w:after="30"/>
        <w:jc w:val="center"/>
      </w:pPr>
      <w:r>
        <w:drawing>
          <wp:inline xmlns:a="http://schemas.openxmlformats.org/drawingml/2006/main" xmlns:pic="http://schemas.openxmlformats.org/drawingml/2006/picture">
            <wp:extent cx="3063240" cy="1616710"/>
            <wp:docPr id="2" name="Picture 2"/>
            <wp:cNvGraphicFramePr>
              <a:graphicFrameLocks noChangeAspect="1"/>
            </wp:cNvGraphicFramePr>
            <a:graphic>
              <a:graphicData uri="http://schemas.openxmlformats.org/drawingml/2006/picture">
                <pic:pic>
                  <pic:nvPicPr>
                    <pic:cNvPr id="0" name="fig_merkle_anchoring.png"/>
                    <pic:cNvPicPr/>
                  </pic:nvPicPr>
                  <pic:blipFill>
                    <a:blip r:embed="rId10"/>
                    <a:stretch>
                      <a:fillRect/>
                    </a:stretch>
                  </pic:blipFill>
                  <pic:spPr>
                    <a:xfrm>
                      <a:off x="0" y="0"/>
                      <a:ext cx="3063240" cy="1616710"/>
                    </a:xfrm>
                    <a:prstGeom prst="rect"/>
                  </pic:spPr>
                </pic:pic>
              </a:graphicData>
            </a:graphic>
          </wp:inline>
        </w:drawing>
      </w:r>
    </w:p>
    <w:p>
      <w:pPr>
        <w:keepNext w:val="0"/>
        <w:spacing w:before="20" w:after="80"/>
        <w:jc w:val="center"/>
      </w:pPr>
      <w:r>
        <w:rPr>
          <w:rFonts w:ascii="Times New Roman" w:hAnsi="Times New Roman"/>
          <w:i/>
          <w:sz w:val="16"/>
        </w:rPr>
        <w:t>Fig. 2. Merkle-tree batching structure and on-chain root anchoring workflow.</w:t>
      </w:r>
    </w:p>
    <w:p>
      <w:pPr>
        <w:spacing w:before="0" w:after="40" w:line="240" w:lineRule="auto"/>
        <w:jc w:val="both"/>
      </w:pPr>
      <w:r>
        <w:rPr>
          <w:rFonts w:ascii="Times New Roman" w:hAnsi="Times New Roman"/>
          <w:sz w:val="19"/>
        </w:rPr>
        <w:t>To guarantee audit accountability and non-repudiation, BreachShield logs every security event through a deterministic hash tree pipeline [5], [10] (backend/blockchain/merkleBatcher.js).</w:t>
      </w:r>
    </w:p>
    <w:p>
      <w:pPr>
        <w:keepNext/>
        <w:spacing w:before="100" w:after="30" w:line="240" w:lineRule="auto"/>
        <w:jc w:val="left"/>
      </w:pPr>
      <w:r>
        <w:rPr>
          <w:rFonts w:ascii="Times New Roman" w:hAnsi="Times New Roman"/>
          <w:b/>
          <w:i/>
          <w:sz w:val="19"/>
        </w:rPr>
        <w:t>A. Canonical Serialization &amp; Leaf Generation</w:t>
      </w:r>
    </w:p>
    <w:p>
      <w:pPr>
        <w:spacing w:before="0" w:after="40" w:line="240" w:lineRule="auto"/>
        <w:jc w:val="both"/>
      </w:pPr>
      <w:r>
        <w:rPr>
          <w:rFonts w:ascii="Times New Roman" w:hAnsi="Times New Roman"/>
          <w:sz w:val="19"/>
        </w:rPr>
        <w:t>To prevent key-ordering serialization discrepancies across runtimes, auditLogger.js normalizes objects into sorted-key canonical JSON representations:</w:t>
      </w:r>
    </w:p>
    <w:p>
      <w:pPr>
        <w:keepNext/>
        <w:spacing w:before="50" w:after="50"/>
        <w:jc w:val="center"/>
      </w:pPr>
      <w:r>
        <w:rPr>
          <w:rFonts w:ascii="Times New Roman" w:hAnsi="Times New Roman"/>
          <w:i/>
          <w:sz w:val="18"/>
        </w:rPr>
        <w:t>e_i = SHA-256(Canonicalize(Event_i))</w:t>
      </w:r>
      <w:r>
        <w:t xml:space="preserve">      </w:t>
      </w:r>
      <w:r>
        <w:rPr>
          <w:rFonts w:ascii="Times New Roman" w:hAnsi="Times New Roman"/>
          <w:b w:val="0"/>
          <w:sz w:val="18"/>
        </w:rPr>
        <w:t>(7)</w:t>
      </w:r>
    </w:p>
    <w:p>
      <w:pPr>
        <w:keepNext/>
        <w:spacing w:before="100" w:after="30" w:line="240" w:lineRule="auto"/>
        <w:jc w:val="left"/>
      </w:pPr>
      <w:r>
        <w:rPr>
          <w:rFonts w:ascii="Times New Roman" w:hAnsi="Times New Roman"/>
          <w:b/>
          <w:i/>
          <w:sz w:val="19"/>
        </w:rPr>
        <w:t>B. Batching Buffer &amp; Merkle Tree Aggregation</w:t>
      </w:r>
    </w:p>
    <w:p>
      <w:pPr>
        <w:spacing w:before="0" w:after="40" w:line="240" w:lineRule="auto"/>
        <w:jc w:val="both"/>
      </w:pPr>
      <w:r>
        <w:rPr>
          <w:rFonts w:ascii="Times New Roman" w:hAnsi="Times New Roman"/>
          <w:sz w:val="19"/>
        </w:rPr>
        <w:t>merkleBatcher.js aggregates leaf hashes into a memory-buffered FIFO queue flushed under two threshold conditions:</w:t>
      </w:r>
    </w:p>
    <w:p>
      <w:pPr>
        <w:keepNext/>
        <w:spacing w:before="50" w:after="50"/>
        <w:jc w:val="center"/>
      </w:pPr>
      <w:r>
        <w:rPr>
          <w:rFonts w:ascii="Times New Roman" w:hAnsi="Times New Roman"/>
          <w:i/>
          <w:sz w:val="18"/>
        </w:rPr>
        <w:t>Flush Condition = (|Q| &gt;= 100) or (t_now - t_last &gt;= 60s)</w:t>
      </w:r>
      <w:r>
        <w:t xml:space="preserve">      </w:t>
      </w:r>
      <w:r>
        <w:rPr>
          <w:rFonts w:ascii="Times New Roman" w:hAnsi="Times New Roman"/>
          <w:b w:val="0"/>
          <w:sz w:val="18"/>
        </w:rPr>
        <w:t>(8)</w:t>
      </w:r>
    </w:p>
    <w:p>
      <w:pPr>
        <w:spacing w:before="0" w:after="40" w:line="240" w:lineRule="auto"/>
        <w:jc w:val="both"/>
      </w:pPr>
      <w:r>
        <w:rPr>
          <w:rFonts w:ascii="Times New Roman" w:hAnsi="Times New Roman"/>
          <w:sz w:val="19"/>
        </w:rPr>
        <w:t>When triggered, merkleUtils.js: buildMerkleTree() constructs a balanced binary hash tree over leaf set {e_1, ..., e_M}:</w:t>
      </w:r>
    </w:p>
    <w:p>
      <w:pPr>
        <w:keepNext/>
        <w:spacing w:before="50" w:after="50"/>
        <w:jc w:val="center"/>
      </w:pPr>
      <w:r>
        <w:rPr>
          <w:rFonts w:ascii="Times New Roman" w:hAnsi="Times New Roman"/>
          <w:i/>
          <w:sz w:val="18"/>
        </w:rPr>
        <w:t>N_{j, k} = SHA-256(N_{j-1, 2k} || N_{j-1, 2k+1})</w:t>
      </w:r>
      <w:r>
        <w:t xml:space="preserve">      </w:t>
      </w:r>
      <w:r>
        <w:rPr>
          <w:rFonts w:ascii="Times New Roman" w:hAnsi="Times New Roman"/>
          <w:b w:val="0"/>
          <w:sz w:val="18"/>
        </w:rPr>
        <w:t>(9)</w:t>
      </w:r>
    </w:p>
    <w:p>
      <w:pPr>
        <w:spacing w:before="0" w:after="40" w:line="240" w:lineRule="auto"/>
        <w:jc w:val="both"/>
      </w:pPr>
      <w:r>
        <w:rPr>
          <w:rFonts w:ascii="Times New Roman" w:hAnsi="Times New Roman"/>
          <w:sz w:val="19"/>
        </w:rPr>
        <w:t>yielding a single 32-byte Merkle root R.</w:t>
      </w:r>
    </w:p>
    <w:p>
      <w:pPr>
        <w:keepNext/>
        <w:spacing w:before="100" w:after="30" w:line="240" w:lineRule="auto"/>
        <w:jc w:val="left"/>
      </w:pPr>
      <w:r>
        <w:rPr>
          <w:rFonts w:ascii="Times New Roman" w:hAnsi="Times New Roman"/>
          <w:b/>
          <w:i/>
          <w:sz w:val="19"/>
        </w:rPr>
        <w:t>C. Smart Contract Anchoring</w:t>
      </w:r>
    </w:p>
    <w:p>
      <w:pPr>
        <w:spacing w:before="0" w:after="40" w:line="240" w:lineRule="auto"/>
        <w:jc w:val="both"/>
      </w:pPr>
      <w:r>
        <w:rPr>
          <w:rFonts w:ascii="Times New Roman" w:hAnsi="Times New Roman"/>
          <w:sz w:val="19"/>
        </w:rPr>
        <w:t>Root R is anchored on-chain by anchorClient.js, which invokes anchor(bytes32 root) on AnchorRegistry.sol:</w:t>
      </w:r>
    </w:p>
    <w:p>
      <w:pPr>
        <w:keepNext/>
        <w:spacing w:before="50" w:after="50"/>
        <w:jc w:val="center"/>
      </w:pPr>
      <w:r>
        <w:rPr>
          <w:rFonts w:ascii="Times New Roman" w:hAnsi="Times New Roman"/>
          <w:i/>
          <w:sz w:val="18"/>
        </w:rPr>
        <w:t>Registry[R] = block.timestamp</w:t>
      </w:r>
      <w:r>
        <w:t xml:space="preserve">      </w:t>
      </w:r>
      <w:r>
        <w:rPr>
          <w:rFonts w:ascii="Times New Roman" w:hAnsi="Times New Roman"/>
          <w:b w:val="0"/>
          <w:sz w:val="18"/>
        </w:rPr>
        <w:t>(10)</w:t>
      </w:r>
    </w:p>
    <w:p>
      <w:pPr>
        <w:spacing w:before="0" w:after="40" w:line="240" w:lineRule="auto"/>
        <w:jc w:val="both"/>
      </w:pPr>
      <w:r>
        <w:rPr>
          <w:rFonts w:ascii="Times New Roman" w:hAnsi="Times New Roman"/>
          <w:sz w:val="19"/>
        </w:rPr>
        <w:t>The transaction receipt (block hash, number, transaction ID) is persisted alongside batch metadata. (Currently verified on local Hardhat EVM).</w:t>
      </w:r>
    </w:p>
    <w:p>
      <w:pPr>
        <w:keepNext/>
        <w:spacing w:before="140" w:after="40" w:line="240" w:lineRule="auto"/>
        <w:jc w:val="center"/>
      </w:pPr>
      <w:r>
        <w:rPr>
          <w:rFonts w:ascii="Times New Roman" w:hAnsi="Times New Roman"/>
          <w:b/>
          <w:sz w:val="19"/>
        </w:rPr>
        <w:t>VI. EXPERIMENTAL MACHINE LEARNING EVALUATION</w:t>
      </w:r>
    </w:p>
    <w:p>
      <w:pPr>
        <w:keepNext/>
        <w:spacing w:before="100" w:after="30" w:line="240" w:lineRule="auto"/>
        <w:jc w:val="left"/>
      </w:pPr>
      <w:r>
        <w:rPr>
          <w:rFonts w:ascii="Times New Roman" w:hAnsi="Times New Roman"/>
          <w:b/>
          <w:i/>
          <w:sz w:val="19"/>
        </w:rPr>
        <w:t>A. Curated Breach Dataset</w:t>
      </w:r>
    </w:p>
    <w:p>
      <w:pPr>
        <w:spacing w:before="0" w:after="40" w:line="240" w:lineRule="auto"/>
        <w:jc w:val="both"/>
      </w:pPr>
      <w:r>
        <w:rPr>
          <w:rFonts w:ascii="Times New Roman" w:hAnsi="Times New Roman"/>
          <w:sz w:val="19"/>
        </w:rPr>
        <w:t>To benchmark automated severity assessment models, we constructed a curated ground-truth corpus of 1,034 historical breach incidents categorized into four ordinal severity classes based on credential exposure depth: LOW, MEDIUM, HIGH, and CRITICAL. The dataset was partitioned using a stratified 70/15/15 split (seed 42), summarized in Table I.</w:t>
      </w:r>
    </w:p>
    <w:p>
      <w:pPr>
        <w:keepNext/>
        <w:spacing w:before="80" w:after="30"/>
        <w:jc w:val="center"/>
      </w:pPr>
      <w:r>
        <w:rPr>
          <w:rFonts w:ascii="Times New Roman" w:hAnsi="Times New Roman"/>
          <w:b/>
          <w:sz w:val="15"/>
        </w:rPr>
        <w:t>TABLE I: DATASET PARTITION AND CLASS DISTRIBUTION</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1721"/>
        <w:gridCol w:w="1721"/>
        <w:gridCol w:w="1721"/>
        <w:gridCol w:w="1721"/>
        <w:gridCol w:w="1721"/>
        <w:gridCol w:w="1721"/>
      </w:tblGrid>
      <w:tr>
        <w:trPr>
          <w:cantSplit/>
        </w:trPr>
        <w:tc>
          <w:tcPr>
            <w:tcW w:type="dxa" w:w="1584"/>
          </w:tcPr>
          <w:p>
            <w:pPr>
              <w:spacing w:before="20" w:after="20" w:line="240" w:lineRule="auto"/>
              <w:jc w:val="center"/>
            </w:pPr>
            <w:r>
              <w:rPr>
                <w:rFonts w:ascii="Times New Roman" w:hAnsi="Times New Roman"/>
                <w:b/>
                <w:sz w:val="14"/>
              </w:rPr>
              <w:t>Split</w:t>
            </w:r>
          </w:p>
        </w:tc>
        <w:tc>
          <w:tcPr>
            <w:tcW w:type="dxa" w:w="648"/>
          </w:tcPr>
          <w:p>
            <w:pPr>
              <w:spacing w:before="20" w:after="20" w:line="240" w:lineRule="auto"/>
              <w:jc w:val="center"/>
            </w:pPr>
            <w:r>
              <w:rPr>
                <w:rFonts w:ascii="Times New Roman" w:hAnsi="Times New Roman"/>
                <w:b/>
                <w:sz w:val="14"/>
              </w:rPr>
              <w:t>Total</w:t>
            </w:r>
          </w:p>
        </w:tc>
        <w:tc>
          <w:tcPr>
            <w:tcW w:type="dxa" w:w="648"/>
          </w:tcPr>
          <w:p>
            <w:pPr>
              <w:spacing w:before="20" w:after="20" w:line="240" w:lineRule="auto"/>
              <w:jc w:val="center"/>
            </w:pPr>
            <w:r>
              <w:rPr>
                <w:rFonts w:ascii="Times New Roman" w:hAnsi="Times New Roman"/>
                <w:b/>
                <w:sz w:val="14"/>
              </w:rPr>
              <w:t>LOW</w:t>
            </w:r>
          </w:p>
        </w:tc>
        <w:tc>
          <w:tcPr>
            <w:tcW w:type="dxa" w:w="648"/>
          </w:tcPr>
          <w:p>
            <w:pPr>
              <w:spacing w:before="20" w:after="20" w:line="240" w:lineRule="auto"/>
              <w:jc w:val="center"/>
            </w:pPr>
            <w:r>
              <w:rPr>
                <w:rFonts w:ascii="Times New Roman" w:hAnsi="Times New Roman"/>
                <w:b/>
                <w:sz w:val="14"/>
              </w:rPr>
              <w:t>MEDIUM</w:t>
            </w:r>
          </w:p>
        </w:tc>
        <w:tc>
          <w:tcPr>
            <w:tcW w:type="dxa" w:w="648"/>
          </w:tcPr>
          <w:p>
            <w:pPr>
              <w:spacing w:before="20" w:after="20" w:line="240" w:lineRule="auto"/>
              <w:jc w:val="center"/>
            </w:pPr>
            <w:r>
              <w:rPr>
                <w:rFonts w:ascii="Times New Roman" w:hAnsi="Times New Roman"/>
                <w:b/>
                <w:sz w:val="14"/>
              </w:rPr>
              <w:t>HIGH</w:t>
            </w:r>
          </w:p>
        </w:tc>
        <w:tc>
          <w:tcPr>
            <w:tcW w:type="dxa" w:w="648"/>
          </w:tcPr>
          <w:p>
            <w:pPr>
              <w:spacing w:before="20" w:after="20" w:line="240" w:lineRule="auto"/>
              <w:jc w:val="center"/>
            </w:pPr>
            <w:r>
              <w:rPr>
                <w:rFonts w:ascii="Times New Roman" w:hAnsi="Times New Roman"/>
                <w:b/>
                <w:sz w:val="14"/>
              </w:rPr>
              <w:t>CRITICAL</w:t>
            </w:r>
          </w:p>
        </w:tc>
      </w:tr>
      <w:tr>
        <w:trPr>
          <w:cantSplit/>
        </w:trPr>
        <w:tc>
          <w:tcPr>
            <w:tcW w:type="dxa" w:w="1584"/>
          </w:tcPr>
          <w:p>
            <w:pPr>
              <w:spacing w:before="16" w:after="16" w:line="240" w:lineRule="auto"/>
              <w:jc w:val="left"/>
            </w:pPr>
            <w:r>
              <w:rPr>
                <w:rFonts w:ascii="Times New Roman" w:hAnsi="Times New Roman"/>
                <w:sz w:val="14"/>
              </w:rPr>
              <w:t>Train (70%)</w:t>
            </w:r>
          </w:p>
        </w:tc>
        <w:tc>
          <w:tcPr>
            <w:tcW w:type="dxa" w:w="648"/>
          </w:tcPr>
          <w:p>
            <w:pPr>
              <w:spacing w:before="16" w:after="16" w:line="240" w:lineRule="auto"/>
              <w:jc w:val="center"/>
            </w:pPr>
            <w:r>
              <w:rPr>
                <w:rFonts w:ascii="Times New Roman" w:hAnsi="Times New Roman"/>
                <w:sz w:val="14"/>
              </w:rPr>
              <w:t>723</w:t>
            </w:r>
          </w:p>
        </w:tc>
        <w:tc>
          <w:tcPr>
            <w:tcW w:type="dxa" w:w="648"/>
          </w:tcPr>
          <w:p>
            <w:pPr>
              <w:spacing w:before="16" w:after="16" w:line="240" w:lineRule="auto"/>
              <w:jc w:val="center"/>
            </w:pPr>
            <w:r>
              <w:rPr>
                <w:rFonts w:ascii="Times New Roman" w:hAnsi="Times New Roman"/>
                <w:sz w:val="14"/>
              </w:rPr>
              <w:t>49</w:t>
            </w:r>
          </w:p>
        </w:tc>
        <w:tc>
          <w:tcPr>
            <w:tcW w:type="dxa" w:w="648"/>
          </w:tcPr>
          <w:p>
            <w:pPr>
              <w:spacing w:before="16" w:after="16" w:line="240" w:lineRule="auto"/>
              <w:jc w:val="center"/>
            </w:pPr>
            <w:r>
              <w:rPr>
                <w:rFonts w:ascii="Times New Roman" w:hAnsi="Times New Roman"/>
                <w:sz w:val="14"/>
              </w:rPr>
              <w:t>341</w:t>
            </w:r>
          </w:p>
        </w:tc>
        <w:tc>
          <w:tcPr>
            <w:tcW w:type="dxa" w:w="648"/>
          </w:tcPr>
          <w:p>
            <w:pPr>
              <w:spacing w:before="16" w:after="16" w:line="240" w:lineRule="auto"/>
              <w:jc w:val="center"/>
            </w:pPr>
            <w:r>
              <w:rPr>
                <w:rFonts w:ascii="Times New Roman" w:hAnsi="Times New Roman"/>
                <w:sz w:val="14"/>
              </w:rPr>
              <w:t>291</w:t>
            </w:r>
          </w:p>
        </w:tc>
        <w:tc>
          <w:tcPr>
            <w:tcW w:type="dxa" w:w="648"/>
          </w:tcPr>
          <w:p>
            <w:pPr>
              <w:spacing w:before="16" w:after="16" w:line="240" w:lineRule="auto"/>
              <w:jc w:val="center"/>
            </w:pPr>
            <w:r>
              <w:rPr>
                <w:rFonts w:ascii="Times New Roman" w:hAnsi="Times New Roman"/>
                <w:sz w:val="14"/>
              </w:rPr>
              <w:t>42</w:t>
            </w:r>
          </w:p>
        </w:tc>
      </w:tr>
      <w:tr>
        <w:trPr>
          <w:cantSplit/>
        </w:trPr>
        <w:tc>
          <w:tcPr>
            <w:tcW w:type="dxa" w:w="1584"/>
          </w:tcPr>
          <w:p>
            <w:pPr>
              <w:spacing w:before="16" w:after="16" w:line="240" w:lineRule="auto"/>
              <w:jc w:val="left"/>
            </w:pPr>
            <w:r>
              <w:rPr>
                <w:rFonts w:ascii="Times New Roman" w:hAnsi="Times New Roman"/>
                <w:sz w:val="14"/>
              </w:rPr>
              <w:t>Val (15%)</w:t>
            </w:r>
          </w:p>
        </w:tc>
        <w:tc>
          <w:tcPr>
            <w:tcW w:type="dxa" w:w="648"/>
          </w:tcPr>
          <w:p>
            <w:pPr>
              <w:spacing w:before="16" w:after="16" w:line="240" w:lineRule="auto"/>
              <w:jc w:val="center"/>
            </w:pPr>
            <w:r>
              <w:rPr>
                <w:rFonts w:ascii="Times New Roman" w:hAnsi="Times New Roman"/>
                <w:sz w:val="14"/>
              </w:rPr>
              <w:t>154</w:t>
            </w:r>
          </w:p>
        </w:tc>
        <w:tc>
          <w:tcPr>
            <w:tcW w:type="dxa" w:w="648"/>
          </w:tcPr>
          <w:p>
            <w:pPr>
              <w:spacing w:before="16" w:after="16" w:line="240" w:lineRule="auto"/>
              <w:jc w:val="center"/>
            </w:pPr>
            <w:r>
              <w:rPr>
                <w:rFonts w:ascii="Times New Roman" w:hAnsi="Times New Roman"/>
                <w:sz w:val="14"/>
              </w:rPr>
              <w:t>10</w:t>
            </w:r>
          </w:p>
        </w:tc>
        <w:tc>
          <w:tcPr>
            <w:tcW w:type="dxa" w:w="648"/>
          </w:tcPr>
          <w:p>
            <w:pPr>
              <w:spacing w:before="16" w:after="16" w:line="240" w:lineRule="auto"/>
              <w:jc w:val="center"/>
            </w:pPr>
            <w:r>
              <w:rPr>
                <w:rFonts w:ascii="Times New Roman" w:hAnsi="Times New Roman"/>
                <w:sz w:val="14"/>
              </w:rPr>
              <w:t>73</w:t>
            </w:r>
          </w:p>
        </w:tc>
        <w:tc>
          <w:tcPr>
            <w:tcW w:type="dxa" w:w="648"/>
          </w:tcPr>
          <w:p>
            <w:pPr>
              <w:spacing w:before="16" w:after="16" w:line="240" w:lineRule="auto"/>
              <w:jc w:val="center"/>
            </w:pPr>
            <w:r>
              <w:rPr>
                <w:rFonts w:ascii="Times New Roman" w:hAnsi="Times New Roman"/>
                <w:sz w:val="14"/>
              </w:rPr>
              <w:t>62</w:t>
            </w:r>
          </w:p>
        </w:tc>
        <w:tc>
          <w:tcPr>
            <w:tcW w:type="dxa" w:w="648"/>
          </w:tcPr>
          <w:p>
            <w:pPr>
              <w:spacing w:before="16" w:after="16" w:line="240" w:lineRule="auto"/>
              <w:jc w:val="center"/>
            </w:pPr>
            <w:r>
              <w:rPr>
                <w:rFonts w:ascii="Times New Roman" w:hAnsi="Times New Roman"/>
                <w:sz w:val="14"/>
              </w:rPr>
              <w:t>9</w:t>
            </w:r>
          </w:p>
        </w:tc>
      </w:tr>
      <w:tr>
        <w:trPr>
          <w:cantSplit/>
        </w:trPr>
        <w:tc>
          <w:tcPr>
            <w:tcW w:type="dxa" w:w="1584"/>
          </w:tcPr>
          <w:p>
            <w:pPr>
              <w:spacing w:before="16" w:after="16" w:line="240" w:lineRule="auto"/>
              <w:jc w:val="left"/>
            </w:pPr>
            <w:r>
              <w:rPr>
                <w:rFonts w:ascii="Times New Roman" w:hAnsi="Times New Roman"/>
                <w:sz w:val="14"/>
              </w:rPr>
              <w:t>Test (15%)</w:t>
            </w:r>
          </w:p>
        </w:tc>
        <w:tc>
          <w:tcPr>
            <w:tcW w:type="dxa" w:w="648"/>
          </w:tcPr>
          <w:p>
            <w:pPr>
              <w:spacing w:before="16" w:after="16" w:line="240" w:lineRule="auto"/>
              <w:jc w:val="center"/>
            </w:pPr>
            <w:r>
              <w:rPr>
                <w:rFonts w:ascii="Times New Roman" w:hAnsi="Times New Roman"/>
                <w:sz w:val="14"/>
              </w:rPr>
              <w:t>157</w:t>
            </w:r>
          </w:p>
        </w:tc>
        <w:tc>
          <w:tcPr>
            <w:tcW w:type="dxa" w:w="648"/>
          </w:tcPr>
          <w:p>
            <w:pPr>
              <w:spacing w:before="16" w:after="16" w:line="240" w:lineRule="auto"/>
              <w:jc w:val="center"/>
            </w:pPr>
            <w:r>
              <w:rPr>
                <w:rFonts w:ascii="Times New Roman" w:hAnsi="Times New Roman"/>
                <w:sz w:val="14"/>
              </w:rPr>
              <w:t>11</w:t>
            </w:r>
          </w:p>
        </w:tc>
        <w:tc>
          <w:tcPr>
            <w:tcW w:type="dxa" w:w="648"/>
          </w:tcPr>
          <w:p>
            <w:pPr>
              <w:spacing w:before="16" w:after="16" w:line="240" w:lineRule="auto"/>
              <w:jc w:val="center"/>
            </w:pPr>
            <w:r>
              <w:rPr>
                <w:rFonts w:ascii="Times New Roman" w:hAnsi="Times New Roman"/>
                <w:sz w:val="14"/>
              </w:rPr>
              <w:t>74</w:t>
            </w:r>
          </w:p>
        </w:tc>
        <w:tc>
          <w:tcPr>
            <w:tcW w:type="dxa" w:w="648"/>
          </w:tcPr>
          <w:p>
            <w:pPr>
              <w:spacing w:before="16" w:after="16" w:line="240" w:lineRule="auto"/>
              <w:jc w:val="center"/>
            </w:pPr>
            <w:r>
              <w:rPr>
                <w:rFonts w:ascii="Times New Roman" w:hAnsi="Times New Roman"/>
                <w:sz w:val="14"/>
              </w:rPr>
              <w:t>63</w:t>
            </w:r>
          </w:p>
        </w:tc>
        <w:tc>
          <w:tcPr>
            <w:tcW w:type="dxa" w:w="648"/>
          </w:tcPr>
          <w:p>
            <w:pPr>
              <w:spacing w:before="16" w:after="16" w:line="240" w:lineRule="auto"/>
              <w:jc w:val="center"/>
            </w:pPr>
            <w:r>
              <w:rPr>
                <w:rFonts w:ascii="Times New Roman" w:hAnsi="Times New Roman"/>
                <w:sz w:val="14"/>
              </w:rPr>
              <w:t>9</w:t>
            </w:r>
          </w:p>
        </w:tc>
      </w:tr>
    </w:tbl>
    <w:p>
      <w:pPr>
        <w:spacing w:before="0" w:after="50"/>
      </w:pPr>
    </w:p>
    <w:p>
      <w:pPr>
        <w:keepNext/>
        <w:spacing w:before="100" w:after="30" w:line="240" w:lineRule="auto"/>
        <w:jc w:val="left"/>
      </w:pPr>
      <w:r>
        <w:rPr>
          <w:rFonts w:ascii="Times New Roman" w:hAnsi="Times New Roman"/>
          <w:b/>
          <w:i/>
          <w:sz w:val="19"/>
        </w:rPr>
        <w:t>B. Feature Space Extraction</w:t>
      </w:r>
    </w:p>
    <w:p>
      <w:pPr>
        <w:spacing w:before="0" w:after="40" w:line="240" w:lineRule="auto"/>
        <w:jc w:val="both"/>
      </w:pPr>
      <w:r>
        <w:rPr>
          <w:rFonts w:ascii="Times New Roman" w:hAnsi="Times New Roman"/>
          <w:sz w:val="19"/>
        </w:rPr>
        <w:t>Each breach record was mapped to a 165-dimensional feature vector consisting of: (i) DataClasses Multi-Hot Vector (163 dims): Binary encoding across compromised attributes (Passwords, Email addresses, Credit card numbers, Social Security numbers); (ii) PwnCount (1 dim): log10(PwnCount + 1); and (iii) IsVerified (1 dim): Binary analyst validation.</w:t>
      </w:r>
    </w:p>
    <w:p>
      <w:pPr>
        <w:keepNext/>
        <w:spacing w:before="100" w:after="30" w:line="240" w:lineRule="auto"/>
        <w:jc w:val="left"/>
      </w:pPr>
      <w:r>
        <w:rPr>
          <w:rFonts w:ascii="Times New Roman" w:hAnsi="Times New Roman"/>
          <w:b/>
          <w:i/>
          <w:sz w:val="19"/>
        </w:rPr>
        <w:t>C. Comparative Benchmarks</w:t>
      </w:r>
    </w:p>
    <w:p>
      <w:pPr>
        <w:spacing w:before="0" w:after="40" w:line="240" w:lineRule="auto"/>
        <w:jc w:val="both"/>
      </w:pPr>
      <w:r>
        <w:rPr>
          <w:rFonts w:ascii="Times New Roman" w:hAnsi="Times New Roman"/>
          <w:sz w:val="19"/>
        </w:rPr>
        <w:t>We evaluated five classification architectures under identical train/test splits: Naive Baseline, RNN (BiLSTM), Transformer Encoder, 1D-CNN, and XGBoost [7]. Table II presents test set performance (N=157).</w:t>
      </w:r>
    </w:p>
    <w:p>
      <w:pPr>
        <w:keepNext/>
        <w:spacing w:before="80" w:after="30"/>
        <w:jc w:val="center"/>
      </w:pPr>
      <w:r>
        <w:rPr>
          <w:rFonts w:ascii="Times New Roman" w:hAnsi="Times New Roman"/>
          <w:b/>
          <w:sz w:val="15"/>
        </w:rPr>
        <w:t>TABLE II: COMPARATIVE MODEL BENCHMARK ON TEST SET (N=157)</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2581"/>
        <w:gridCol w:w="2581"/>
        <w:gridCol w:w="2581"/>
        <w:gridCol w:w="2581"/>
      </w:tblGrid>
      <w:tr>
        <w:trPr>
          <w:cantSplit/>
        </w:trPr>
        <w:tc>
          <w:tcPr>
            <w:tcW w:type="dxa" w:w="2232"/>
          </w:tcPr>
          <w:p>
            <w:pPr>
              <w:spacing w:before="20" w:after="20" w:line="240" w:lineRule="auto"/>
              <w:jc w:val="center"/>
            </w:pPr>
            <w:r>
              <w:rPr>
                <w:rFonts w:ascii="Times New Roman" w:hAnsi="Times New Roman"/>
                <w:b/>
                <w:sz w:val="14"/>
              </w:rPr>
              <w:t>Model Architecture</w:t>
            </w:r>
          </w:p>
        </w:tc>
        <w:tc>
          <w:tcPr>
            <w:tcW w:type="dxa" w:w="864"/>
          </w:tcPr>
          <w:p>
            <w:pPr>
              <w:spacing w:before="20" w:after="20" w:line="240" w:lineRule="auto"/>
              <w:jc w:val="center"/>
            </w:pPr>
            <w:r>
              <w:rPr>
                <w:rFonts w:ascii="Times New Roman" w:hAnsi="Times New Roman"/>
                <w:b/>
                <w:sz w:val="14"/>
              </w:rPr>
              <w:t>Accuracy</w:t>
            </w:r>
          </w:p>
        </w:tc>
        <w:tc>
          <w:tcPr>
            <w:tcW w:type="dxa" w:w="864"/>
          </w:tcPr>
          <w:p>
            <w:pPr>
              <w:spacing w:before="20" w:after="20" w:line="240" w:lineRule="auto"/>
              <w:jc w:val="center"/>
            </w:pPr>
            <w:r>
              <w:rPr>
                <w:rFonts w:ascii="Times New Roman" w:hAnsi="Times New Roman"/>
                <w:b/>
                <w:sz w:val="14"/>
              </w:rPr>
              <w:t>Macro F1</w:t>
            </w:r>
          </w:p>
        </w:tc>
        <w:tc>
          <w:tcPr>
            <w:tcW w:type="dxa" w:w="864"/>
          </w:tcPr>
          <w:p>
            <w:pPr>
              <w:spacing w:before="20" w:after="20" w:line="240" w:lineRule="auto"/>
              <w:jc w:val="center"/>
            </w:pPr>
            <w:r>
              <w:rPr>
                <w:rFonts w:ascii="Times New Roman" w:hAnsi="Times New Roman"/>
                <w:b/>
                <w:sz w:val="14"/>
              </w:rPr>
              <w:t>Weighted F1</w:t>
            </w:r>
          </w:p>
        </w:tc>
      </w:tr>
      <w:tr>
        <w:trPr>
          <w:cantSplit/>
        </w:trPr>
        <w:tc>
          <w:tcPr>
            <w:tcW w:type="dxa" w:w="2232"/>
          </w:tcPr>
          <w:p>
            <w:pPr>
              <w:spacing w:before="16" w:after="16" w:line="240" w:lineRule="auto"/>
              <w:jc w:val="left"/>
            </w:pPr>
            <w:r>
              <w:rPr>
                <w:rFonts w:ascii="Times New Roman" w:hAnsi="Times New Roman"/>
                <w:sz w:val="14"/>
              </w:rPr>
              <w:t>Naive Baseline (Predict MED)</w:t>
            </w:r>
          </w:p>
        </w:tc>
        <w:tc>
          <w:tcPr>
            <w:tcW w:type="dxa" w:w="864"/>
          </w:tcPr>
          <w:p>
            <w:pPr>
              <w:spacing w:before="16" w:after="16" w:line="240" w:lineRule="auto"/>
              <w:jc w:val="center"/>
            </w:pPr>
            <w:r>
              <w:rPr>
                <w:rFonts w:ascii="Times New Roman" w:hAnsi="Times New Roman"/>
                <w:sz w:val="14"/>
              </w:rPr>
              <w:t>47.1%</w:t>
            </w:r>
          </w:p>
        </w:tc>
        <w:tc>
          <w:tcPr>
            <w:tcW w:type="dxa" w:w="864"/>
          </w:tcPr>
          <w:p>
            <w:pPr>
              <w:spacing w:before="16" w:after="16" w:line="240" w:lineRule="auto"/>
              <w:jc w:val="center"/>
            </w:pPr>
            <w:r>
              <w:rPr>
                <w:rFonts w:ascii="Times New Roman" w:hAnsi="Times New Roman"/>
                <w:sz w:val="14"/>
              </w:rPr>
              <w:t>16.0%</w:t>
            </w:r>
          </w:p>
        </w:tc>
        <w:tc>
          <w:tcPr>
            <w:tcW w:type="dxa" w:w="864"/>
          </w:tcPr>
          <w:p>
            <w:pPr>
              <w:spacing w:before="16" w:after="16" w:line="240" w:lineRule="auto"/>
              <w:jc w:val="center"/>
            </w:pPr>
            <w:r>
              <w:rPr>
                <w:rFonts w:ascii="Times New Roman" w:hAnsi="Times New Roman"/>
                <w:sz w:val="14"/>
              </w:rPr>
              <w:t>30.2%</w:t>
            </w:r>
          </w:p>
        </w:tc>
      </w:tr>
      <w:tr>
        <w:trPr>
          <w:cantSplit/>
        </w:trPr>
        <w:tc>
          <w:tcPr>
            <w:tcW w:type="dxa" w:w="2232"/>
          </w:tcPr>
          <w:p>
            <w:pPr>
              <w:spacing w:before="16" w:after="16" w:line="240" w:lineRule="auto"/>
              <w:jc w:val="left"/>
            </w:pPr>
            <w:r>
              <w:rPr>
                <w:rFonts w:ascii="Times New Roman" w:hAnsi="Times New Roman"/>
                <w:sz w:val="14"/>
              </w:rPr>
              <w:t>RNN (BiLSTM Retrained)</w:t>
            </w:r>
          </w:p>
        </w:tc>
        <w:tc>
          <w:tcPr>
            <w:tcW w:type="dxa" w:w="864"/>
          </w:tcPr>
          <w:p>
            <w:pPr>
              <w:spacing w:before="16" w:after="16" w:line="240" w:lineRule="auto"/>
              <w:jc w:val="center"/>
            </w:pPr>
            <w:r>
              <w:rPr>
                <w:rFonts w:ascii="Times New Roman" w:hAnsi="Times New Roman"/>
                <w:sz w:val="14"/>
              </w:rPr>
              <w:t>44.6%</w:t>
            </w:r>
          </w:p>
        </w:tc>
        <w:tc>
          <w:tcPr>
            <w:tcW w:type="dxa" w:w="864"/>
          </w:tcPr>
          <w:p>
            <w:pPr>
              <w:spacing w:before="16" w:after="16" w:line="240" w:lineRule="auto"/>
              <w:jc w:val="center"/>
            </w:pPr>
            <w:r>
              <w:rPr>
                <w:rFonts w:ascii="Times New Roman" w:hAnsi="Times New Roman"/>
                <w:sz w:val="14"/>
              </w:rPr>
              <w:t>34.0%</w:t>
            </w:r>
          </w:p>
        </w:tc>
        <w:tc>
          <w:tcPr>
            <w:tcW w:type="dxa" w:w="864"/>
          </w:tcPr>
          <w:p>
            <w:pPr>
              <w:spacing w:before="16" w:after="16" w:line="240" w:lineRule="auto"/>
              <w:jc w:val="center"/>
            </w:pPr>
            <w:r>
              <w:rPr>
                <w:rFonts w:ascii="Times New Roman" w:hAnsi="Times New Roman"/>
                <w:sz w:val="14"/>
              </w:rPr>
              <w:t>46.8%</w:t>
            </w:r>
          </w:p>
        </w:tc>
      </w:tr>
      <w:tr>
        <w:trPr>
          <w:cantSplit/>
        </w:trPr>
        <w:tc>
          <w:tcPr>
            <w:tcW w:type="dxa" w:w="2232"/>
          </w:tcPr>
          <w:p>
            <w:pPr>
              <w:spacing w:before="16" w:after="16" w:line="240" w:lineRule="auto"/>
              <w:jc w:val="left"/>
            </w:pPr>
            <w:r>
              <w:rPr>
                <w:rFonts w:ascii="Times New Roman" w:hAnsi="Times New Roman"/>
                <w:sz w:val="14"/>
              </w:rPr>
              <w:t>Transformer (2L / 4H)</w:t>
            </w:r>
          </w:p>
        </w:tc>
        <w:tc>
          <w:tcPr>
            <w:tcW w:type="dxa" w:w="864"/>
          </w:tcPr>
          <w:p>
            <w:pPr>
              <w:spacing w:before="16" w:after="16" w:line="240" w:lineRule="auto"/>
              <w:jc w:val="center"/>
            </w:pPr>
            <w:r>
              <w:rPr>
                <w:rFonts w:ascii="Times New Roman" w:hAnsi="Times New Roman"/>
                <w:sz w:val="14"/>
              </w:rPr>
              <w:t>48.4%</w:t>
            </w:r>
          </w:p>
        </w:tc>
        <w:tc>
          <w:tcPr>
            <w:tcW w:type="dxa" w:w="864"/>
          </w:tcPr>
          <w:p>
            <w:pPr>
              <w:spacing w:before="16" w:after="16" w:line="240" w:lineRule="auto"/>
              <w:jc w:val="center"/>
            </w:pPr>
            <w:r>
              <w:rPr>
                <w:rFonts w:ascii="Times New Roman" w:hAnsi="Times New Roman"/>
                <w:sz w:val="14"/>
              </w:rPr>
              <w:t>42.9%</w:t>
            </w:r>
          </w:p>
        </w:tc>
        <w:tc>
          <w:tcPr>
            <w:tcW w:type="dxa" w:w="864"/>
          </w:tcPr>
          <w:p>
            <w:pPr>
              <w:spacing w:before="16" w:after="16" w:line="240" w:lineRule="auto"/>
              <w:jc w:val="center"/>
            </w:pPr>
            <w:r>
              <w:rPr>
                <w:rFonts w:ascii="Times New Roman" w:hAnsi="Times New Roman"/>
                <w:sz w:val="14"/>
              </w:rPr>
              <w:t>50.8%</w:t>
            </w:r>
          </w:p>
        </w:tc>
      </w:tr>
      <w:tr>
        <w:trPr>
          <w:cantSplit/>
        </w:trPr>
        <w:tc>
          <w:tcPr>
            <w:tcW w:type="dxa" w:w="2232"/>
          </w:tcPr>
          <w:p>
            <w:pPr>
              <w:spacing w:before="16" w:after="16" w:line="240" w:lineRule="auto"/>
              <w:jc w:val="left"/>
            </w:pPr>
            <w:r>
              <w:rPr>
                <w:rFonts w:ascii="Times New Roman" w:hAnsi="Times New Roman"/>
                <w:sz w:val="14"/>
              </w:rPr>
              <w:t>1D-CNN (k=3,4,5)</w:t>
            </w:r>
          </w:p>
        </w:tc>
        <w:tc>
          <w:tcPr>
            <w:tcW w:type="dxa" w:w="864"/>
          </w:tcPr>
          <w:p>
            <w:pPr>
              <w:spacing w:before="16" w:after="16" w:line="240" w:lineRule="auto"/>
              <w:jc w:val="center"/>
            </w:pPr>
            <w:r>
              <w:rPr>
                <w:rFonts w:ascii="Times New Roman" w:hAnsi="Times New Roman"/>
                <w:sz w:val="14"/>
              </w:rPr>
              <w:t>66.2%</w:t>
            </w:r>
          </w:p>
        </w:tc>
        <w:tc>
          <w:tcPr>
            <w:tcW w:type="dxa" w:w="864"/>
          </w:tcPr>
          <w:p>
            <w:pPr>
              <w:spacing w:before="16" w:after="16" w:line="240" w:lineRule="auto"/>
              <w:jc w:val="center"/>
            </w:pPr>
            <w:r>
              <w:rPr>
                <w:rFonts w:ascii="Times New Roman" w:hAnsi="Times New Roman"/>
                <w:sz w:val="14"/>
              </w:rPr>
              <w:t>57.2%</w:t>
            </w:r>
          </w:p>
        </w:tc>
        <w:tc>
          <w:tcPr>
            <w:tcW w:type="dxa" w:w="864"/>
          </w:tcPr>
          <w:p>
            <w:pPr>
              <w:spacing w:before="16" w:after="16" w:line="240" w:lineRule="auto"/>
              <w:jc w:val="center"/>
            </w:pPr>
            <w:r>
              <w:rPr>
                <w:rFonts w:ascii="Times New Roman" w:hAnsi="Times New Roman"/>
                <w:sz w:val="14"/>
              </w:rPr>
              <w:t>65.7%</w:t>
            </w:r>
          </w:p>
        </w:tc>
      </w:tr>
      <w:tr>
        <w:trPr>
          <w:cantSplit/>
        </w:trPr>
        <w:tc>
          <w:tcPr>
            <w:tcW w:type="dxa" w:w="2232"/>
          </w:tcPr>
          <w:p>
            <w:pPr>
              <w:spacing w:before="16" w:after="16" w:line="240" w:lineRule="auto"/>
              <w:jc w:val="left"/>
            </w:pPr>
            <w:r>
              <w:rPr>
                <w:rFonts w:ascii="Times New Roman" w:hAnsi="Times New Roman"/>
                <w:sz w:val="14"/>
              </w:rPr>
              <w:t>XGBoost (Ours)</w:t>
            </w:r>
          </w:p>
        </w:tc>
        <w:tc>
          <w:tcPr>
            <w:tcW w:type="dxa" w:w="864"/>
          </w:tcPr>
          <w:p>
            <w:pPr>
              <w:spacing w:before="16" w:after="16" w:line="240" w:lineRule="auto"/>
              <w:jc w:val="center"/>
            </w:pPr>
            <w:r>
              <w:rPr>
                <w:rFonts w:ascii="Times New Roman" w:hAnsi="Times New Roman"/>
                <w:sz w:val="14"/>
              </w:rPr>
              <w:t>89.2%</w:t>
            </w:r>
          </w:p>
        </w:tc>
        <w:tc>
          <w:tcPr>
            <w:tcW w:type="dxa" w:w="864"/>
          </w:tcPr>
          <w:p>
            <w:pPr>
              <w:spacing w:before="16" w:after="16" w:line="240" w:lineRule="auto"/>
              <w:jc w:val="center"/>
            </w:pPr>
            <w:r>
              <w:rPr>
                <w:rFonts w:ascii="Times New Roman" w:hAnsi="Times New Roman"/>
                <w:sz w:val="14"/>
              </w:rPr>
              <w:t>83.2%</w:t>
            </w:r>
          </w:p>
        </w:tc>
        <w:tc>
          <w:tcPr>
            <w:tcW w:type="dxa" w:w="864"/>
          </w:tcPr>
          <w:p>
            <w:pPr>
              <w:spacing w:before="16" w:after="16" w:line="240" w:lineRule="auto"/>
              <w:jc w:val="center"/>
            </w:pPr>
            <w:r>
              <w:rPr>
                <w:rFonts w:ascii="Times New Roman" w:hAnsi="Times New Roman"/>
                <w:sz w:val="14"/>
              </w:rPr>
              <w:t>89.4%</w:t>
            </w:r>
          </w:p>
        </w:tc>
      </w:tr>
    </w:tbl>
    <w:p>
      <w:pPr>
        <w:spacing w:before="0" w:after="50"/>
      </w:pPr>
    </w:p>
    <w:p>
      <w:pPr>
        <w:keepNext/>
        <w:spacing w:before="60" w:after="30"/>
        <w:jc w:val="center"/>
      </w:pPr>
      <w:r>
        <w:drawing>
          <wp:inline xmlns:a="http://schemas.openxmlformats.org/drawingml/2006/main" xmlns:pic="http://schemas.openxmlformats.org/drawingml/2006/picture">
            <wp:extent cx="3063240" cy="1711811"/>
            <wp:docPr id="3" name="Picture 3"/>
            <wp:cNvGraphicFramePr>
              <a:graphicFrameLocks noChangeAspect="1"/>
            </wp:cNvGraphicFramePr>
            <a:graphic>
              <a:graphicData uri="http://schemas.openxmlformats.org/drawingml/2006/picture">
                <pic:pic>
                  <pic:nvPicPr>
                    <pic:cNvPr id="0" name="fig_model_comparison.png"/>
                    <pic:cNvPicPr/>
                  </pic:nvPicPr>
                  <pic:blipFill>
                    <a:blip r:embed="rId11"/>
                    <a:stretch>
                      <a:fillRect/>
                    </a:stretch>
                  </pic:blipFill>
                  <pic:spPr>
                    <a:xfrm>
                      <a:off x="0" y="0"/>
                      <a:ext cx="3063240" cy="1711811"/>
                    </a:xfrm>
                    <a:prstGeom prst="rect"/>
                  </pic:spPr>
                </pic:pic>
              </a:graphicData>
            </a:graphic>
          </wp:inline>
        </w:drawing>
      </w:r>
    </w:p>
    <w:p>
      <w:pPr>
        <w:keepNext w:val="0"/>
        <w:spacing w:before="20" w:after="80"/>
        <w:jc w:val="center"/>
      </w:pPr>
      <w:r>
        <w:rPr>
          <w:rFonts w:ascii="Times New Roman" w:hAnsi="Times New Roman"/>
          <w:i/>
          <w:sz w:val="16"/>
        </w:rPr>
        <w:t>Fig. 3. Severity classification benchmark across accuracy, macro F1, and weighted F1.</w:t>
      </w:r>
    </w:p>
    <w:p>
      <w:pPr>
        <w:spacing w:before="0" w:after="40" w:line="240" w:lineRule="auto"/>
        <w:jc w:val="both"/>
      </w:pPr>
      <w:r>
        <w:rPr>
          <w:rFonts w:ascii="Times New Roman" w:hAnsi="Times New Roman"/>
          <w:sz w:val="19"/>
        </w:rPr>
        <w:t>Table III provides the per-class precision, recall, and F1 scores for the top architectures.</w:t>
      </w:r>
    </w:p>
    <w:p>
      <w:pPr>
        <w:keepNext/>
        <w:spacing w:before="80" w:after="30"/>
        <w:jc w:val="center"/>
      </w:pPr>
      <w:r>
        <w:rPr>
          <w:rFonts w:ascii="Times New Roman" w:hAnsi="Times New Roman"/>
          <w:b/>
          <w:sz w:val="15"/>
        </w:rPr>
        <w:t>TABLE III: PER-CLASS PRECISION, RECALL, AND F1 SCORES</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2065"/>
        <w:gridCol w:w="2065"/>
        <w:gridCol w:w="2065"/>
        <w:gridCol w:w="2065"/>
        <w:gridCol w:w="2065"/>
      </w:tblGrid>
      <w:tr>
        <w:trPr>
          <w:cantSplit/>
        </w:trPr>
        <w:tc>
          <w:tcPr>
            <w:tcW w:type="dxa" w:w="936"/>
          </w:tcPr>
          <w:p>
            <w:pPr>
              <w:spacing w:before="20" w:after="20" w:line="240" w:lineRule="auto"/>
              <w:jc w:val="center"/>
            </w:pPr>
            <w:r>
              <w:rPr>
                <w:rFonts w:ascii="Times New Roman" w:hAnsi="Times New Roman"/>
                <w:b/>
                <w:sz w:val="14"/>
              </w:rPr>
              <w:t>Model</w:t>
            </w:r>
          </w:p>
        </w:tc>
        <w:tc>
          <w:tcPr>
            <w:tcW w:type="dxa" w:w="1080"/>
          </w:tcPr>
          <w:p>
            <w:pPr>
              <w:spacing w:before="20" w:after="20" w:line="240" w:lineRule="auto"/>
              <w:jc w:val="center"/>
            </w:pPr>
            <w:r>
              <w:rPr>
                <w:rFonts w:ascii="Times New Roman" w:hAnsi="Times New Roman"/>
                <w:b/>
                <w:sz w:val="14"/>
              </w:rPr>
              <w:t>Severity Tier</w:t>
            </w:r>
          </w:p>
        </w:tc>
        <w:tc>
          <w:tcPr>
            <w:tcW w:type="dxa" w:w="936"/>
          </w:tcPr>
          <w:p>
            <w:pPr>
              <w:spacing w:before="20" w:after="20" w:line="240" w:lineRule="auto"/>
              <w:jc w:val="center"/>
            </w:pPr>
            <w:r>
              <w:rPr>
                <w:rFonts w:ascii="Times New Roman" w:hAnsi="Times New Roman"/>
                <w:b/>
                <w:sz w:val="14"/>
              </w:rPr>
              <w:t>Precision</w:t>
            </w:r>
          </w:p>
        </w:tc>
        <w:tc>
          <w:tcPr>
            <w:tcW w:type="dxa" w:w="936"/>
          </w:tcPr>
          <w:p>
            <w:pPr>
              <w:spacing w:before="20" w:after="20" w:line="240" w:lineRule="auto"/>
              <w:jc w:val="center"/>
            </w:pPr>
            <w:r>
              <w:rPr>
                <w:rFonts w:ascii="Times New Roman" w:hAnsi="Times New Roman"/>
                <w:b/>
                <w:sz w:val="14"/>
              </w:rPr>
              <w:t>Recall</w:t>
            </w:r>
          </w:p>
        </w:tc>
        <w:tc>
          <w:tcPr>
            <w:tcW w:type="dxa" w:w="936"/>
          </w:tcPr>
          <w:p>
            <w:pPr>
              <w:spacing w:before="20" w:after="20" w:line="240" w:lineRule="auto"/>
              <w:jc w:val="center"/>
            </w:pPr>
            <w:r>
              <w:rPr>
                <w:rFonts w:ascii="Times New Roman" w:hAnsi="Times New Roman"/>
                <w:b/>
                <w:sz w:val="14"/>
              </w:rPr>
              <w:t>F1-Score</w:t>
            </w:r>
          </w:p>
        </w:tc>
      </w:tr>
      <w:tr>
        <w:trPr>
          <w:cantSplit/>
        </w:trPr>
        <w:tc>
          <w:tcPr>
            <w:tcW w:type="dxa" w:w="936"/>
          </w:tcPr>
          <w:p>
            <w:pPr>
              <w:spacing w:before="16" w:after="16" w:line="240" w:lineRule="auto"/>
              <w:jc w:val="left"/>
            </w:pPr>
            <w:r>
              <w:rPr>
                <w:rFonts w:ascii="Times New Roman" w:hAnsi="Times New Roman"/>
                <w:sz w:val="14"/>
              </w:rPr>
              <w:t>XGBoost</w:t>
            </w:r>
          </w:p>
        </w:tc>
        <w:tc>
          <w:tcPr>
            <w:tcW w:type="dxa" w:w="1080"/>
          </w:tcPr>
          <w:p>
            <w:pPr>
              <w:spacing w:before="16" w:after="16" w:line="240" w:lineRule="auto"/>
              <w:jc w:val="center"/>
            </w:pPr>
            <w:r>
              <w:rPr>
                <w:rFonts w:ascii="Times New Roman" w:hAnsi="Times New Roman"/>
                <w:sz w:val="14"/>
              </w:rPr>
              <w:t>LOW</w:t>
            </w:r>
          </w:p>
        </w:tc>
        <w:tc>
          <w:tcPr>
            <w:tcW w:type="dxa" w:w="936"/>
          </w:tcPr>
          <w:p>
            <w:pPr>
              <w:spacing w:before="16" w:after="16" w:line="240" w:lineRule="auto"/>
              <w:jc w:val="center"/>
            </w:pPr>
            <w:r>
              <w:rPr>
                <w:rFonts w:ascii="Times New Roman" w:hAnsi="Times New Roman"/>
                <w:sz w:val="14"/>
              </w:rPr>
              <w:t>64.3%</w:t>
            </w:r>
          </w:p>
        </w:tc>
        <w:tc>
          <w:tcPr>
            <w:tcW w:type="dxa" w:w="936"/>
          </w:tcPr>
          <w:p>
            <w:pPr>
              <w:spacing w:before="16" w:after="16" w:line="240" w:lineRule="auto"/>
              <w:jc w:val="center"/>
            </w:pPr>
            <w:r>
              <w:rPr>
                <w:rFonts w:ascii="Times New Roman" w:hAnsi="Times New Roman"/>
                <w:sz w:val="14"/>
              </w:rPr>
              <w:t>81.8%</w:t>
            </w:r>
          </w:p>
        </w:tc>
        <w:tc>
          <w:tcPr>
            <w:tcW w:type="dxa" w:w="936"/>
          </w:tcPr>
          <w:p>
            <w:pPr>
              <w:spacing w:before="16" w:after="16" w:line="240" w:lineRule="auto"/>
              <w:jc w:val="center"/>
            </w:pPr>
            <w:r>
              <w:rPr>
                <w:rFonts w:ascii="Times New Roman" w:hAnsi="Times New Roman"/>
                <w:sz w:val="14"/>
              </w:rPr>
              <w:t>72.0%</w:t>
            </w:r>
          </w:p>
        </w:tc>
      </w:tr>
      <w:tr>
        <w:trPr>
          <w:cantSplit/>
        </w:trPr>
        <w:tc>
          <w:tcPr>
            <w:tcW w:type="dxa" w:w="936"/>
          </w:tcPr>
          <w:p>
            <w:pPr>
              <w:spacing w:before="16" w:after="16" w:line="240" w:lineRule="auto"/>
              <w:jc w:val="left"/>
            </w:pPr>
            <w:r>
              <w:rPr>
                <w:rFonts w:ascii="Times New Roman" w:hAnsi="Times New Roman"/>
                <w:sz w:val="14"/>
              </w:rPr>
            </w:r>
          </w:p>
        </w:tc>
        <w:tc>
          <w:tcPr>
            <w:tcW w:type="dxa" w:w="1080"/>
          </w:tcPr>
          <w:p>
            <w:pPr>
              <w:spacing w:before="16" w:after="16" w:line="240" w:lineRule="auto"/>
              <w:jc w:val="center"/>
            </w:pPr>
            <w:r>
              <w:rPr>
                <w:rFonts w:ascii="Times New Roman" w:hAnsi="Times New Roman"/>
                <w:sz w:val="14"/>
              </w:rPr>
              <w:t>MEDIUM</w:t>
            </w:r>
          </w:p>
        </w:tc>
        <w:tc>
          <w:tcPr>
            <w:tcW w:type="dxa" w:w="936"/>
          </w:tcPr>
          <w:p>
            <w:pPr>
              <w:spacing w:before="16" w:after="16" w:line="240" w:lineRule="auto"/>
              <w:jc w:val="center"/>
            </w:pPr>
            <w:r>
              <w:rPr>
                <w:rFonts w:ascii="Times New Roman" w:hAnsi="Times New Roman"/>
                <w:sz w:val="14"/>
              </w:rPr>
              <w:t>90.7%</w:t>
            </w:r>
          </w:p>
        </w:tc>
        <w:tc>
          <w:tcPr>
            <w:tcW w:type="dxa" w:w="936"/>
          </w:tcPr>
          <w:p>
            <w:pPr>
              <w:spacing w:before="16" w:after="16" w:line="240" w:lineRule="auto"/>
              <w:jc w:val="center"/>
            </w:pPr>
            <w:r>
              <w:rPr>
                <w:rFonts w:ascii="Times New Roman" w:hAnsi="Times New Roman"/>
                <w:sz w:val="14"/>
              </w:rPr>
              <w:t>91.9%</w:t>
            </w:r>
          </w:p>
        </w:tc>
        <w:tc>
          <w:tcPr>
            <w:tcW w:type="dxa" w:w="936"/>
          </w:tcPr>
          <w:p>
            <w:pPr>
              <w:spacing w:before="16" w:after="16" w:line="240" w:lineRule="auto"/>
              <w:jc w:val="center"/>
            </w:pPr>
            <w:r>
              <w:rPr>
                <w:rFonts w:ascii="Times New Roman" w:hAnsi="Times New Roman"/>
                <w:sz w:val="14"/>
              </w:rPr>
              <w:t>91.3%</w:t>
            </w:r>
          </w:p>
        </w:tc>
      </w:tr>
      <w:tr>
        <w:trPr>
          <w:cantSplit/>
        </w:trPr>
        <w:tc>
          <w:tcPr>
            <w:tcW w:type="dxa" w:w="936"/>
          </w:tcPr>
          <w:p>
            <w:pPr>
              <w:spacing w:before="16" w:after="16" w:line="240" w:lineRule="auto"/>
              <w:jc w:val="left"/>
            </w:pPr>
            <w:r>
              <w:rPr>
                <w:rFonts w:ascii="Times New Roman" w:hAnsi="Times New Roman"/>
                <w:sz w:val="14"/>
              </w:rPr>
            </w:r>
          </w:p>
        </w:tc>
        <w:tc>
          <w:tcPr>
            <w:tcW w:type="dxa" w:w="1080"/>
          </w:tcPr>
          <w:p>
            <w:pPr>
              <w:spacing w:before="16" w:after="16" w:line="240" w:lineRule="auto"/>
              <w:jc w:val="center"/>
            </w:pPr>
            <w:r>
              <w:rPr>
                <w:rFonts w:ascii="Times New Roman" w:hAnsi="Times New Roman"/>
                <w:sz w:val="14"/>
              </w:rPr>
              <w:t>HIGH</w:t>
            </w:r>
          </w:p>
        </w:tc>
        <w:tc>
          <w:tcPr>
            <w:tcW w:type="dxa" w:w="936"/>
          </w:tcPr>
          <w:p>
            <w:pPr>
              <w:spacing w:before="16" w:after="16" w:line="240" w:lineRule="auto"/>
              <w:jc w:val="center"/>
            </w:pPr>
            <w:r>
              <w:rPr>
                <w:rFonts w:ascii="Times New Roman" w:hAnsi="Times New Roman"/>
                <w:sz w:val="14"/>
              </w:rPr>
              <w:t>94.9%</w:t>
            </w:r>
          </w:p>
        </w:tc>
        <w:tc>
          <w:tcPr>
            <w:tcW w:type="dxa" w:w="936"/>
          </w:tcPr>
          <w:p>
            <w:pPr>
              <w:spacing w:before="16" w:after="16" w:line="240" w:lineRule="auto"/>
              <w:jc w:val="center"/>
            </w:pPr>
            <w:r>
              <w:rPr>
                <w:rFonts w:ascii="Times New Roman" w:hAnsi="Times New Roman"/>
                <w:sz w:val="14"/>
              </w:rPr>
              <w:t>88.9%</w:t>
            </w:r>
          </w:p>
        </w:tc>
        <w:tc>
          <w:tcPr>
            <w:tcW w:type="dxa" w:w="936"/>
          </w:tcPr>
          <w:p>
            <w:pPr>
              <w:spacing w:before="16" w:after="16" w:line="240" w:lineRule="auto"/>
              <w:jc w:val="center"/>
            </w:pPr>
            <w:r>
              <w:rPr>
                <w:rFonts w:ascii="Times New Roman" w:hAnsi="Times New Roman"/>
                <w:sz w:val="14"/>
              </w:rPr>
              <w:t>91.8%</w:t>
            </w:r>
          </w:p>
        </w:tc>
      </w:tr>
      <w:tr>
        <w:trPr>
          <w:cantSplit/>
        </w:trPr>
        <w:tc>
          <w:tcPr>
            <w:tcW w:type="dxa" w:w="936"/>
          </w:tcPr>
          <w:p>
            <w:pPr>
              <w:spacing w:before="16" w:after="16" w:line="240" w:lineRule="auto"/>
              <w:jc w:val="left"/>
            </w:pPr>
            <w:r>
              <w:rPr>
                <w:rFonts w:ascii="Times New Roman" w:hAnsi="Times New Roman"/>
                <w:sz w:val="14"/>
              </w:rPr>
            </w:r>
          </w:p>
        </w:tc>
        <w:tc>
          <w:tcPr>
            <w:tcW w:type="dxa" w:w="1080"/>
          </w:tcPr>
          <w:p>
            <w:pPr>
              <w:spacing w:before="16" w:after="16" w:line="240" w:lineRule="auto"/>
              <w:jc w:val="center"/>
            </w:pPr>
            <w:r>
              <w:rPr>
                <w:rFonts w:ascii="Times New Roman" w:hAnsi="Times New Roman"/>
                <w:sz w:val="14"/>
              </w:rPr>
              <w:t>CRITICAL</w:t>
            </w:r>
          </w:p>
        </w:tc>
        <w:tc>
          <w:tcPr>
            <w:tcW w:type="dxa" w:w="936"/>
          </w:tcPr>
          <w:p>
            <w:pPr>
              <w:spacing w:before="16" w:after="16" w:line="240" w:lineRule="auto"/>
              <w:jc w:val="center"/>
            </w:pPr>
            <w:r>
              <w:rPr>
                <w:rFonts w:ascii="Times New Roman" w:hAnsi="Times New Roman"/>
                <w:sz w:val="14"/>
              </w:rPr>
              <w:t>77.8%</w:t>
            </w:r>
          </w:p>
        </w:tc>
        <w:tc>
          <w:tcPr>
            <w:tcW w:type="dxa" w:w="936"/>
          </w:tcPr>
          <w:p>
            <w:pPr>
              <w:spacing w:before="16" w:after="16" w:line="240" w:lineRule="auto"/>
              <w:jc w:val="center"/>
            </w:pPr>
            <w:r>
              <w:rPr>
                <w:rFonts w:ascii="Times New Roman" w:hAnsi="Times New Roman"/>
                <w:sz w:val="14"/>
              </w:rPr>
              <w:t>77.8%</w:t>
            </w:r>
          </w:p>
        </w:tc>
        <w:tc>
          <w:tcPr>
            <w:tcW w:type="dxa" w:w="936"/>
          </w:tcPr>
          <w:p>
            <w:pPr>
              <w:spacing w:before="16" w:after="16" w:line="240" w:lineRule="auto"/>
              <w:jc w:val="center"/>
            </w:pPr>
            <w:r>
              <w:rPr>
                <w:rFonts w:ascii="Times New Roman" w:hAnsi="Times New Roman"/>
                <w:sz w:val="14"/>
              </w:rPr>
              <w:t>77.8%</w:t>
            </w:r>
          </w:p>
        </w:tc>
      </w:tr>
      <w:tr>
        <w:trPr>
          <w:cantSplit/>
        </w:trPr>
        <w:tc>
          <w:tcPr>
            <w:tcW w:type="dxa" w:w="936"/>
          </w:tcPr>
          <w:p>
            <w:pPr>
              <w:spacing w:before="16" w:after="16" w:line="240" w:lineRule="auto"/>
              <w:jc w:val="left"/>
            </w:pPr>
            <w:r>
              <w:rPr>
                <w:rFonts w:ascii="Times New Roman" w:hAnsi="Times New Roman"/>
                <w:sz w:val="14"/>
              </w:rPr>
              <w:t>1D-CNN</w:t>
            </w:r>
          </w:p>
        </w:tc>
        <w:tc>
          <w:tcPr>
            <w:tcW w:type="dxa" w:w="1080"/>
          </w:tcPr>
          <w:p>
            <w:pPr>
              <w:spacing w:before="16" w:after="16" w:line="240" w:lineRule="auto"/>
              <w:jc w:val="center"/>
            </w:pPr>
            <w:r>
              <w:rPr>
                <w:rFonts w:ascii="Times New Roman" w:hAnsi="Times New Roman"/>
                <w:sz w:val="14"/>
              </w:rPr>
              <w:t>LOW</w:t>
            </w:r>
          </w:p>
        </w:tc>
        <w:tc>
          <w:tcPr>
            <w:tcW w:type="dxa" w:w="936"/>
          </w:tcPr>
          <w:p>
            <w:pPr>
              <w:spacing w:before="16" w:after="16" w:line="240" w:lineRule="auto"/>
              <w:jc w:val="center"/>
            </w:pPr>
            <w:r>
              <w:rPr>
                <w:rFonts w:ascii="Times New Roman" w:hAnsi="Times New Roman"/>
                <w:sz w:val="14"/>
              </w:rPr>
              <w:t>45.5%</w:t>
            </w:r>
          </w:p>
        </w:tc>
        <w:tc>
          <w:tcPr>
            <w:tcW w:type="dxa" w:w="936"/>
          </w:tcPr>
          <w:p>
            <w:pPr>
              <w:spacing w:before="16" w:after="16" w:line="240" w:lineRule="auto"/>
              <w:jc w:val="center"/>
            </w:pPr>
            <w:r>
              <w:rPr>
                <w:rFonts w:ascii="Times New Roman" w:hAnsi="Times New Roman"/>
                <w:sz w:val="14"/>
              </w:rPr>
              <w:t>45.5%</w:t>
            </w:r>
          </w:p>
        </w:tc>
        <w:tc>
          <w:tcPr>
            <w:tcW w:type="dxa" w:w="936"/>
          </w:tcPr>
          <w:p>
            <w:pPr>
              <w:spacing w:before="16" w:after="16" w:line="240" w:lineRule="auto"/>
              <w:jc w:val="center"/>
            </w:pPr>
            <w:r>
              <w:rPr>
                <w:rFonts w:ascii="Times New Roman" w:hAnsi="Times New Roman"/>
                <w:sz w:val="14"/>
              </w:rPr>
              <w:t>45.5%</w:t>
            </w:r>
          </w:p>
        </w:tc>
      </w:tr>
      <w:tr>
        <w:trPr>
          <w:cantSplit/>
        </w:trPr>
        <w:tc>
          <w:tcPr>
            <w:tcW w:type="dxa" w:w="936"/>
          </w:tcPr>
          <w:p>
            <w:pPr>
              <w:spacing w:before="16" w:after="16" w:line="240" w:lineRule="auto"/>
              <w:jc w:val="left"/>
            </w:pPr>
            <w:r>
              <w:rPr>
                <w:rFonts w:ascii="Times New Roman" w:hAnsi="Times New Roman"/>
                <w:sz w:val="14"/>
              </w:rPr>
            </w:r>
          </w:p>
        </w:tc>
        <w:tc>
          <w:tcPr>
            <w:tcW w:type="dxa" w:w="1080"/>
          </w:tcPr>
          <w:p>
            <w:pPr>
              <w:spacing w:before="16" w:after="16" w:line="240" w:lineRule="auto"/>
              <w:jc w:val="center"/>
            </w:pPr>
            <w:r>
              <w:rPr>
                <w:rFonts w:ascii="Times New Roman" w:hAnsi="Times New Roman"/>
                <w:sz w:val="14"/>
              </w:rPr>
              <w:t>MEDIUM</w:t>
            </w:r>
          </w:p>
        </w:tc>
        <w:tc>
          <w:tcPr>
            <w:tcW w:type="dxa" w:w="936"/>
          </w:tcPr>
          <w:p>
            <w:pPr>
              <w:spacing w:before="16" w:after="16" w:line="240" w:lineRule="auto"/>
              <w:jc w:val="center"/>
            </w:pPr>
            <w:r>
              <w:rPr>
                <w:rFonts w:ascii="Times New Roman" w:hAnsi="Times New Roman"/>
                <w:sz w:val="14"/>
              </w:rPr>
              <w:t>64.2%</w:t>
            </w:r>
          </w:p>
        </w:tc>
        <w:tc>
          <w:tcPr>
            <w:tcW w:type="dxa" w:w="936"/>
          </w:tcPr>
          <w:p>
            <w:pPr>
              <w:spacing w:before="16" w:after="16" w:line="240" w:lineRule="auto"/>
              <w:jc w:val="center"/>
            </w:pPr>
            <w:r>
              <w:rPr>
                <w:rFonts w:ascii="Times New Roman" w:hAnsi="Times New Roman"/>
                <w:sz w:val="14"/>
              </w:rPr>
              <w:t>82.4%</w:t>
            </w:r>
          </w:p>
        </w:tc>
        <w:tc>
          <w:tcPr>
            <w:tcW w:type="dxa" w:w="936"/>
          </w:tcPr>
          <w:p>
            <w:pPr>
              <w:spacing w:before="16" w:after="16" w:line="240" w:lineRule="auto"/>
              <w:jc w:val="center"/>
            </w:pPr>
            <w:r>
              <w:rPr>
                <w:rFonts w:ascii="Times New Roman" w:hAnsi="Times New Roman"/>
                <w:sz w:val="14"/>
              </w:rPr>
              <w:t>72.2%</w:t>
            </w:r>
          </w:p>
        </w:tc>
      </w:tr>
      <w:tr>
        <w:trPr>
          <w:cantSplit/>
        </w:trPr>
        <w:tc>
          <w:tcPr>
            <w:tcW w:type="dxa" w:w="936"/>
          </w:tcPr>
          <w:p>
            <w:pPr>
              <w:spacing w:before="16" w:after="16" w:line="240" w:lineRule="auto"/>
              <w:jc w:val="left"/>
            </w:pPr>
            <w:r>
              <w:rPr>
                <w:rFonts w:ascii="Times New Roman" w:hAnsi="Times New Roman"/>
                <w:sz w:val="14"/>
              </w:rPr>
            </w:r>
          </w:p>
        </w:tc>
        <w:tc>
          <w:tcPr>
            <w:tcW w:type="dxa" w:w="1080"/>
          </w:tcPr>
          <w:p>
            <w:pPr>
              <w:spacing w:before="16" w:after="16" w:line="240" w:lineRule="auto"/>
              <w:jc w:val="center"/>
            </w:pPr>
            <w:r>
              <w:rPr>
                <w:rFonts w:ascii="Times New Roman" w:hAnsi="Times New Roman"/>
                <w:sz w:val="14"/>
              </w:rPr>
              <w:t>HIGH</w:t>
            </w:r>
          </w:p>
        </w:tc>
        <w:tc>
          <w:tcPr>
            <w:tcW w:type="dxa" w:w="936"/>
          </w:tcPr>
          <w:p>
            <w:pPr>
              <w:spacing w:before="16" w:after="16" w:line="240" w:lineRule="auto"/>
              <w:jc w:val="center"/>
            </w:pPr>
            <w:r>
              <w:rPr>
                <w:rFonts w:ascii="Times New Roman" w:hAnsi="Times New Roman"/>
                <w:sz w:val="14"/>
              </w:rPr>
              <w:t>79.1%</w:t>
            </w:r>
          </w:p>
        </w:tc>
        <w:tc>
          <w:tcPr>
            <w:tcW w:type="dxa" w:w="936"/>
          </w:tcPr>
          <w:p>
            <w:pPr>
              <w:spacing w:before="16" w:after="16" w:line="240" w:lineRule="auto"/>
              <w:jc w:val="center"/>
            </w:pPr>
            <w:r>
              <w:rPr>
                <w:rFonts w:ascii="Times New Roman" w:hAnsi="Times New Roman"/>
                <w:sz w:val="14"/>
              </w:rPr>
              <w:t>54.0%</w:t>
            </w:r>
          </w:p>
        </w:tc>
        <w:tc>
          <w:tcPr>
            <w:tcW w:type="dxa" w:w="936"/>
          </w:tcPr>
          <w:p>
            <w:pPr>
              <w:spacing w:before="16" w:after="16" w:line="240" w:lineRule="auto"/>
              <w:jc w:val="center"/>
            </w:pPr>
            <w:r>
              <w:rPr>
                <w:rFonts w:ascii="Times New Roman" w:hAnsi="Times New Roman"/>
                <w:sz w:val="14"/>
              </w:rPr>
              <w:t>64.2%</w:t>
            </w:r>
          </w:p>
        </w:tc>
      </w:tr>
      <w:tr>
        <w:trPr>
          <w:cantSplit/>
        </w:trPr>
        <w:tc>
          <w:tcPr>
            <w:tcW w:type="dxa" w:w="936"/>
          </w:tcPr>
          <w:p>
            <w:pPr>
              <w:spacing w:before="16" w:after="16" w:line="240" w:lineRule="auto"/>
              <w:jc w:val="left"/>
            </w:pPr>
            <w:r>
              <w:rPr>
                <w:rFonts w:ascii="Times New Roman" w:hAnsi="Times New Roman"/>
                <w:sz w:val="14"/>
              </w:rPr>
            </w:r>
          </w:p>
        </w:tc>
        <w:tc>
          <w:tcPr>
            <w:tcW w:type="dxa" w:w="1080"/>
          </w:tcPr>
          <w:p>
            <w:pPr>
              <w:spacing w:before="16" w:after="16" w:line="240" w:lineRule="auto"/>
              <w:jc w:val="center"/>
            </w:pPr>
            <w:r>
              <w:rPr>
                <w:rFonts w:ascii="Times New Roman" w:hAnsi="Times New Roman"/>
                <w:sz w:val="14"/>
              </w:rPr>
              <w:t>CRITICAL</w:t>
            </w:r>
          </w:p>
        </w:tc>
        <w:tc>
          <w:tcPr>
            <w:tcW w:type="dxa" w:w="936"/>
          </w:tcPr>
          <w:p>
            <w:pPr>
              <w:spacing w:before="16" w:after="16" w:line="240" w:lineRule="auto"/>
              <w:jc w:val="center"/>
            </w:pPr>
            <w:r>
              <w:rPr>
                <w:rFonts w:ascii="Times New Roman" w:hAnsi="Times New Roman"/>
                <w:sz w:val="14"/>
              </w:rPr>
              <w:t>50.0%</w:t>
            </w:r>
          </w:p>
        </w:tc>
        <w:tc>
          <w:tcPr>
            <w:tcW w:type="dxa" w:w="936"/>
          </w:tcPr>
          <w:p>
            <w:pPr>
              <w:spacing w:before="16" w:after="16" w:line="240" w:lineRule="auto"/>
              <w:jc w:val="center"/>
            </w:pPr>
            <w:r>
              <w:rPr>
                <w:rFonts w:ascii="Times New Roman" w:hAnsi="Times New Roman"/>
                <w:sz w:val="14"/>
              </w:rPr>
              <w:t>44.4%</w:t>
            </w:r>
          </w:p>
        </w:tc>
        <w:tc>
          <w:tcPr>
            <w:tcW w:type="dxa" w:w="936"/>
          </w:tcPr>
          <w:p>
            <w:pPr>
              <w:spacing w:before="16" w:after="16" w:line="240" w:lineRule="auto"/>
              <w:jc w:val="center"/>
            </w:pPr>
            <w:r>
              <w:rPr>
                <w:rFonts w:ascii="Times New Roman" w:hAnsi="Times New Roman"/>
                <w:sz w:val="14"/>
              </w:rPr>
              <w:t>47.1%</w:t>
            </w:r>
          </w:p>
        </w:tc>
      </w:tr>
      <w:tr>
        <w:trPr>
          <w:cantSplit/>
        </w:trPr>
        <w:tc>
          <w:tcPr>
            <w:tcW w:type="dxa" w:w="936"/>
          </w:tcPr>
          <w:p>
            <w:pPr>
              <w:spacing w:before="16" w:after="16" w:line="240" w:lineRule="auto"/>
              <w:jc w:val="left"/>
            </w:pPr>
            <w:r>
              <w:rPr>
                <w:rFonts w:ascii="Times New Roman" w:hAnsi="Times New Roman"/>
                <w:sz w:val="14"/>
              </w:rPr>
              <w:t>RNN</w:t>
            </w:r>
          </w:p>
        </w:tc>
        <w:tc>
          <w:tcPr>
            <w:tcW w:type="dxa" w:w="1080"/>
          </w:tcPr>
          <w:p>
            <w:pPr>
              <w:spacing w:before="16" w:after="16" w:line="240" w:lineRule="auto"/>
              <w:jc w:val="center"/>
            </w:pPr>
            <w:r>
              <w:rPr>
                <w:rFonts w:ascii="Times New Roman" w:hAnsi="Times New Roman"/>
                <w:sz w:val="14"/>
              </w:rPr>
              <w:t>LOW</w:t>
            </w:r>
          </w:p>
        </w:tc>
        <w:tc>
          <w:tcPr>
            <w:tcW w:type="dxa" w:w="936"/>
          </w:tcPr>
          <w:p>
            <w:pPr>
              <w:spacing w:before="16" w:after="16" w:line="240" w:lineRule="auto"/>
              <w:jc w:val="center"/>
            </w:pPr>
            <w:r>
              <w:rPr>
                <w:rFonts w:ascii="Times New Roman" w:hAnsi="Times New Roman"/>
                <w:sz w:val="14"/>
              </w:rPr>
              <w:t>13.5%</w:t>
            </w:r>
          </w:p>
        </w:tc>
        <w:tc>
          <w:tcPr>
            <w:tcW w:type="dxa" w:w="936"/>
          </w:tcPr>
          <w:p>
            <w:pPr>
              <w:spacing w:before="16" w:after="16" w:line="240" w:lineRule="auto"/>
              <w:jc w:val="center"/>
            </w:pPr>
            <w:r>
              <w:rPr>
                <w:rFonts w:ascii="Times New Roman" w:hAnsi="Times New Roman"/>
                <w:sz w:val="14"/>
              </w:rPr>
              <w:t>45.5%</w:t>
            </w:r>
          </w:p>
        </w:tc>
        <w:tc>
          <w:tcPr>
            <w:tcW w:type="dxa" w:w="936"/>
          </w:tcPr>
          <w:p>
            <w:pPr>
              <w:spacing w:before="16" w:after="16" w:line="240" w:lineRule="auto"/>
              <w:jc w:val="center"/>
            </w:pPr>
            <w:r>
              <w:rPr>
                <w:rFonts w:ascii="Times New Roman" w:hAnsi="Times New Roman"/>
                <w:sz w:val="14"/>
              </w:rPr>
              <w:t>20.8%</w:t>
            </w:r>
          </w:p>
        </w:tc>
      </w:tr>
      <w:tr>
        <w:trPr>
          <w:cantSplit/>
        </w:trPr>
        <w:tc>
          <w:tcPr>
            <w:tcW w:type="dxa" w:w="936"/>
          </w:tcPr>
          <w:p>
            <w:pPr>
              <w:spacing w:before="16" w:after="16" w:line="240" w:lineRule="auto"/>
              <w:jc w:val="left"/>
            </w:pPr>
            <w:r>
              <w:rPr>
                <w:rFonts w:ascii="Times New Roman" w:hAnsi="Times New Roman"/>
                <w:sz w:val="14"/>
              </w:rPr>
            </w:r>
          </w:p>
        </w:tc>
        <w:tc>
          <w:tcPr>
            <w:tcW w:type="dxa" w:w="1080"/>
          </w:tcPr>
          <w:p>
            <w:pPr>
              <w:spacing w:before="16" w:after="16" w:line="240" w:lineRule="auto"/>
              <w:jc w:val="center"/>
            </w:pPr>
            <w:r>
              <w:rPr>
                <w:rFonts w:ascii="Times New Roman" w:hAnsi="Times New Roman"/>
                <w:sz w:val="14"/>
              </w:rPr>
              <w:t>MEDIUM</w:t>
            </w:r>
          </w:p>
        </w:tc>
        <w:tc>
          <w:tcPr>
            <w:tcW w:type="dxa" w:w="936"/>
          </w:tcPr>
          <w:p>
            <w:pPr>
              <w:spacing w:before="16" w:after="16" w:line="240" w:lineRule="auto"/>
              <w:jc w:val="center"/>
            </w:pPr>
            <w:r>
              <w:rPr>
                <w:rFonts w:ascii="Times New Roman" w:hAnsi="Times New Roman"/>
                <w:sz w:val="14"/>
              </w:rPr>
              <w:t>53.6%</w:t>
            </w:r>
          </w:p>
        </w:tc>
        <w:tc>
          <w:tcPr>
            <w:tcW w:type="dxa" w:w="936"/>
          </w:tcPr>
          <w:p>
            <w:pPr>
              <w:spacing w:before="16" w:after="16" w:line="240" w:lineRule="auto"/>
              <w:jc w:val="center"/>
            </w:pPr>
            <w:r>
              <w:rPr>
                <w:rFonts w:ascii="Times New Roman" w:hAnsi="Times New Roman"/>
                <w:sz w:val="14"/>
              </w:rPr>
              <w:t>40.5%</w:t>
            </w:r>
          </w:p>
        </w:tc>
        <w:tc>
          <w:tcPr>
            <w:tcW w:type="dxa" w:w="936"/>
          </w:tcPr>
          <w:p>
            <w:pPr>
              <w:spacing w:before="16" w:after="16" w:line="240" w:lineRule="auto"/>
              <w:jc w:val="center"/>
            </w:pPr>
            <w:r>
              <w:rPr>
                <w:rFonts w:ascii="Times New Roman" w:hAnsi="Times New Roman"/>
                <w:sz w:val="14"/>
              </w:rPr>
              <w:t>46.2%</w:t>
            </w:r>
          </w:p>
        </w:tc>
      </w:tr>
      <w:tr>
        <w:trPr>
          <w:cantSplit/>
        </w:trPr>
        <w:tc>
          <w:tcPr>
            <w:tcW w:type="dxa" w:w="936"/>
          </w:tcPr>
          <w:p>
            <w:pPr>
              <w:spacing w:before="16" w:after="16" w:line="240" w:lineRule="auto"/>
              <w:jc w:val="left"/>
            </w:pPr>
            <w:r>
              <w:rPr>
                <w:rFonts w:ascii="Times New Roman" w:hAnsi="Times New Roman"/>
                <w:sz w:val="14"/>
              </w:rPr>
            </w:r>
          </w:p>
        </w:tc>
        <w:tc>
          <w:tcPr>
            <w:tcW w:type="dxa" w:w="1080"/>
          </w:tcPr>
          <w:p>
            <w:pPr>
              <w:spacing w:before="16" w:after="16" w:line="240" w:lineRule="auto"/>
              <w:jc w:val="center"/>
            </w:pPr>
            <w:r>
              <w:rPr>
                <w:rFonts w:ascii="Times New Roman" w:hAnsi="Times New Roman"/>
                <w:sz w:val="14"/>
              </w:rPr>
              <w:t>HIGH</w:t>
            </w:r>
          </w:p>
        </w:tc>
        <w:tc>
          <w:tcPr>
            <w:tcW w:type="dxa" w:w="936"/>
          </w:tcPr>
          <w:p>
            <w:pPr>
              <w:spacing w:before="16" w:after="16" w:line="240" w:lineRule="auto"/>
              <w:jc w:val="center"/>
            </w:pPr>
            <w:r>
              <w:rPr>
                <w:rFonts w:ascii="Times New Roman" w:hAnsi="Times New Roman"/>
                <w:sz w:val="14"/>
              </w:rPr>
              <w:t>60.7%</w:t>
            </w:r>
          </w:p>
        </w:tc>
        <w:tc>
          <w:tcPr>
            <w:tcW w:type="dxa" w:w="936"/>
          </w:tcPr>
          <w:p>
            <w:pPr>
              <w:spacing w:before="16" w:after="16" w:line="240" w:lineRule="auto"/>
              <w:jc w:val="center"/>
            </w:pPr>
            <w:r>
              <w:rPr>
                <w:rFonts w:ascii="Times New Roman" w:hAnsi="Times New Roman"/>
                <w:sz w:val="14"/>
              </w:rPr>
              <w:t>54.0%</w:t>
            </w:r>
          </w:p>
        </w:tc>
        <w:tc>
          <w:tcPr>
            <w:tcW w:type="dxa" w:w="936"/>
          </w:tcPr>
          <w:p>
            <w:pPr>
              <w:spacing w:before="16" w:after="16" w:line="240" w:lineRule="auto"/>
              <w:jc w:val="center"/>
            </w:pPr>
            <w:r>
              <w:rPr>
                <w:rFonts w:ascii="Times New Roman" w:hAnsi="Times New Roman"/>
                <w:sz w:val="14"/>
              </w:rPr>
              <w:t>57.1%</w:t>
            </w:r>
          </w:p>
        </w:tc>
      </w:tr>
      <w:tr>
        <w:trPr>
          <w:cantSplit/>
        </w:trPr>
        <w:tc>
          <w:tcPr>
            <w:tcW w:type="dxa" w:w="936"/>
          </w:tcPr>
          <w:p>
            <w:pPr>
              <w:spacing w:before="16" w:after="16" w:line="240" w:lineRule="auto"/>
              <w:jc w:val="left"/>
            </w:pPr>
            <w:r>
              <w:rPr>
                <w:rFonts w:ascii="Times New Roman" w:hAnsi="Times New Roman"/>
                <w:sz w:val="14"/>
              </w:rPr>
            </w:r>
          </w:p>
        </w:tc>
        <w:tc>
          <w:tcPr>
            <w:tcW w:type="dxa" w:w="1080"/>
          </w:tcPr>
          <w:p>
            <w:pPr>
              <w:spacing w:before="16" w:after="16" w:line="240" w:lineRule="auto"/>
              <w:jc w:val="center"/>
            </w:pPr>
            <w:r>
              <w:rPr>
                <w:rFonts w:ascii="Times New Roman" w:hAnsi="Times New Roman"/>
                <w:sz w:val="14"/>
              </w:rPr>
              <w:t>CRITICAL</w:t>
            </w:r>
          </w:p>
        </w:tc>
        <w:tc>
          <w:tcPr>
            <w:tcW w:type="dxa" w:w="936"/>
          </w:tcPr>
          <w:p>
            <w:pPr>
              <w:spacing w:before="16" w:after="16" w:line="240" w:lineRule="auto"/>
              <w:jc w:val="center"/>
            </w:pPr>
            <w:r>
              <w:rPr>
                <w:rFonts w:ascii="Times New Roman" w:hAnsi="Times New Roman"/>
                <w:sz w:val="14"/>
              </w:rPr>
              <w:t>12.5%</w:t>
            </w:r>
          </w:p>
        </w:tc>
        <w:tc>
          <w:tcPr>
            <w:tcW w:type="dxa" w:w="936"/>
          </w:tcPr>
          <w:p>
            <w:pPr>
              <w:spacing w:before="16" w:after="16" w:line="240" w:lineRule="auto"/>
              <w:jc w:val="center"/>
            </w:pPr>
            <w:r>
              <w:rPr>
                <w:rFonts w:ascii="Times New Roman" w:hAnsi="Times New Roman"/>
                <w:sz w:val="14"/>
              </w:rPr>
              <w:t>11.1%</w:t>
            </w:r>
          </w:p>
        </w:tc>
        <w:tc>
          <w:tcPr>
            <w:tcW w:type="dxa" w:w="936"/>
          </w:tcPr>
          <w:p>
            <w:pPr>
              <w:spacing w:before="16" w:after="16" w:line="240" w:lineRule="auto"/>
              <w:jc w:val="center"/>
            </w:pPr>
            <w:r>
              <w:rPr>
                <w:rFonts w:ascii="Times New Roman" w:hAnsi="Times New Roman"/>
                <w:sz w:val="14"/>
              </w:rPr>
              <w:t>11.8%</w:t>
            </w:r>
          </w:p>
        </w:tc>
      </w:tr>
    </w:tbl>
    <w:p>
      <w:pPr>
        <w:spacing w:before="0" w:after="50"/>
      </w:pPr>
    </w:p>
    <w:p>
      <w:pPr>
        <w:keepNext/>
        <w:spacing w:before="60" w:after="30"/>
        <w:jc w:val="center"/>
      </w:pPr>
      <w:r>
        <w:drawing>
          <wp:inline xmlns:a="http://schemas.openxmlformats.org/drawingml/2006/main" xmlns:pic="http://schemas.openxmlformats.org/drawingml/2006/picture">
            <wp:extent cx="3063240" cy="1696564"/>
            <wp:docPr id="4" name="Picture 4"/>
            <wp:cNvGraphicFramePr>
              <a:graphicFrameLocks noChangeAspect="1"/>
            </wp:cNvGraphicFramePr>
            <a:graphic>
              <a:graphicData uri="http://schemas.openxmlformats.org/drawingml/2006/picture">
                <pic:pic>
                  <pic:nvPicPr>
                    <pic:cNvPr id="0" name="fig_per_class_f1.png"/>
                    <pic:cNvPicPr/>
                  </pic:nvPicPr>
                  <pic:blipFill>
                    <a:blip r:embed="rId12"/>
                    <a:stretch>
                      <a:fillRect/>
                    </a:stretch>
                  </pic:blipFill>
                  <pic:spPr>
                    <a:xfrm>
                      <a:off x="0" y="0"/>
                      <a:ext cx="3063240" cy="1696564"/>
                    </a:xfrm>
                    <a:prstGeom prst="rect"/>
                  </pic:spPr>
                </pic:pic>
              </a:graphicData>
            </a:graphic>
          </wp:inline>
        </w:drawing>
      </w:r>
    </w:p>
    <w:p>
      <w:pPr>
        <w:keepNext w:val="0"/>
        <w:spacing w:before="20" w:after="80"/>
        <w:jc w:val="center"/>
      </w:pPr>
      <w:r>
        <w:rPr>
          <w:rFonts w:ascii="Times New Roman" w:hAnsi="Times New Roman"/>
          <w:i/>
          <w:sz w:val="16"/>
        </w:rPr>
        <w:t>Fig. 4. Per-class F1 score comparison demonstrating XGBoost resilience across all tiers.</w:t>
      </w:r>
    </w:p>
    <w:p>
      <w:pPr>
        <w:spacing w:before="0" w:after="40" w:line="240" w:lineRule="auto"/>
        <w:jc w:val="both"/>
      </w:pPr>
      <w:r>
        <w:rPr>
          <w:rFonts w:ascii="Times New Roman" w:hAnsi="Times New Roman"/>
          <w:sz w:val="19"/>
        </w:rPr>
        <w:t>The confusion matrix for XGBoost across the test set (ordered LOW, MED, HIGH, CRIT) demonstrates favorable adjacent-boundary classification:</w:t>
      </w:r>
    </w:p>
    <w:p>
      <w:pPr>
        <w:keepNext/>
        <w:spacing w:before="50" w:after="50"/>
        <w:jc w:val="center"/>
      </w:pPr>
      <w:r>
        <w:rPr>
          <w:rFonts w:ascii="Times New Roman" w:hAnsi="Times New Roman"/>
          <w:i/>
          <w:sz w:val="18"/>
        </w:rPr>
        <w:t>M_XGB = [[9, 2, 0, 0], [4, 68, 2, 0], [1, 4, 56, 2], [1, 1, 1, 7]]</w:t>
      </w:r>
      <w:r>
        <w:t xml:space="preserve">      </w:t>
      </w:r>
      <w:r>
        <w:rPr>
          <w:rFonts w:ascii="Times New Roman" w:hAnsi="Times New Roman"/>
          <w:b w:val="0"/>
          <w:sz w:val="18"/>
        </w:rPr>
        <w:t>(11)</w:t>
      </w:r>
    </w:p>
    <w:p>
      <w:pPr>
        <w:spacing w:before="0" w:after="40" w:line="240" w:lineRule="auto"/>
        <w:jc w:val="both"/>
      </w:pPr>
      <w:r>
        <w:rPr>
          <w:rFonts w:ascii="Times New Roman" w:hAnsi="Times New Roman"/>
          <w:sz w:val="19"/>
        </w:rPr>
        <w:t>Of 17 misclassifications, 14 occurred between directly adjacent severity categories (e.g., MEDIUM misclassified as LOW), minimizing severe operational triage errors.</w:t>
      </w:r>
    </w:p>
    <w:p>
      <w:pPr>
        <w:keepNext/>
        <w:spacing w:before="100" w:after="30" w:line="240" w:lineRule="auto"/>
        <w:jc w:val="left"/>
      </w:pPr>
      <w:r>
        <w:rPr>
          <w:rFonts w:ascii="Times New Roman" w:hAnsi="Times New Roman"/>
          <w:b/>
          <w:i/>
          <w:sz w:val="19"/>
        </w:rPr>
        <w:t>D. Tabular Bias Analysis &amp; Operational Status</w:t>
      </w:r>
    </w:p>
    <w:p>
      <w:pPr>
        <w:spacing w:before="0" w:after="40" w:line="240" w:lineRule="auto"/>
        <w:jc w:val="both"/>
      </w:pPr>
      <w:r>
        <w:rPr>
          <w:rFonts w:ascii="Times New Roman" w:hAnsi="Times New Roman"/>
          <w:sz w:val="19"/>
        </w:rPr>
        <w:t>The performance advantage of XGBoost over neural architectures (89.2% vs 66.2% for 1D-CNN and 48.4% for Transformer) aligns with empirical tabular literature [8]. Neural attention and recurrent layers assume implicit spatial or temporal continuity, whereas DataClasses represents an unordered, sparse categorical space optimal for orthogonal tree splits.</w:t>
      </w:r>
    </w:p>
    <w:p>
      <w:pPr>
        <w:spacing w:before="0" w:after="40" w:line="240" w:lineRule="auto"/>
        <w:jc w:val="both"/>
      </w:pPr>
      <w:r>
        <w:rPr>
          <w:rFonts w:ascii="Times New Roman" w:hAnsi="Times New Roman"/>
          <w:sz w:val="19"/>
        </w:rPr>
        <w:t>Operational Integration Clarification: XGBoost was evaluated experimentally but is retained as an offline research artifact due to tabular feature contract mismatch in raw text scrapes. Production relies on the regex risk engine alongside live UrlBERT [11]-[13].</w:t>
      </w:r>
    </w:p>
    <w:p>
      <w:pPr>
        <w:keepNext/>
        <w:spacing w:before="140" w:after="40" w:line="240" w:lineRule="auto"/>
        <w:jc w:val="center"/>
      </w:pPr>
      <w:r>
        <w:rPr>
          <w:rFonts w:ascii="Times New Roman" w:hAnsi="Times New Roman"/>
          <w:b/>
          <w:sz w:val="19"/>
        </w:rPr>
        <w:t>VII. SECURITY ANALYSIS</w:t>
      </w:r>
    </w:p>
    <w:p>
      <w:pPr>
        <w:keepNext/>
        <w:spacing w:before="100" w:after="30" w:line="240" w:lineRule="auto"/>
        <w:jc w:val="left"/>
      </w:pPr>
      <w:r>
        <w:rPr>
          <w:rFonts w:ascii="Times New Roman" w:hAnsi="Times New Roman"/>
          <w:b/>
          <w:i/>
          <w:sz w:val="19"/>
        </w:rPr>
        <w:t>A. Query Privacy &amp; Bulk Enumeration Resistance</w:t>
      </w:r>
    </w:p>
    <w:p>
      <w:pPr>
        <w:spacing w:before="0" w:after="40" w:line="240" w:lineRule="auto"/>
        <w:jc w:val="both"/>
      </w:pPr>
      <w:r>
        <w:rPr>
          <w:rFonts w:ascii="Times New Roman" w:hAnsi="Times New Roman"/>
          <w:sz w:val="19"/>
        </w:rPr>
        <w:t>Against external eavesdroppers (A1), target T is protected by client-side Web Crypto SHA-256 hashing. Recovering T requires inverting 236 bits of suffix entropy, which is computationally infeasible.</w:t>
      </w:r>
    </w:p>
    <w:p>
      <w:pPr>
        <w:spacing w:before="0" w:after="40" w:line="240" w:lineRule="auto"/>
        <w:jc w:val="both"/>
      </w:pPr>
      <w:r>
        <w:rPr>
          <w:rFonts w:ascii="Times New Roman" w:hAnsi="Times New Roman"/>
          <w:sz w:val="19"/>
        </w:rPr>
        <w:t>Against malicious scrapers (A2), unauthenticated requests are rejected with 401 Unauthorized, and authGuard validates the identity binding:</w:t>
      </w:r>
    </w:p>
    <w:p>
      <w:pPr>
        <w:keepNext/>
        <w:spacing w:before="50" w:after="50"/>
        <w:jc w:val="center"/>
      </w:pPr>
      <w:r>
        <w:rPr>
          <w:rFonts w:ascii="Times New Roman" w:hAnsi="Times New Roman"/>
          <w:i/>
          <w:sz w:val="18"/>
        </w:rPr>
        <w:t>SHA-256(normalize(T_query))[0:5] == P_query</w:t>
      </w:r>
      <w:r>
        <w:t xml:space="preserve">      </w:t>
      </w:r>
      <w:r>
        <w:rPr>
          <w:rFonts w:ascii="Times New Roman" w:hAnsi="Times New Roman"/>
          <w:b w:val="0"/>
          <w:sz w:val="18"/>
        </w:rPr>
        <w:t>(12)</w:t>
      </w:r>
    </w:p>
    <w:p>
      <w:pPr>
        <w:keepNext/>
        <w:spacing w:before="100" w:after="30" w:line="240" w:lineRule="auto"/>
        <w:jc w:val="left"/>
      </w:pPr>
      <w:r>
        <w:rPr>
          <w:rFonts w:ascii="Times New Roman" w:hAnsi="Times New Roman"/>
          <w:b/>
          <w:i/>
          <w:sz w:val="19"/>
        </w:rPr>
        <w:t>B. OTP &amp; Authentication Flow Security</w:t>
      </w:r>
    </w:p>
    <w:p>
      <w:pPr>
        <w:spacing w:before="0" w:after="40" w:line="240" w:lineRule="auto"/>
        <w:jc w:val="both"/>
      </w:pPr>
      <w:r>
        <w:rPr>
          <w:rFonts w:ascii="Times New Roman" w:hAnsi="Times New Roman"/>
          <w:sz w:val="19"/>
        </w:rPr>
        <w:t>Entropy space S = 9 x 10^5 possibilities (~19.78 bits), conforming to NIST SP 800-63B [14]. Guessing probability within 5 trials:</w:t>
      </w:r>
    </w:p>
    <w:p>
      <w:pPr>
        <w:keepNext/>
        <w:spacing w:before="50" w:after="50"/>
        <w:jc w:val="center"/>
      </w:pPr>
      <w:r>
        <w:rPr>
          <w:rFonts w:ascii="Times New Roman" w:hAnsi="Times New Roman"/>
          <w:i/>
          <w:sz w:val="18"/>
        </w:rPr>
        <w:t>P_guess &lt;= 5 / 900,000 ~= 5.56 x 10^-6</w:t>
      </w:r>
      <w:r>
        <w:t xml:space="preserve">      </w:t>
      </w:r>
      <w:r>
        <w:rPr>
          <w:rFonts w:ascii="Times New Roman" w:hAnsi="Times New Roman"/>
          <w:b w:val="0"/>
          <w:sz w:val="18"/>
        </w:rPr>
        <w:t>(13)</w:t>
      </w:r>
    </w:p>
    <w:p>
      <w:pPr>
        <w:spacing w:before="0" w:after="40" w:line="240" w:lineRule="auto"/>
        <w:jc w:val="both"/>
      </w:pPr>
      <w:r>
        <w:rPr>
          <w:rFonts w:ascii="Times New Roman" w:hAnsi="Times New Roman"/>
          <w:sz w:val="19"/>
        </w:rPr>
        <w:t>Secrets are stored as bcrypt hashes (cost=10), defending against database dump extraction (A3), with 300s TTL.</w:t>
      </w:r>
    </w:p>
    <w:p>
      <w:pPr>
        <w:keepNext/>
        <w:spacing w:before="100" w:after="30" w:line="240" w:lineRule="auto"/>
        <w:jc w:val="left"/>
      </w:pPr>
      <w:r>
        <w:rPr>
          <w:rFonts w:ascii="Times New Roman" w:hAnsi="Times New Roman"/>
          <w:b/>
          <w:i/>
          <w:sz w:val="19"/>
        </w:rPr>
        <w:t>C. Session Integrity &amp; Transport Security</w:t>
      </w:r>
    </w:p>
    <w:p>
      <w:pPr>
        <w:spacing w:before="0" w:after="40" w:line="240" w:lineRule="auto"/>
        <w:jc w:val="both"/>
      </w:pPr>
      <w:r>
        <w:rPr>
          <w:rFonts w:ascii="Times New Roman" w:hAnsi="Times New Roman"/>
          <w:sz w:val="19"/>
        </w:rPr>
        <w:t>JWTs are signed via HMAC-SHA256 according to RFC 7519 [15], encapsulated with 1h expiry and transmitted via HttpOnly, Secure, SameSite=Strict browser cookies:</w:t>
      </w:r>
    </w:p>
    <w:p>
      <w:pPr>
        <w:keepNext/>
        <w:spacing w:before="50" w:after="50"/>
        <w:jc w:val="center"/>
      </w:pPr>
      <w:r>
        <w:rPr>
          <w:rFonts w:ascii="Times New Roman" w:hAnsi="Times New Roman"/>
          <w:i/>
          <w:sz w:val="18"/>
        </w:rPr>
        <w:t>Claims = {target: T, verified: true, exp: t + 3600}</w:t>
      </w:r>
      <w:r>
        <w:t xml:space="preserve">      </w:t>
      </w:r>
      <w:r>
        <w:rPr>
          <w:rFonts w:ascii="Times New Roman" w:hAnsi="Times New Roman"/>
          <w:b w:val="0"/>
          <w:sz w:val="18"/>
        </w:rPr>
        <w:t>(14)</w:t>
      </w:r>
    </w:p>
    <w:p>
      <w:pPr>
        <w:keepNext/>
        <w:spacing w:before="100" w:after="30" w:line="240" w:lineRule="auto"/>
        <w:jc w:val="left"/>
      </w:pPr>
      <w:r>
        <w:rPr>
          <w:rFonts w:ascii="Times New Roman" w:hAnsi="Times New Roman"/>
          <w:b/>
          <w:i/>
          <w:sz w:val="19"/>
        </w:rPr>
        <w:t>D. Audit Log Integrity &amp; Non-Repudiation</w:t>
      </w:r>
    </w:p>
    <w:p>
      <w:pPr>
        <w:spacing w:before="0" w:after="40" w:line="240" w:lineRule="auto"/>
        <w:jc w:val="both"/>
      </w:pPr>
      <w:r>
        <w:rPr>
          <w:rFonts w:ascii="Times New Roman" w:hAnsi="Times New Roman"/>
          <w:sz w:val="19"/>
        </w:rPr>
        <w:t>Against insider tampering (A5), modifying event e_i' alters the canonical hash and propagates to the Merkle root:</w:t>
      </w:r>
    </w:p>
    <w:p>
      <w:pPr>
        <w:keepNext/>
        <w:spacing w:before="50" w:after="50"/>
        <w:jc w:val="center"/>
      </w:pPr>
      <w:r>
        <w:rPr>
          <w:rFonts w:ascii="Times New Roman" w:hAnsi="Times New Roman"/>
          <w:i/>
          <w:sz w:val="18"/>
        </w:rPr>
        <w:t>R' = MerkleRoot(e_1, ..., e_i', ..., e_M) != R</w:t>
      </w:r>
      <w:r>
        <w:t xml:space="preserve">      </w:t>
      </w:r>
      <w:r>
        <w:rPr>
          <w:rFonts w:ascii="Times New Roman" w:hAnsi="Times New Roman"/>
          <w:b w:val="0"/>
          <w:sz w:val="18"/>
        </w:rPr>
        <w:t>(15)</w:t>
      </w:r>
    </w:p>
    <w:p>
      <w:pPr>
        <w:spacing w:before="0" w:after="40" w:line="240" w:lineRule="auto"/>
        <w:jc w:val="both"/>
      </w:pPr>
      <w:r>
        <w:rPr>
          <w:rFonts w:ascii="Times New Roman" w:hAnsi="Times New Roman"/>
          <w:sz w:val="19"/>
        </w:rPr>
        <w:t>Because root R is anchored on-chain with block timestamp t_block, retrospective mutation produces a cryptographic mismatch:</w:t>
      </w:r>
    </w:p>
    <w:p>
      <w:pPr>
        <w:keepNext/>
        <w:spacing w:before="50" w:after="50"/>
        <w:jc w:val="center"/>
      </w:pPr>
      <w:r>
        <w:rPr>
          <w:rFonts w:ascii="Times New Roman" w:hAnsi="Times New Roman"/>
          <w:i/>
          <w:sz w:val="18"/>
        </w:rPr>
        <w:t>Verify(R', Proof_i, Registry[R]) == False</w:t>
      </w:r>
      <w:r>
        <w:t xml:space="preserve">      </w:t>
      </w:r>
      <w:r>
        <w:rPr>
          <w:rFonts w:ascii="Times New Roman" w:hAnsi="Times New Roman"/>
          <w:b w:val="0"/>
          <w:sz w:val="18"/>
        </w:rPr>
        <w:t>(16)</w:t>
      </w:r>
    </w:p>
    <w:p>
      <w:pPr>
        <w:keepNext/>
        <w:spacing w:before="140" w:after="40" w:line="240" w:lineRule="auto"/>
        <w:jc w:val="center"/>
      </w:pPr>
      <w:r>
        <w:rPr>
          <w:rFonts w:ascii="Times New Roman" w:hAnsi="Times New Roman"/>
          <w:b/>
          <w:sz w:val="19"/>
        </w:rPr>
        <w:t>VIII. PRIVACY ANALYSIS</w:t>
      </w:r>
    </w:p>
    <w:p>
      <w:pPr>
        <w:keepNext/>
        <w:spacing w:before="100" w:after="30" w:line="240" w:lineRule="auto"/>
        <w:jc w:val="left"/>
      </w:pPr>
      <w:r>
        <w:rPr>
          <w:rFonts w:ascii="Times New Roman" w:hAnsi="Times New Roman"/>
          <w:b/>
          <w:i/>
          <w:sz w:val="19"/>
        </w:rPr>
        <w:t>A. k-Anonymity Guarantees &amp; Prefix Disclosure</w:t>
      </w:r>
    </w:p>
    <w:p>
      <w:pPr>
        <w:spacing w:before="0" w:after="40" w:line="240" w:lineRule="auto"/>
        <w:jc w:val="both"/>
      </w:pPr>
      <w:r>
        <w:rPr>
          <w:rFonts w:ascii="Times New Roman" w:hAnsi="Times New Roman"/>
          <w:sz w:val="19"/>
        </w:rPr>
        <w:t>In BreachShield, disclosed quasi-identifier is 20-bit prefix P. The server identifies candidate subset:</w:t>
      </w:r>
    </w:p>
    <w:p>
      <w:pPr>
        <w:keepNext/>
        <w:spacing w:before="50" w:after="50"/>
        <w:jc w:val="center"/>
      </w:pPr>
      <w:r>
        <w:rPr>
          <w:rFonts w:ascii="Times New Roman" w:hAnsi="Times New Roman"/>
          <w:i/>
          <w:sz w:val="18"/>
        </w:rPr>
        <w:t>D_P = {r in D | SHA-256(normalize(r))[0:5] == P}</w:t>
      </w:r>
      <w:r>
        <w:t xml:space="preserve">      </w:t>
      </w:r>
      <w:r>
        <w:rPr>
          <w:rFonts w:ascii="Times New Roman" w:hAnsi="Times New Roman"/>
          <w:b w:val="0"/>
          <w:sz w:val="18"/>
        </w:rPr>
        <w:t>(17)</w:t>
      </w:r>
    </w:p>
    <w:p>
      <w:pPr>
        <w:spacing w:before="0" w:after="40" w:line="240" w:lineRule="auto"/>
        <w:jc w:val="both"/>
      </w:pPr>
      <w:r>
        <w:rPr>
          <w:rFonts w:ascii="Times New Roman" w:hAnsi="Times New Roman"/>
          <w:sz w:val="19"/>
        </w:rPr>
        <w:t>Anonymity set size k follows Poisson distribution with lambda = N / 2^20. For enterprise catalog of N = 5 x 10^7 records:</w:t>
      </w:r>
    </w:p>
    <w:p>
      <w:pPr>
        <w:keepNext/>
        <w:spacing w:before="50" w:after="50"/>
        <w:jc w:val="center"/>
      </w:pPr>
      <w:r>
        <w:rPr>
          <w:rFonts w:ascii="Times New Roman" w:hAnsi="Times New Roman"/>
          <w:i/>
          <w:sz w:val="18"/>
        </w:rPr>
        <w:t>E[k] = 50,000,000 / 1,048,576 ~= 47.68</w:t>
      </w:r>
      <w:r>
        <w:t xml:space="preserve">      </w:t>
      </w:r>
      <w:r>
        <w:rPr>
          <w:rFonts w:ascii="Times New Roman" w:hAnsi="Times New Roman"/>
          <w:b w:val="0"/>
          <w:sz w:val="18"/>
        </w:rPr>
        <w:t>(18)</w:t>
      </w:r>
    </w:p>
    <w:p>
      <w:pPr>
        <w:spacing w:before="0" w:after="40" w:line="240" w:lineRule="auto"/>
        <w:jc w:val="both"/>
      </w:pPr>
      <w:r>
        <w:rPr>
          <w:rFonts w:ascii="Times New Roman" w:hAnsi="Times New Roman"/>
          <w:sz w:val="19"/>
        </w:rPr>
        <w:t>The server cannot distinguish which of the ~48 candidate entries was queried.</w:t>
      </w:r>
    </w:p>
    <w:p>
      <w:pPr>
        <w:keepNext/>
        <w:spacing w:before="100" w:after="30" w:line="240" w:lineRule="auto"/>
        <w:jc w:val="left"/>
      </w:pPr>
      <w:r>
        <w:rPr>
          <w:rFonts w:ascii="Times New Roman" w:hAnsi="Times New Roman"/>
          <w:b/>
          <w:i/>
          <w:sz w:val="19"/>
        </w:rPr>
        <w:t>B. Identity Linkage &amp; Session Trade-offs</w:t>
      </w:r>
    </w:p>
    <w:p>
      <w:pPr>
        <w:spacing w:before="0" w:after="40" w:line="240" w:lineRule="auto"/>
        <w:jc w:val="both"/>
      </w:pPr>
      <w:r>
        <w:rPr>
          <w:rFonts w:ascii="Times New Roman" w:hAnsi="Times New Roman"/>
          <w:sz w:val="19"/>
        </w:rPr>
        <w:t>Because search queries are gated behind verified sessions to prevent scraping, the server possesses client's session identity T_auth and submitted prefix P_query. Accountable enumeration resistance is explicitly prioritized over complete query unlinkability.</w:t>
      </w:r>
    </w:p>
    <w:p>
      <w:pPr>
        <w:keepNext/>
        <w:spacing w:before="100" w:after="30" w:line="240" w:lineRule="auto"/>
        <w:jc w:val="left"/>
      </w:pPr>
      <w:r>
        <w:rPr>
          <w:rFonts w:ascii="Times New Roman" w:hAnsi="Times New Roman"/>
          <w:b/>
          <w:i/>
          <w:sz w:val="19"/>
        </w:rPr>
        <w:t>C. Comparison with Stronger Protocols: PSI</w:t>
      </w:r>
    </w:p>
    <w:p>
      <w:pPr>
        <w:spacing w:before="0" w:after="40" w:line="240" w:lineRule="auto"/>
        <w:jc w:val="both"/>
      </w:pPr>
      <w:r>
        <w:rPr>
          <w:rFonts w:ascii="Times New Roman" w:hAnsi="Times New Roman"/>
          <w:sz w:val="19"/>
        </w:rPr>
        <w:t>Table IV contrasts BreachShield's prefix-bucket model against OPRF-based Private Set Intersection (PSI) [3].</w:t>
      </w:r>
    </w:p>
    <w:p>
      <w:pPr>
        <w:keepNext/>
        <w:spacing w:before="80" w:after="30"/>
        <w:jc w:val="center"/>
      </w:pPr>
      <w:r>
        <w:rPr>
          <w:rFonts w:ascii="Times New Roman" w:hAnsi="Times New Roman"/>
          <w:b/>
          <w:sz w:val="15"/>
        </w:rPr>
        <w:t>TABLE IV: PROTOCOL COMPARISON: PREFIX K-ANONYMITY VS. OPRF-PSI</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3442"/>
        <w:gridCol w:w="3442"/>
        <w:gridCol w:w="3442"/>
      </w:tblGrid>
      <w:tr>
        <w:trPr>
          <w:cantSplit/>
        </w:trPr>
        <w:tc>
          <w:tcPr>
            <w:tcW w:type="dxa" w:w="1584"/>
          </w:tcPr>
          <w:p>
            <w:pPr>
              <w:spacing w:before="20" w:after="20" w:line="240" w:lineRule="auto"/>
              <w:jc w:val="center"/>
            </w:pPr>
            <w:r>
              <w:rPr>
                <w:rFonts w:ascii="Times New Roman" w:hAnsi="Times New Roman"/>
                <w:b/>
                <w:sz w:val="14"/>
              </w:rPr>
              <w:t>Dimension</w:t>
            </w:r>
          </w:p>
        </w:tc>
        <w:tc>
          <w:tcPr>
            <w:tcW w:type="dxa" w:w="1656"/>
          </w:tcPr>
          <w:p>
            <w:pPr>
              <w:spacing w:before="20" w:after="20" w:line="240" w:lineRule="auto"/>
              <w:jc w:val="center"/>
            </w:pPr>
            <w:r>
              <w:rPr>
                <w:rFonts w:ascii="Times New Roman" w:hAnsi="Times New Roman"/>
                <w:b/>
                <w:sz w:val="14"/>
              </w:rPr>
              <w:t>Prefix k-Anonymity</w:t>
            </w:r>
          </w:p>
        </w:tc>
        <w:tc>
          <w:tcPr>
            <w:tcW w:type="dxa" w:w="1584"/>
          </w:tcPr>
          <w:p>
            <w:pPr>
              <w:spacing w:before="20" w:after="20" w:line="240" w:lineRule="auto"/>
              <w:jc w:val="center"/>
            </w:pPr>
            <w:r>
              <w:rPr>
                <w:rFonts w:ascii="Times New Roman" w:hAnsi="Times New Roman"/>
                <w:b/>
                <w:sz w:val="14"/>
              </w:rPr>
              <w:t>OPRF-Based PSI</w:t>
            </w:r>
          </w:p>
        </w:tc>
      </w:tr>
      <w:tr>
        <w:trPr>
          <w:cantSplit/>
        </w:trPr>
        <w:tc>
          <w:tcPr>
            <w:tcW w:type="dxa" w:w="1584"/>
          </w:tcPr>
          <w:p>
            <w:pPr>
              <w:spacing w:before="16" w:after="16" w:line="240" w:lineRule="auto"/>
              <w:jc w:val="left"/>
            </w:pPr>
            <w:r>
              <w:rPr>
                <w:rFonts w:ascii="Times New Roman" w:hAnsi="Times New Roman"/>
                <w:sz w:val="14"/>
              </w:rPr>
              <w:t>Client Compute</w:t>
            </w:r>
          </w:p>
        </w:tc>
        <w:tc>
          <w:tcPr>
            <w:tcW w:type="dxa" w:w="1656"/>
          </w:tcPr>
          <w:p>
            <w:pPr>
              <w:spacing w:before="16" w:after="16" w:line="240" w:lineRule="auto"/>
              <w:jc w:val="left"/>
            </w:pPr>
            <w:r>
              <w:rPr>
                <w:rFonts w:ascii="Times New Roman" w:hAnsi="Times New Roman"/>
                <w:sz w:val="14"/>
              </w:rPr>
              <w:t>1 SHA-256 evaluation</w:t>
            </w:r>
          </w:p>
        </w:tc>
        <w:tc>
          <w:tcPr>
            <w:tcW w:type="dxa" w:w="1584"/>
          </w:tcPr>
          <w:p>
            <w:pPr>
              <w:spacing w:before="16" w:after="16" w:line="240" w:lineRule="auto"/>
              <w:jc w:val="left"/>
            </w:pPr>
            <w:r>
              <w:rPr>
                <w:rFonts w:ascii="Times New Roman" w:hAnsi="Times New Roman"/>
                <w:sz w:val="14"/>
              </w:rPr>
              <w:t>EC point multiplications</w:t>
            </w:r>
          </w:p>
        </w:tc>
      </w:tr>
      <w:tr>
        <w:trPr>
          <w:cantSplit/>
        </w:trPr>
        <w:tc>
          <w:tcPr>
            <w:tcW w:type="dxa" w:w="1584"/>
          </w:tcPr>
          <w:p>
            <w:pPr>
              <w:spacing w:before="16" w:after="16" w:line="240" w:lineRule="auto"/>
              <w:jc w:val="left"/>
            </w:pPr>
            <w:r>
              <w:rPr>
                <w:rFonts w:ascii="Times New Roman" w:hAnsi="Times New Roman"/>
                <w:sz w:val="14"/>
              </w:rPr>
              <w:t>Server Compute</w:t>
            </w:r>
          </w:p>
        </w:tc>
        <w:tc>
          <w:tcPr>
            <w:tcW w:type="dxa" w:w="1656"/>
          </w:tcPr>
          <w:p>
            <w:pPr>
              <w:spacing w:before="16" w:after="16" w:line="240" w:lineRule="auto"/>
              <w:jc w:val="left"/>
            </w:pPr>
            <w:r>
              <w:rPr>
                <w:rFonts w:ascii="Times New Roman" w:hAnsi="Times New Roman"/>
                <w:sz w:val="14"/>
              </w:rPr>
              <w:t>1 B-Tree index lookup</w:t>
            </w:r>
          </w:p>
        </w:tc>
        <w:tc>
          <w:tcPr>
            <w:tcW w:type="dxa" w:w="1584"/>
          </w:tcPr>
          <w:p>
            <w:pPr>
              <w:spacing w:before="16" w:after="16" w:line="240" w:lineRule="auto"/>
              <w:jc w:val="left"/>
            </w:pPr>
            <w:r>
              <w:rPr>
                <w:rFonts w:ascii="Times New Roman" w:hAnsi="Times New Roman"/>
                <w:sz w:val="14"/>
              </w:rPr>
              <w:t>1 OPRF eval per item</w:t>
            </w:r>
          </w:p>
        </w:tc>
      </w:tr>
      <w:tr>
        <w:trPr>
          <w:cantSplit/>
        </w:trPr>
        <w:tc>
          <w:tcPr>
            <w:tcW w:type="dxa" w:w="1584"/>
          </w:tcPr>
          <w:p>
            <w:pPr>
              <w:spacing w:before="16" w:after="16" w:line="240" w:lineRule="auto"/>
              <w:jc w:val="left"/>
            </w:pPr>
            <w:r>
              <w:rPr>
                <w:rFonts w:ascii="Times New Roman" w:hAnsi="Times New Roman"/>
                <w:sz w:val="14"/>
              </w:rPr>
              <w:t>Bandwidth</w:t>
            </w:r>
          </w:p>
        </w:tc>
        <w:tc>
          <w:tcPr>
            <w:tcW w:type="dxa" w:w="1656"/>
          </w:tcPr>
          <w:p>
            <w:pPr>
              <w:spacing w:before="16" w:after="16" w:line="240" w:lineRule="auto"/>
              <w:jc w:val="left"/>
            </w:pPr>
            <w:r>
              <w:rPr>
                <w:rFonts w:ascii="Times New Roman" w:hAnsi="Times New Roman"/>
                <w:sz w:val="14"/>
              </w:rPr>
              <w:t>Proportional to bucket size</w:t>
            </w:r>
          </w:p>
        </w:tc>
        <w:tc>
          <w:tcPr>
            <w:tcW w:type="dxa" w:w="1584"/>
          </w:tcPr>
          <w:p>
            <w:pPr>
              <w:spacing w:before="16" w:after="16" w:line="240" w:lineRule="auto"/>
              <w:jc w:val="left"/>
            </w:pPr>
            <w:r>
              <w:rPr>
                <w:rFonts w:ascii="Times New Roman" w:hAnsi="Times New Roman"/>
                <w:sz w:val="14"/>
              </w:rPr>
              <w:t>O(1) constant response</w:t>
            </w:r>
          </w:p>
        </w:tc>
      </w:tr>
      <w:tr>
        <w:trPr>
          <w:cantSplit/>
        </w:trPr>
        <w:tc>
          <w:tcPr>
            <w:tcW w:type="dxa" w:w="1584"/>
          </w:tcPr>
          <w:p>
            <w:pPr>
              <w:spacing w:before="16" w:after="16" w:line="240" w:lineRule="auto"/>
              <w:jc w:val="left"/>
            </w:pPr>
            <w:r>
              <w:rPr>
                <w:rFonts w:ascii="Times New Roman" w:hAnsi="Times New Roman"/>
                <w:sz w:val="14"/>
              </w:rPr>
              <w:t>Prefix Disclosed</w:t>
            </w:r>
          </w:p>
        </w:tc>
        <w:tc>
          <w:tcPr>
            <w:tcW w:type="dxa" w:w="1656"/>
          </w:tcPr>
          <w:p>
            <w:pPr>
              <w:spacing w:before="16" w:after="16" w:line="240" w:lineRule="auto"/>
              <w:jc w:val="left"/>
            </w:pPr>
            <w:r>
              <w:rPr>
                <w:rFonts w:ascii="Times New Roman" w:hAnsi="Times New Roman"/>
                <w:sz w:val="14"/>
              </w:rPr>
              <w:t>20 bits revealed</w:t>
            </w:r>
          </w:p>
        </w:tc>
        <w:tc>
          <w:tcPr>
            <w:tcW w:type="dxa" w:w="1584"/>
          </w:tcPr>
          <w:p>
            <w:pPr>
              <w:spacing w:before="16" w:after="16" w:line="240" w:lineRule="auto"/>
              <w:jc w:val="left"/>
            </w:pPr>
            <w:r>
              <w:rPr>
                <w:rFonts w:ascii="Times New Roman" w:hAnsi="Times New Roman"/>
                <w:sz w:val="14"/>
              </w:rPr>
              <w:t>0 bits (Full privacy)</w:t>
            </w:r>
          </w:p>
        </w:tc>
      </w:tr>
      <w:tr>
        <w:trPr>
          <w:cantSplit/>
        </w:trPr>
        <w:tc>
          <w:tcPr>
            <w:tcW w:type="dxa" w:w="1584"/>
          </w:tcPr>
          <w:p>
            <w:pPr>
              <w:spacing w:before="16" w:after="16" w:line="240" w:lineRule="auto"/>
              <w:jc w:val="left"/>
            </w:pPr>
            <w:r>
              <w:rPr>
                <w:rFonts w:ascii="Times New Roman" w:hAnsi="Times New Roman"/>
                <w:sz w:val="14"/>
              </w:rPr>
              <w:t>Scraping Resist.</w:t>
            </w:r>
          </w:p>
        </w:tc>
        <w:tc>
          <w:tcPr>
            <w:tcW w:type="dxa" w:w="1656"/>
          </w:tcPr>
          <w:p>
            <w:pPr>
              <w:spacing w:before="16" w:after="16" w:line="240" w:lineRule="auto"/>
              <w:jc w:val="left"/>
            </w:pPr>
            <w:r>
              <w:rPr>
                <w:rFonts w:ascii="Times New Roman" w:hAnsi="Times New Roman"/>
                <w:sz w:val="14"/>
              </w:rPr>
              <w:t>Mandates OTP gating</w:t>
            </w:r>
          </w:p>
        </w:tc>
        <w:tc>
          <w:tcPr>
            <w:tcW w:type="dxa" w:w="1584"/>
          </w:tcPr>
          <w:p>
            <w:pPr>
              <w:spacing w:before="16" w:after="16" w:line="240" w:lineRule="auto"/>
              <w:jc w:val="left"/>
            </w:pPr>
            <w:r>
              <w:rPr>
                <w:rFonts w:ascii="Times New Roman" w:hAnsi="Times New Roman"/>
                <w:sz w:val="14"/>
              </w:rPr>
              <w:t>Bounded query evals</w:t>
            </w:r>
          </w:p>
        </w:tc>
      </w:tr>
      <w:tr>
        <w:trPr>
          <w:cantSplit/>
        </w:trPr>
        <w:tc>
          <w:tcPr>
            <w:tcW w:type="dxa" w:w="1584"/>
          </w:tcPr>
          <w:p>
            <w:pPr>
              <w:spacing w:before="16" w:after="16" w:line="240" w:lineRule="auto"/>
              <w:jc w:val="left"/>
            </w:pPr>
            <w:r>
              <w:rPr>
                <w:rFonts w:ascii="Times New Roman" w:hAnsi="Times New Roman"/>
                <w:sz w:val="14"/>
              </w:rPr>
              <w:t>Client Complexity</w:t>
            </w:r>
          </w:p>
        </w:tc>
        <w:tc>
          <w:tcPr>
            <w:tcW w:type="dxa" w:w="1656"/>
          </w:tcPr>
          <w:p>
            <w:pPr>
              <w:spacing w:before="16" w:after="16" w:line="240" w:lineRule="auto"/>
              <w:jc w:val="left"/>
            </w:pPr>
            <w:r>
              <w:rPr>
                <w:rFonts w:ascii="Times New Roman" w:hAnsi="Times New Roman"/>
                <w:sz w:val="14"/>
              </w:rPr>
              <w:t>Minimal (Web Crypto API)</w:t>
            </w:r>
          </w:p>
        </w:tc>
        <w:tc>
          <w:tcPr>
            <w:tcW w:type="dxa" w:w="1584"/>
          </w:tcPr>
          <w:p>
            <w:pPr>
              <w:spacing w:before="16" w:after="16" w:line="240" w:lineRule="auto"/>
              <w:jc w:val="left"/>
            </w:pPr>
            <w:r>
              <w:rPr>
                <w:rFonts w:ascii="Times New Roman" w:hAnsi="Times New Roman"/>
                <w:sz w:val="14"/>
              </w:rPr>
              <w:t>High (WASM / BigInt crypto)</w:t>
            </w:r>
          </w:p>
        </w:tc>
      </w:tr>
    </w:tbl>
    <w:p>
      <w:pPr>
        <w:spacing w:before="0" w:after="50"/>
      </w:pPr>
    </w:p>
    <w:p>
      <w:pPr>
        <w:keepNext/>
        <w:spacing w:before="140" w:after="40" w:line="240" w:lineRule="auto"/>
        <w:jc w:val="center"/>
      </w:pPr>
      <w:r>
        <w:rPr>
          <w:rFonts w:ascii="Times New Roman" w:hAnsi="Times New Roman"/>
          <w:b/>
          <w:sz w:val="19"/>
        </w:rPr>
        <w:t>IX. FUNCTIONAL EVALUATION</w:t>
      </w:r>
    </w:p>
    <w:p>
      <w:pPr>
        <w:spacing w:before="0" w:after="40" w:line="240" w:lineRule="auto"/>
        <w:jc w:val="both"/>
      </w:pPr>
      <w:r>
        <w:rPr>
          <w:rFonts w:ascii="Times New Roman" w:hAnsi="Times New Roman"/>
          <w:sz w:val="19"/>
        </w:rPr>
        <w:t>We evaluated BreachShield's implemented modules using automated test suites across API gateway, microservices, and database layers:</w:t>
      </w:r>
    </w:p>
    <w:p>
      <w:pPr>
        <w:spacing w:before="0" w:after="40" w:line="240" w:lineRule="auto"/>
        <w:jc w:val="both"/>
      </w:pPr>
      <w:r>
        <w:rPr>
          <w:rFonts w:ascii="Times New Roman" w:hAnsi="Times New Roman"/>
          <w:sz w:val="19"/>
        </w:rPr>
        <w:t>1) Authentication: backend/test/auth_search.test.js verified 30s rate limiting (HTTP 429), bcrypt verification, attempt invalidation (&gt;5), and target mismatch rejection (HTTP 403).</w:t>
      </w:r>
    </w:p>
    <w:p>
      <w:pPr>
        <w:spacing w:before="0" w:after="40" w:line="240" w:lineRule="auto"/>
        <w:jc w:val="both"/>
      </w:pPr>
      <w:r>
        <w:rPr>
          <w:rFonts w:ascii="Times New Roman" w:hAnsi="Times New Roman"/>
          <w:sz w:val="19"/>
        </w:rPr>
        <w:t>2) Range Query: /api/v1/range/:prefix validated with known test hashes; client-side parsing isolated targets while non-compromised inputs yielded empty match sets.</w:t>
      </w:r>
    </w:p>
    <w:p>
      <w:pPr>
        <w:spacing w:before="0" w:after="40" w:line="240" w:lineRule="auto"/>
        <w:jc w:val="both"/>
      </w:pPr>
      <w:r>
        <w:rPr>
          <w:rFonts w:ascii="Times New Roman" w:hAnsi="Times New Roman"/>
          <w:sz w:val="19"/>
        </w:rPr>
        <w:t>3) Concurrency Control: backend/test/challenger_backend.test.js confirmed asyncio.Lock mutex eliminated Telethon SQLite operational collisions under concurrent load.</w:t>
      </w:r>
    </w:p>
    <w:p>
      <w:pPr>
        <w:spacing w:before="0" w:after="40" w:line="240" w:lineRule="auto"/>
        <w:jc w:val="both"/>
      </w:pPr>
      <w:r>
        <w:rPr>
          <w:rFonts w:ascii="Times New Roman" w:hAnsi="Times New Roman"/>
          <w:sz w:val="19"/>
        </w:rPr>
        <w:t>4) Audit Verification: backend/test/verify_audit_integrity.js confirmed canonical sorted JSON serialization, 100-record / 60s batch triggers, and cryptographic Merkle proof invalidation upon bit modification.</w:t>
      </w:r>
    </w:p>
    <w:p>
      <w:pPr>
        <w:spacing w:before="0" w:after="40" w:line="240" w:lineRule="auto"/>
        <w:jc w:val="both"/>
      </w:pPr>
      <w:r>
        <w:rPr>
          <w:rFonts w:ascii="Times New Roman" w:hAnsi="Times New Roman"/>
          <w:sz w:val="19"/>
        </w:rPr>
        <w:t>5) Smart Contract: contracts/AnchorRegistry.sol compiled and deployed on Hardhat; anchor(bytes32) committed root and emitted RootAnchored event.</w:t>
      </w:r>
    </w:p>
    <w:p>
      <w:pPr>
        <w:keepNext/>
        <w:spacing w:before="140" w:after="40" w:line="240" w:lineRule="auto"/>
        <w:jc w:val="center"/>
      </w:pPr>
      <w:r>
        <w:rPr>
          <w:rFonts w:ascii="Times New Roman" w:hAnsi="Times New Roman"/>
          <w:b/>
          <w:sz w:val="19"/>
        </w:rPr>
        <w:t>X. LIMITATIONS</w:t>
      </w:r>
    </w:p>
    <w:p>
      <w:pPr>
        <w:spacing w:before="0" w:after="40" w:line="240" w:lineRule="auto"/>
        <w:jc w:val="both"/>
      </w:pPr>
      <w:r>
        <w:rPr>
          <w:rFonts w:ascii="Times New Roman" w:hAnsi="Times New Roman"/>
          <w:sz w:val="19"/>
        </w:rPr>
        <w:t>We identify the following technical constraints in the current implementation:</w:t>
      </w:r>
    </w:p>
    <w:p>
      <w:pPr>
        <w:spacing w:before="0" w:after="40" w:line="240" w:lineRule="auto"/>
        <w:jc w:val="both"/>
      </w:pPr>
      <w:r>
        <w:rPr>
          <w:rFonts w:ascii="Times New Roman" w:hAnsi="Times New Roman"/>
          <w:sz w:val="19"/>
        </w:rPr>
        <w:t>1) Severity Tier Imbalance: In the ML dataset, CRITICAL severity is represented by 9 test instances (5.7%), yielding wider confidence bounds compared to MEDIUM (n=74) and HIGH (n=63).</w:t>
      </w:r>
    </w:p>
    <w:p>
      <w:pPr>
        <w:spacing w:before="0" w:after="40" w:line="240" w:lineRule="auto"/>
        <w:jc w:val="both"/>
      </w:pPr>
      <w:r>
        <w:rPr>
          <w:rFonts w:ascii="Times New Roman" w:hAnsi="Times New Roman"/>
          <w:sz w:val="19"/>
        </w:rPr>
        <w:t>2) Source Coverage Constraints: In OSINT registry, only PublicBreachSource and TelegramScraperSource execute live network queries; PhishingFeedSource and ThreatIntelSource remain stubs.</w:t>
      </w:r>
    </w:p>
    <w:p>
      <w:pPr>
        <w:spacing w:before="0" w:after="40" w:line="240" w:lineRule="auto"/>
        <w:jc w:val="both"/>
      </w:pPr>
      <w:r>
        <w:rPr>
          <w:rFonts w:ascii="Times New Roman" w:hAnsi="Times New Roman"/>
          <w:sz w:val="19"/>
        </w:rPr>
        <w:t>3) Local Blockchain PoC: Audit anchoring operates on local Hardhat EVM; public testnet deployment requires dynamic gas estimation.</w:t>
      </w:r>
    </w:p>
    <w:p>
      <w:pPr>
        <w:spacing w:before="0" w:after="40" w:line="240" w:lineRule="auto"/>
        <w:jc w:val="both"/>
      </w:pPr>
      <w:r>
        <w:rPr>
          <w:rFonts w:ascii="Times New Roman" w:hAnsi="Times New Roman"/>
          <w:sz w:val="19"/>
        </w:rPr>
        <w:t>4) Decoupled ML Pipeline: XGBoost operates as an offline evaluation artifact due to feature availability constraints in raw OSINT data.</w:t>
      </w:r>
    </w:p>
    <w:p>
      <w:pPr>
        <w:spacing w:before="0" w:after="40" w:line="240" w:lineRule="auto"/>
        <w:jc w:val="both"/>
      </w:pPr>
      <w:r>
        <w:rPr>
          <w:rFonts w:ascii="Times New Roman" w:hAnsi="Times New Roman"/>
          <w:sz w:val="19"/>
        </w:rPr>
        <w:t>5) Identity-Query Linkage: Gating search endpoints behind verified OTP sessions links query transactions to verified user sessions.</w:t>
      </w:r>
    </w:p>
    <w:p>
      <w:pPr>
        <w:keepNext/>
        <w:spacing w:before="140" w:after="40" w:line="240" w:lineRule="auto"/>
        <w:jc w:val="center"/>
      </w:pPr>
      <w:r>
        <w:rPr>
          <w:rFonts w:ascii="Times New Roman" w:hAnsi="Times New Roman"/>
          <w:b/>
          <w:sz w:val="19"/>
        </w:rPr>
        <w:t>XI. FUTURE WORK &amp; CONCLUSION</w:t>
      </w:r>
    </w:p>
    <w:p>
      <w:pPr>
        <w:spacing w:before="0" w:after="40" w:line="240" w:lineRule="auto"/>
        <w:jc w:val="both"/>
      </w:pPr>
      <w:r>
        <w:rPr>
          <w:rFonts w:ascii="Times New Roman" w:hAnsi="Times New Roman"/>
          <w:sz w:val="19"/>
        </w:rPr>
        <w:t>Immediate extensions include integrating SMOTE-based class balancing [9] for the CRITICAL severity tier, implementing live connectors for stubbed threat feeds, and deploying AnchorRegistry to an EVM testnet. Long-term research will explore migrating from prefix k-anonymity to OPRF-based Private Set Intersection (PSI).</w:t>
      </w:r>
    </w:p>
    <w:p>
      <w:pPr>
        <w:spacing w:before="0" w:after="40" w:line="240" w:lineRule="auto"/>
        <w:jc w:val="both"/>
      </w:pPr>
      <w:r>
        <w:rPr>
          <w:rFonts w:ascii="Times New Roman" w:hAnsi="Times New Roman"/>
          <w:sz w:val="19"/>
        </w:rPr>
        <w:t>BreachShield demonstrates an effective privacy-preserving breach intelligence platform that resolves the structural query-surveillance paradox of credential monitoring. By pairing client-side k-anonymity range queries with out-of-band carrier-compliant OTP identity gating, multi-source asynchronous OSINT scraping, heuristic and machine-learning risk evaluation, and Merkle-tree batched smart contract audit anchoring, the platform establishes robust query privacy alongside strong operational auditability.</w:t>
      </w:r>
    </w:p>
    <w:p>
      <w:pPr>
        <w:keepNext/>
        <w:spacing w:before="100" w:after="30" w:line="240" w:lineRule="auto"/>
        <w:jc w:val="left"/>
      </w:pPr>
      <w:r>
        <w:rPr>
          <w:rFonts w:ascii="Times New Roman" w:hAnsi="Times New Roman"/>
          <w:b/>
          <w:i/>
          <w:sz w:val="19"/>
        </w:rPr>
        <w:t>Acknowledgment</w:t>
      </w:r>
    </w:p>
    <w:p>
      <w:pPr>
        <w:spacing w:before="0" w:after="40" w:line="240" w:lineRule="auto"/>
        <w:jc w:val="both"/>
      </w:pPr>
      <w:r>
        <w:rPr>
          <w:rFonts w:ascii="Times New Roman" w:hAnsi="Times New Roman"/>
          <w:sz w:val="19"/>
        </w:rPr>
        <w:t>The authors thank Assistant Professor Sushma T. M. for guidance and project coordination throughout this research.</w:t>
      </w:r>
    </w:p>
    <w:p>
      <w:pPr>
        <w:keepNext/>
        <w:spacing w:before="140" w:after="40" w:line="240" w:lineRule="auto"/>
        <w:jc w:val="center"/>
      </w:pPr>
      <w:r>
        <w:rPr>
          <w:rFonts w:ascii="Times New Roman" w:hAnsi="Times New Roman"/>
          <w:b/>
          <w:sz w:val="19"/>
        </w:rPr>
        <w:t>REFERENCES</w:t>
      </w:r>
    </w:p>
    <w:p>
      <w:pPr>
        <w:spacing w:before="20" w:after="40" w:line="240" w:lineRule="auto"/>
        <w:jc w:val="both"/>
      </w:pPr>
      <w:r>
        <w:rPr>
          <w:rFonts w:ascii="Times New Roman" w:hAnsi="Times New Roman"/>
          <w:sz w:val="16"/>
        </w:rPr>
        <w:t>[1] A. Aljofey, Q. Jiang, Q. Qu, M. Huang, and J.-P. Niyigena, "An effective phishing detection model based on character level convolutional neural network from URL," Electronics, vol. 9, no. 9, p. 1514, 2020.</w:t>
      </w:r>
    </w:p>
    <w:p>
      <w:pPr>
        <w:spacing w:before="20" w:after="40" w:line="240" w:lineRule="auto"/>
        <w:jc w:val="both"/>
      </w:pPr>
      <w:r>
        <w:rPr>
          <w:rFonts w:ascii="Times New Roman" w:hAnsi="Times New Roman"/>
          <w:sz w:val="16"/>
        </w:rPr>
        <w:t>[2] P. Kuhn, K. Wittorf, and C. Reuter, "Navigating the shadows: Manual and semi-automated evaluation of the dark web for cyber threat intelligence," IEEE Access, vol. 12, pp. 45112-45128, 2024.</w:t>
      </w:r>
    </w:p>
    <w:p>
      <w:pPr>
        <w:spacing w:before="20" w:after="40" w:line="240" w:lineRule="auto"/>
        <w:jc w:val="both"/>
      </w:pPr>
      <w:r>
        <w:rPr>
          <w:rFonts w:ascii="Times New Roman" w:hAnsi="Times New Roman"/>
          <w:sz w:val="16"/>
        </w:rPr>
        <w:t>[3] L. Li, B. Pal, J. Ali, N. Sullivan, R. Chatterjee, and T. Ristenpart, "Protocols for checking compromised credentials," in Proc. ACM SIGSAC Conf. Comput. Commun. Secur. (CCS), 2019, pp. 1387-1403.</w:t>
      </w:r>
    </w:p>
    <w:p>
      <w:pPr>
        <w:spacing w:before="20" w:after="40" w:line="240" w:lineRule="auto"/>
        <w:jc w:val="both"/>
      </w:pPr>
      <w:r>
        <w:rPr>
          <w:rFonts w:ascii="Times New Roman" w:hAnsi="Times New Roman"/>
          <w:sz w:val="16"/>
        </w:rPr>
        <w:t>[4] L. Sweeney, "k-anonymity: A model for protecting privacy," Int. J. Uncertainty, Fuzziness Knowl.-Based Syst., vol. 10, no. 5, pp. 557-570, 2002.</w:t>
      </w:r>
    </w:p>
    <w:p>
      <w:pPr>
        <w:spacing w:before="20" w:after="40" w:line="240" w:lineRule="auto"/>
        <w:jc w:val="both"/>
      </w:pPr>
      <w:r>
        <w:rPr>
          <w:rFonts w:ascii="Times New Roman" w:hAnsi="Times New Roman"/>
          <w:sz w:val="16"/>
        </w:rPr>
        <w:t>[5] S. A. Crosby and D. S. Wallach, "Efficient data structures for tamper-evident logging," in Proc. 18th USENIX Secur. Symp., 2009, pp. 317-334.</w:t>
      </w:r>
    </w:p>
    <w:p>
      <w:pPr>
        <w:spacing w:before="20" w:after="40" w:line="240" w:lineRule="auto"/>
        <w:jc w:val="both"/>
      </w:pPr>
      <w:r>
        <w:rPr>
          <w:rFonts w:ascii="Times New Roman" w:hAnsi="Times New Roman"/>
          <w:sz w:val="16"/>
        </w:rPr>
        <w:t>[6] A. Arabnouri, S. Eissazadeh, and A. Shafieinejad, "A secure auditable log based on blockchain," Monadi, vol. 13, no. 2, pp. 75-86, 2024.</w:t>
      </w:r>
    </w:p>
    <w:p>
      <w:pPr>
        <w:spacing w:before="20" w:after="40" w:line="240" w:lineRule="auto"/>
        <w:jc w:val="both"/>
      </w:pPr>
      <w:r>
        <w:rPr>
          <w:rFonts w:ascii="Times New Roman" w:hAnsi="Times New Roman"/>
          <w:sz w:val="16"/>
        </w:rPr>
        <w:t>[7] T. Chen and C. Guestrin, "XGBoost: A scalable tree boosting system," in Proc. 22nd ACM SIGKDD Int. Conf. Knowl. Discov. Data Min., 2016, pp. 785-794.</w:t>
      </w:r>
    </w:p>
    <w:p>
      <w:pPr>
        <w:spacing w:before="20" w:after="40" w:line="240" w:lineRule="auto"/>
        <w:jc w:val="both"/>
      </w:pPr>
      <w:r>
        <w:rPr>
          <w:rFonts w:ascii="Times New Roman" w:hAnsi="Times New Roman"/>
          <w:sz w:val="16"/>
        </w:rPr>
        <w:t>[8] L. Grinsztajn, E. Oyallon, and G. Varoquaux, "Why do tree-based models still outperform deep learning on typical tabular data?" in Adv. Neural Inf. Process. Syst. (NeurIPS), vol. 35, 2022, pp. 507-520.</w:t>
      </w:r>
    </w:p>
    <w:p>
      <w:pPr>
        <w:spacing w:before="20" w:after="40" w:line="240" w:lineRule="auto"/>
        <w:jc w:val="both"/>
      </w:pPr>
      <w:r>
        <w:rPr>
          <w:rFonts w:ascii="Times New Roman" w:hAnsi="Times New Roman"/>
          <w:sz w:val="16"/>
        </w:rPr>
        <w:t>[9] F. S. Alsubaei, A. A. Almazroi, and N. Ayub, "Enhancing phishing detection: A novel hybrid deep learning framework for cybercrime forensics," IEEE Access, vol. 12, pp. 8373-8389, 2024.</w:t>
      </w:r>
    </w:p>
    <w:p>
      <w:pPr>
        <w:spacing w:before="20" w:after="40" w:line="240" w:lineRule="auto"/>
        <w:jc w:val="both"/>
      </w:pPr>
      <w:r>
        <w:rPr>
          <w:rFonts w:ascii="Times New Roman" w:hAnsi="Times New Roman"/>
          <w:sz w:val="16"/>
        </w:rPr>
        <w:t>[10] R. C. Merkle, "A digital signature based on a conventional encryption function," in Adv. Cryptol. - CRYPTO '87, Springer, 1988, pp. 369-378.</w:t>
      </w:r>
    </w:p>
    <w:p>
      <w:pPr>
        <w:spacing w:before="20" w:after="40" w:line="240" w:lineRule="auto"/>
        <w:jc w:val="both"/>
      </w:pPr>
      <w:r>
        <w:rPr>
          <w:rFonts w:ascii="Times New Roman" w:hAnsi="Times New Roman"/>
          <w:sz w:val="16"/>
        </w:rPr>
        <w:t>[11] O. K. Sahingoz, E. Buber, and E. Kugu, "DEPHIDES: Deep learning based phishing detection system," IEEE Access, vol. 12, pp. 8052-8070, 2024.</w:t>
      </w:r>
    </w:p>
    <w:p>
      <w:pPr>
        <w:spacing w:before="20" w:after="40" w:line="240" w:lineRule="auto"/>
        <w:jc w:val="both"/>
      </w:pPr>
      <w:r>
        <w:rPr>
          <w:rFonts w:ascii="Times New Roman" w:hAnsi="Times New Roman"/>
          <w:sz w:val="16"/>
        </w:rPr>
        <w:t>[12] B. V. Pavani, D. Mahitha, and B. Uma Maheswari, "Enhancing online safety: Phishing URL detection using machine learning and explainable AI," in Proc. 15th Int. Conf. Comput., Commun. Netw. Technol. (ICCCNT), IEEE, 2024, pp. 1-6.</w:t>
      </w:r>
    </w:p>
    <w:p>
      <w:pPr>
        <w:spacing w:before="20" w:after="40" w:line="240" w:lineRule="auto"/>
        <w:jc w:val="both"/>
      </w:pPr>
      <w:r>
        <w:rPr>
          <w:rFonts w:ascii="Times New Roman" w:hAnsi="Times New Roman"/>
          <w:sz w:val="16"/>
        </w:rPr>
        <w:t>[13] M. Tawfik, A. A. Abu-Ein, A. H. Abdelhaliem, Y. M. Al-Sharo, and I. S. Fathi, "Explainable few-shot learning with modern BERT for detecting emerging phishing attacks using XF-PhishBERT," Sci. Rep., vol. 15, no. 1, p. 42821, 2025.</w:t>
      </w:r>
    </w:p>
    <w:p>
      <w:pPr>
        <w:spacing w:before="20" w:after="40" w:line="240" w:lineRule="auto"/>
        <w:jc w:val="both"/>
      </w:pPr>
      <w:r>
        <w:rPr>
          <w:rFonts w:ascii="Times New Roman" w:hAnsi="Times New Roman"/>
          <w:sz w:val="16"/>
        </w:rPr>
        <w:t>[14] P. Grassi, M. Garcia, and J. Fenton, "Digital identity guidelines: Authentication and lifecycle management," NIST Special Publication 800-63B, Gaithersburg, MD, 2020.</w:t>
      </w:r>
    </w:p>
    <w:p>
      <w:pPr>
        <w:spacing w:before="20" w:after="40" w:line="240" w:lineRule="auto"/>
        <w:jc w:val="both"/>
      </w:pPr>
      <w:r>
        <w:rPr>
          <w:rFonts w:ascii="Times New Roman" w:hAnsi="Times New Roman"/>
          <w:sz w:val="16"/>
        </w:rPr>
        <w:t>[15] M. Jones, J. Bradley, and N. Sakimura, "JSON Web Token (JWT)," RFC 7519, May 2015.</w:t>
      </w:r>
    </w:p>
    <w:sectPr w:rsidR="00FC693F" w:rsidRPr="0006063C" w:rsidSect="00034616">
      <w:type w:val="continuous"/>
      <w:pgSz w:w="11909" w:h="16834"/>
      <w:pgMar w:top="1008" w:right="792" w:bottom="1080" w:left="792"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