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360" w:lineRule="auto"/>
        <w:jc w:val="center"/>
      </w:pPr>
      <w:r>
        <w:rPr>
          <w:rFonts w:ascii="Times New Roman" w:hAnsi="Times New Roman"/>
          <w:b/>
          <w:i w:val="0"/>
          <w:color w:val="102C57"/>
          <w:sz w:val="32"/>
        </w:rPr>
        <w:t>VISVESVARAYA TECHNOLOGICAL UNIVERSITY</w:t>
      </w:r>
    </w:p>
    <w:p>
      <w:pPr>
        <w:spacing w:before="0" w:after="400" w:line="360" w:lineRule="auto"/>
        <w:jc w:val="center"/>
      </w:pPr>
      <w:r>
        <w:rPr>
          <w:rFonts w:ascii="Times New Roman" w:hAnsi="Times New Roman"/>
          <w:b w:val="0"/>
          <w:i/>
          <w:color w:val="000000"/>
          <w:sz w:val="24"/>
        </w:rPr>
        <w:t>"Jnana Sangama", Belagavi - 590 018</w:t>
      </w:r>
    </w:p>
    <w:p>
      <w:pPr>
        <w:spacing w:before="200" w:after="120" w:line="360" w:lineRule="auto"/>
        <w:jc w:val="center"/>
      </w:pPr>
      <w:r>
        <w:rPr>
          <w:rFonts w:ascii="Times New Roman" w:hAnsi="Times New Roman"/>
          <w:b w:val="0"/>
          <w:i/>
          <w:color w:val="000000"/>
          <w:sz w:val="28"/>
        </w:rPr>
        <w:t>A Major Project Phase-II Report on</w:t>
      </w:r>
    </w:p>
    <w:p>
      <w:pPr>
        <w:spacing w:before="120" w:after="280" w:line="360" w:lineRule="auto"/>
        <w:jc w:val="center"/>
      </w:pPr>
      <w:r>
        <w:rPr>
          <w:rFonts w:ascii="Times New Roman" w:hAnsi="Times New Roman"/>
          <w:b/>
          <w:i w:val="0"/>
          <w:color w:val="102C57"/>
          <w:sz w:val="30"/>
        </w:rPr>
        <w:t>BREACHSHIELD: A PRIVACY-PRESERVING OSINT BREACH INTELLIGENCE PLATFORM WITH K-ANONYMOUS SEARCH AND BLOCKCHAIN-ANCHORED AUDIT LOGGING</w:t>
      </w:r>
    </w:p>
    <w:p>
      <w:pPr>
        <w:spacing w:before="160" w:after="40" w:line="360" w:lineRule="auto"/>
        <w:jc w:val="center"/>
      </w:pPr>
      <w:r>
        <w:rPr>
          <w:rFonts w:ascii="Times New Roman" w:hAnsi="Times New Roman"/>
          <w:b w:val="0"/>
          <w:i/>
          <w:color w:val="000000"/>
          <w:sz w:val="23"/>
        </w:rPr>
        <w:t>A Dissertation work submitted in partial fulfillment of the requirement for the award of the degree of</w:t>
      </w:r>
    </w:p>
    <w:p>
      <w:pPr>
        <w:spacing w:before="40" w:after="320" w:line="360" w:lineRule="auto"/>
        <w:jc w:val="center"/>
      </w:pPr>
      <w:r>
        <w:rPr>
          <w:rFonts w:ascii="Times New Roman" w:hAnsi="Times New Roman"/>
          <w:b/>
          <w:i w:val="0"/>
          <w:color w:val="000000"/>
          <w:sz w:val="26"/>
        </w:rPr>
        <w:t>Bachelor of Engineering</w:t>
        <w:br/>
        <w:t>in</w:t>
        <w:br/>
        <w:t>Information Science and Engineering</w:t>
      </w:r>
    </w:p>
    <w:p>
      <w:pPr>
        <w:spacing w:before="160" w:after="80" w:line="360" w:lineRule="auto"/>
        <w:jc w:val="center"/>
      </w:pPr>
      <w:r>
        <w:rPr>
          <w:rFonts w:ascii="Times New Roman" w:hAnsi="Times New Roman"/>
          <w:b/>
          <w:i w:val="0"/>
          <w:color w:val="000000"/>
          <w:sz w:val="24"/>
        </w:rPr>
        <w:t>Submitted by:</w:t>
      </w:r>
    </w:p>
    <w:tbl>
      <w:tblPr>
        <w:tblW w:type="auto" w:w="0"/>
        <w:jc w:val="center"/>
        <w:tblLook w:firstColumn="1" w:firstRow="1" w:lastColumn="0" w:lastRow="0" w:noHBand="0" w:noVBand="1" w:val="04A0"/>
      </w:tblPr>
      <w:tblGrid>
        <w:gridCol w:w="4334"/>
        <w:gridCol w:w="4334"/>
      </w:tblGrid>
      <w:tr>
        <w:tc>
          <w:tcPr>
            <w:tcW w:type="dxa" w:w="4608"/>
          </w:tcPr>
          <w:p>
            <w:pPr>
              <w:spacing w:line="276" w:lineRule="auto"/>
            </w:pPr>
            <w:r>
              <w:rPr>
                <w:rFonts w:ascii="Times New Roman" w:hAnsi="Times New Roman"/>
                <w:b/>
                <w:sz w:val="22"/>
              </w:rPr>
              <w:t>ARVIND D H</w:t>
            </w:r>
          </w:p>
        </w:tc>
        <w:tc>
          <w:tcPr>
            <w:tcW w:type="dxa" w:w="3168"/>
          </w:tcPr>
          <w:p>
            <w:pPr>
              <w:spacing w:line="276" w:lineRule="auto"/>
            </w:pPr>
            <w:r>
              <w:rPr>
                <w:rFonts w:ascii="Times New Roman" w:hAnsi="Times New Roman"/>
                <w:b/>
                <w:sz w:val="22"/>
              </w:rPr>
              <w:t>(1AY24IS400)</w:t>
            </w:r>
          </w:p>
        </w:tc>
      </w:tr>
      <w:tr>
        <w:tc>
          <w:tcPr>
            <w:tcW w:type="dxa" w:w="4608"/>
          </w:tcPr>
          <w:p>
            <w:pPr>
              <w:spacing w:line="276" w:lineRule="auto"/>
            </w:pPr>
            <w:r>
              <w:rPr>
                <w:rFonts w:ascii="Times New Roman" w:hAnsi="Times New Roman"/>
                <w:b/>
                <w:sz w:val="22"/>
              </w:rPr>
              <w:t>GIRISHKUMAR N M</w:t>
            </w:r>
          </w:p>
        </w:tc>
        <w:tc>
          <w:tcPr>
            <w:tcW w:type="dxa" w:w="3168"/>
          </w:tcPr>
          <w:p>
            <w:pPr>
              <w:spacing w:line="276" w:lineRule="auto"/>
            </w:pPr>
            <w:r>
              <w:rPr>
                <w:rFonts w:ascii="Times New Roman" w:hAnsi="Times New Roman"/>
                <w:b/>
                <w:sz w:val="22"/>
              </w:rPr>
              <w:t>(1AY24IS404)</w:t>
            </w:r>
          </w:p>
        </w:tc>
      </w:tr>
      <w:tr>
        <w:tc>
          <w:tcPr>
            <w:tcW w:type="dxa" w:w="4608"/>
          </w:tcPr>
          <w:p>
            <w:pPr>
              <w:spacing w:line="276" w:lineRule="auto"/>
            </w:pPr>
            <w:r>
              <w:rPr>
                <w:rFonts w:ascii="Times New Roman" w:hAnsi="Times New Roman"/>
                <w:b/>
                <w:sz w:val="22"/>
              </w:rPr>
              <w:t>MANOJ</w:t>
            </w:r>
          </w:p>
        </w:tc>
        <w:tc>
          <w:tcPr>
            <w:tcW w:type="dxa" w:w="3168"/>
          </w:tcPr>
          <w:p>
            <w:pPr>
              <w:spacing w:line="276" w:lineRule="auto"/>
            </w:pPr>
            <w:r>
              <w:rPr>
                <w:rFonts w:ascii="Times New Roman" w:hAnsi="Times New Roman"/>
                <w:b/>
                <w:sz w:val="22"/>
              </w:rPr>
              <w:t>(1AY24IS406)</w:t>
            </w:r>
          </w:p>
        </w:tc>
      </w:tr>
      <w:tr>
        <w:tc>
          <w:tcPr>
            <w:tcW w:type="dxa" w:w="4608"/>
          </w:tcPr>
          <w:p>
            <w:pPr>
              <w:spacing w:line="276" w:lineRule="auto"/>
            </w:pPr>
            <w:r>
              <w:rPr>
                <w:rFonts w:ascii="Times New Roman" w:hAnsi="Times New Roman"/>
                <w:b/>
                <w:sz w:val="22"/>
              </w:rPr>
              <w:t>PREMKUMAR TELI</w:t>
            </w:r>
          </w:p>
        </w:tc>
        <w:tc>
          <w:tcPr>
            <w:tcW w:type="dxa" w:w="3168"/>
          </w:tcPr>
          <w:p>
            <w:pPr>
              <w:spacing w:line="276" w:lineRule="auto"/>
            </w:pPr>
            <w:r>
              <w:rPr>
                <w:rFonts w:ascii="Times New Roman" w:hAnsi="Times New Roman"/>
                <w:b/>
                <w:sz w:val="22"/>
              </w:rPr>
              <w:t>(1AY24IS407)</w:t>
            </w:r>
          </w:p>
        </w:tc>
      </w:tr>
    </w:tbl>
    <w:p>
      <w:pPr>
        <w:spacing w:before="280" w:after="40" w:line="360" w:lineRule="auto"/>
        <w:jc w:val="center"/>
      </w:pPr>
      <w:r>
        <w:rPr>
          <w:rFonts w:ascii="Times New Roman" w:hAnsi="Times New Roman"/>
          <w:b w:val="0"/>
          <w:i/>
          <w:color w:val="000000"/>
          <w:sz w:val="24"/>
        </w:rPr>
        <w:t>Under the Guidance of:</w:t>
      </w:r>
    </w:p>
    <w:p>
      <w:pPr>
        <w:spacing w:before="40" w:after="20" w:line="360" w:lineRule="auto"/>
        <w:jc w:val="center"/>
      </w:pPr>
      <w:r>
        <w:rPr>
          <w:rFonts w:ascii="Times New Roman" w:hAnsi="Times New Roman"/>
          <w:b/>
          <w:i w:val="0"/>
          <w:color w:val="102C57"/>
          <w:sz w:val="26"/>
        </w:rPr>
        <w:t>Prof. SUSHMA T. M.</w:t>
      </w:r>
    </w:p>
    <w:p>
      <w:pPr>
        <w:spacing w:before="20" w:after="360" w:line="360" w:lineRule="auto"/>
        <w:jc w:val="center"/>
      </w:pPr>
      <w:r>
        <w:rPr>
          <w:rFonts w:ascii="Times New Roman" w:hAnsi="Times New Roman"/>
          <w:b w:val="0"/>
          <w:i w:val="0"/>
          <w:color w:val="000000"/>
          <w:sz w:val="22"/>
        </w:rPr>
        <w:t>Assistant Professor, Dept. of Information Science &amp; Engineering</w:t>
      </w:r>
    </w:p>
    <w:p>
      <w:pPr>
        <w:spacing w:before="200" w:after="40" w:line="360" w:lineRule="auto"/>
        <w:jc w:val="center"/>
      </w:pPr>
      <w:r>
        <w:rPr>
          <w:rFonts w:ascii="Times New Roman" w:hAnsi="Times New Roman"/>
          <w:b/>
          <w:i w:val="0"/>
          <w:color w:val="102C57"/>
          <w:sz w:val="26"/>
        </w:rPr>
        <w:t>DEPARTMENT OF INFORMATION SCIENCE AND ENGINEERING</w:t>
        <w:br/>
        <w:t>ACHARYA INSTITUTE OF TECHNOLOGY</w:t>
      </w:r>
    </w:p>
    <w:p>
      <w:pPr>
        <w:spacing w:before="20" w:after="40" w:line="360" w:lineRule="auto"/>
        <w:jc w:val="center"/>
      </w:pPr>
      <w:r>
        <w:rPr>
          <w:rFonts w:ascii="Times New Roman" w:hAnsi="Times New Roman"/>
          <w:b w:val="0"/>
          <w:i w:val="0"/>
          <w:color w:val="000000"/>
          <w:sz w:val="19"/>
        </w:rPr>
        <w:t>(Affiliated to Visvesvaraya Technological University, Belagavi. Accredited by NAAC, Recognized by AICTE, New Delhi)</w:t>
      </w:r>
    </w:p>
    <w:p>
      <w:pPr>
        <w:spacing w:before="40" w:after="200" w:line="360" w:lineRule="auto"/>
        <w:jc w:val="center"/>
      </w:pPr>
      <w:r>
        <w:rPr>
          <w:rFonts w:ascii="Times New Roman" w:hAnsi="Times New Roman"/>
          <w:b/>
          <w:i w:val="0"/>
          <w:color w:val="000000"/>
          <w:sz w:val="22"/>
        </w:rPr>
        <w:t>Acharya Dr. Sarvepalli Radhakrishnan Road, Soldevanahalli, Bengaluru - 560 107</w:t>
        <w:br/>
        <w:t>2026 - 2027</w:t>
      </w:r>
    </w:p>
    <w:p>
      <w:r>
        <w:br w:type="page"/>
      </w:r>
    </w:p>
    <w:p>
      <w:pPr>
        <w:spacing w:before="200" w:after="40" w:line="360" w:lineRule="auto"/>
        <w:jc w:val="center"/>
      </w:pPr>
      <w:r>
        <w:rPr>
          <w:rFonts w:ascii="Times New Roman" w:hAnsi="Times New Roman"/>
          <w:b/>
          <w:i w:val="0"/>
          <w:color w:val="102C57"/>
          <w:sz w:val="26"/>
        </w:rPr>
        <w:t>DEPARTMENT OF INFORMATION SCIENCE &amp; ENGINEERING</w:t>
      </w:r>
    </w:p>
    <w:p>
      <w:pPr>
        <w:spacing w:before="0" w:after="40" w:line="360" w:lineRule="auto"/>
        <w:jc w:val="center"/>
      </w:pPr>
      <w:r>
        <w:rPr>
          <w:rFonts w:ascii="Times New Roman" w:hAnsi="Times New Roman"/>
          <w:b/>
          <w:i w:val="0"/>
          <w:color w:val="102C57"/>
          <w:sz w:val="28"/>
        </w:rPr>
        <w:t>ACHARYA INSTITUTE OF TECHNOLOGY</w:t>
      </w:r>
    </w:p>
    <w:p>
      <w:pPr>
        <w:spacing w:before="0" w:after="40" w:line="360" w:lineRule="auto"/>
        <w:jc w:val="center"/>
      </w:pPr>
      <w:r>
        <w:rPr>
          <w:rFonts w:ascii="Times New Roman" w:hAnsi="Times New Roman"/>
          <w:b w:val="0"/>
          <w:i w:val="0"/>
          <w:color w:val="000000"/>
          <w:sz w:val="19"/>
        </w:rPr>
        <w:t>(Affiliated to Visvesvaraya Technological University, Belagavi, Recognized by NAAC, New Delhi)</w:t>
      </w:r>
    </w:p>
    <w:p>
      <w:pPr>
        <w:spacing w:before="0" w:after="240" w:line="360" w:lineRule="auto"/>
        <w:jc w:val="center"/>
      </w:pPr>
      <w:r>
        <w:rPr>
          <w:rFonts w:ascii="Times New Roman" w:hAnsi="Times New Roman"/>
          <w:b w:val="0"/>
          <w:i w:val="0"/>
          <w:color w:val="000000"/>
          <w:sz w:val="20"/>
        </w:rPr>
        <w:t>Acharya Dr. Sarvepalli Radhakrishnan Road, Soldevanahalli, Bengaluru - 560 107</w:t>
      </w:r>
    </w:p>
    <w:p>
      <w:pPr>
        <w:spacing w:before="0" w:after="280" w:line="360" w:lineRule="auto"/>
        <w:jc w:val="center"/>
      </w:pPr>
      <w:r>
        <w:rPr>
          <w:rFonts w:ascii="Times New Roman" w:hAnsi="Times New Roman"/>
          <w:b/>
          <w:i w:val="0"/>
          <w:color w:val="000000"/>
          <w:sz w:val="24"/>
        </w:rPr>
        <w:t>2026 - 2027</w:t>
      </w:r>
    </w:p>
    <w:p>
      <w:pPr>
        <w:spacing w:before="160" w:after="280" w:line="360" w:lineRule="auto"/>
        <w:jc w:val="center"/>
      </w:pPr>
      <w:r>
        <w:rPr>
          <w:rFonts w:ascii="Times New Roman" w:hAnsi="Times New Roman"/>
          <w:b/>
          <w:i w:val="0"/>
          <w:color w:val="102C57"/>
          <w:sz w:val="30"/>
        </w:rPr>
        <w:t>CERTIFICATE</w:t>
      </w:r>
    </w:p>
    <w:p>
      <w:pPr>
        <w:spacing w:before="0" w:after="120" w:line="360" w:lineRule="auto"/>
        <w:jc w:val="both"/>
      </w:pPr>
      <w:r>
        <w:rPr>
          <w:rFonts w:ascii="Times New Roman" w:hAnsi="Times New Roman"/>
          <w:b w:val="0"/>
          <w:i w:val="0"/>
          <w:color w:val="000000"/>
          <w:sz w:val="24"/>
        </w:rPr>
        <w:t>This is to certify that the Major Project Phase-II (BIS786) work entitled "BREACHSHIELD: A PRIVACY-PRESERVING OSINT BREACH INTELLIGENCE PLATFORM WITH K-ANONYMOUS SEARCH AND BLOCKCHAIN-ANCHORED AUDIT LOGGING" carried out by ARVIND D H (1AY24IS400), GIRISHKUMAR N M (1AY24IS404), MANOJ (1AY24IS406), and PREMKUMAR TELI (1AY24IS407), bonafide students of Acharya Institute of Technology, Bengaluru, in partial fulfillment for the award of the degree of Bachelor of Engineering in Information Science and Engineering of the Visvesvaraya Technological University, Belagavi during the academic year 2026–2027. It is certified that all corrections and suggestions indicated for Internal Assessment have been incorporated in the report deposited in the departmental library. The Major Project Phase-II report has been approved as it satisfies the academic requirements in respect of Major Project Phase-II (BIS786) prescribed for the said degree.</w:t>
      </w:r>
    </w:p>
    <w:p>
      <w:pPr>
        <w:spacing w:before="720" w:after="0" w:line="360" w:lineRule="auto"/>
        <w:jc w:val="left"/>
      </w:pPr>
    </w:p>
    <w:tbl>
      <w:tblPr>
        <w:tblW w:type="auto" w:w="0"/>
        <w:jc w:val="center"/>
        <w:tblLook w:firstColumn="1" w:firstRow="1" w:lastColumn="0" w:lastRow="0" w:noHBand="0" w:noVBand="1" w:val="04A0"/>
      </w:tblPr>
      <w:tblGrid>
        <w:gridCol w:w="2890"/>
        <w:gridCol w:w="2890"/>
        <w:gridCol w:w="2890"/>
      </w:tblGrid>
      <w:tr>
        <w:tc>
          <w:tcPr>
            <w:tcW w:type="dxa" w:w="3168"/>
          </w:tcPr>
          <w:p>
            <w:pPr>
              <w:jc w:val="center"/>
            </w:pPr>
            <w:r>
              <w:rPr>
                <w:rFonts w:ascii="Times New Roman" w:hAnsi="Times New Roman"/>
                <w:b/>
                <w:sz w:val="21"/>
              </w:rPr>
              <w:t>Signature of the Guide</w:t>
            </w:r>
          </w:p>
        </w:tc>
        <w:tc>
          <w:tcPr>
            <w:tcW w:type="dxa" w:w="3168"/>
          </w:tcPr>
          <w:p>
            <w:pPr>
              <w:jc w:val="center"/>
            </w:pPr>
            <w:r>
              <w:rPr>
                <w:rFonts w:ascii="Times New Roman" w:hAnsi="Times New Roman"/>
                <w:b/>
                <w:sz w:val="21"/>
              </w:rPr>
              <w:t>Signature of the HOD</w:t>
            </w:r>
          </w:p>
        </w:tc>
        <w:tc>
          <w:tcPr>
            <w:tcW w:type="dxa" w:w="3168"/>
          </w:tcPr>
          <w:p>
            <w:pPr>
              <w:jc w:val="center"/>
            </w:pPr>
            <w:r>
              <w:rPr>
                <w:rFonts w:ascii="Times New Roman" w:hAnsi="Times New Roman"/>
                <w:b/>
                <w:sz w:val="21"/>
              </w:rPr>
              <w:t>Signature of the Principal</w:t>
            </w:r>
          </w:p>
        </w:tc>
      </w:tr>
      <w:tr>
        <w:tc>
          <w:tcPr>
            <w:tcW w:type="dxa" w:w="3168"/>
          </w:tcPr>
          <w:p>
            <w:pPr>
              <w:jc w:val="center"/>
            </w:pPr>
            <w:r>
              <w:rPr>
                <w:rFonts w:ascii="Times New Roman" w:hAnsi="Times New Roman"/>
                <w:b/>
                <w:sz w:val="20"/>
              </w:rPr>
              <w:br/>
              <w:br/>
              <w:t>Prof. SUSHMA T. M.</w:t>
              <w:br/>
              <w:t>Assistant Professor</w:t>
            </w:r>
          </w:p>
        </w:tc>
        <w:tc>
          <w:tcPr>
            <w:tcW w:type="dxa" w:w="3168"/>
          </w:tcPr>
          <w:p>
            <w:pPr>
              <w:jc w:val="center"/>
            </w:pPr>
            <w:r>
              <w:rPr>
                <w:rFonts w:ascii="Times New Roman" w:hAnsi="Times New Roman"/>
                <w:b/>
                <w:sz w:val="20"/>
              </w:rPr>
              <w:br/>
              <w:br/>
              <w:t>Prof. MITHUNA H. R.</w:t>
              <w:br/>
              <w:t>Head of Department</w:t>
            </w:r>
          </w:p>
        </w:tc>
        <w:tc>
          <w:tcPr>
            <w:tcW w:type="dxa" w:w="3168"/>
          </w:tcPr>
          <w:p>
            <w:pPr>
              <w:jc w:val="center"/>
            </w:pPr>
            <w:r>
              <w:rPr>
                <w:rFonts w:ascii="Times New Roman" w:hAnsi="Times New Roman"/>
                <w:b/>
                <w:sz w:val="20"/>
              </w:rPr>
              <w:br/>
              <w:br/>
              <w:t>Dr. C. K. MARIGOWDA</w:t>
              <w:br/>
              <w:t>Principal</w:t>
            </w:r>
          </w:p>
        </w:tc>
      </w:tr>
    </w:tbl>
    <w:p>
      <w:pPr>
        <w:spacing w:before="480" w:after="0" w:line="360" w:lineRule="auto"/>
        <w:jc w:val="left"/>
      </w:pPr>
    </w:p>
    <w:p>
      <w:pPr>
        <w:spacing w:before="320" w:after="160" w:line="360" w:lineRule="auto"/>
        <w:jc w:val="left"/>
      </w:pPr>
      <w:r>
        <w:rPr>
          <w:rFonts w:ascii="Times New Roman" w:hAnsi="Times New Roman"/>
          <w:b/>
          <w:i w:val="0"/>
          <w:color w:val="000000"/>
          <w:sz w:val="22"/>
        </w:rPr>
        <w:t>Name of External Examiners:                                         Signature with Date:</w:t>
      </w:r>
    </w:p>
    <w:p>
      <w:pPr>
        <w:spacing w:before="80" w:after="80" w:line="360" w:lineRule="auto"/>
        <w:jc w:val="left"/>
      </w:pPr>
      <w:r>
        <w:rPr>
          <w:rFonts w:ascii="Times New Roman" w:hAnsi="Times New Roman"/>
          <w:b w:val="0"/>
          <w:i w:val="0"/>
          <w:color w:val="000000"/>
          <w:sz w:val="22"/>
        </w:rPr>
        <w:t>1. .....................................................                     .....................................................</w:t>
      </w:r>
    </w:p>
    <w:p>
      <w:pPr>
        <w:spacing w:before="80" w:after="160" w:line="360" w:lineRule="auto"/>
        <w:jc w:val="left"/>
      </w:pPr>
      <w:r>
        <w:rPr>
          <w:rFonts w:ascii="Times New Roman" w:hAnsi="Times New Roman"/>
          <w:b w:val="0"/>
          <w:i w:val="0"/>
          <w:color w:val="000000"/>
          <w:sz w:val="22"/>
        </w:rPr>
        <w:t>2. .....................................................                     .....................................................</w:t>
      </w:r>
    </w:p>
    <w:p>
      <w:r>
        <w:br w:type="page"/>
      </w:r>
    </w:p>
    <w:p>
      <w:pPr>
        <w:spacing w:before="320" w:after="320" w:line="360" w:lineRule="auto"/>
        <w:jc w:val="center"/>
      </w:pPr>
      <w:r>
        <w:rPr>
          <w:rFonts w:ascii="Times New Roman" w:hAnsi="Times New Roman"/>
          <w:b/>
          <w:i w:val="0"/>
          <w:color w:val="102C57"/>
          <w:sz w:val="32"/>
        </w:rPr>
        <w:t>DECLARATION</w:t>
      </w:r>
    </w:p>
    <w:p>
      <w:pPr>
        <w:spacing w:before="0" w:after="120" w:line="360" w:lineRule="auto"/>
        <w:jc w:val="both"/>
      </w:pPr>
      <w:r>
        <w:rPr>
          <w:rFonts w:ascii="Times New Roman" w:hAnsi="Times New Roman"/>
          <w:b w:val="0"/>
          <w:i w:val="0"/>
          <w:color w:val="000000"/>
          <w:sz w:val="24"/>
        </w:rPr>
        <w:t>We, ARVIND D H (1AY24IS400), GIRISHKUMAR N M (1AY24IS404), MANOJ (1AY24IS406), and PREMKUMAR TELI (1AY24IS407), students of Bachelor of Engineering in Information Science and Engineering, Acharya Institute of Technology, Bangalore, hereby declare that the Major Project Phase-II work entitled "BREACHSHIELD: A PRIVACY-PRESERVING OSINT BREACH INTELLIGENCE PLATFORM WITH K-ANONYMOUS SEARCH AND BLOCKCHAIN-ANCHORED AUDIT LOGGING" is an authentic work carried out by us under the supervision and guidance of Prof. SUSHMA T. M., Assistant Professor, Department of Information Science and Engineering, Acharya Institute of Technology, Bangalore.</w:t>
      </w:r>
    </w:p>
    <w:p>
      <w:pPr>
        <w:spacing w:before="0" w:after="120" w:line="360" w:lineRule="auto"/>
        <w:jc w:val="both"/>
      </w:pPr>
      <w:r>
        <w:rPr>
          <w:rFonts w:ascii="Times New Roman" w:hAnsi="Times New Roman"/>
          <w:b w:val="0"/>
          <w:i w:val="0"/>
          <w:color w:val="000000"/>
          <w:sz w:val="24"/>
        </w:rPr>
        <w:t>We further declare that we have not submitted the matter embodied in this report to any other university or institution for the award of any other degree or diploma.</w:t>
      </w:r>
    </w:p>
    <w:p>
      <w:pPr>
        <w:spacing w:before="320" w:after="320" w:line="360" w:lineRule="auto"/>
        <w:jc w:val="left"/>
      </w:pPr>
      <w:r>
        <w:rPr>
          <w:rFonts w:ascii="Times New Roman" w:hAnsi="Times New Roman"/>
          <w:b/>
          <w:i w:val="0"/>
          <w:color w:val="000000"/>
          <w:sz w:val="22"/>
        </w:rPr>
        <w:t>Place: Bengaluru</w:t>
        <w:br/>
        <w:t>Date: 12 October 2026</w:t>
      </w:r>
    </w:p>
    <w:tbl>
      <w:tblPr>
        <w:tblW w:type="auto" w:w="0"/>
        <w:jc w:val="center"/>
        <w:tblLook w:firstColumn="1" w:firstRow="1" w:lastColumn="0" w:lastRow="0" w:noHBand="0" w:noVBand="1" w:val="04A0"/>
      </w:tblPr>
      <w:tblGrid>
        <w:gridCol w:w="2890"/>
        <w:gridCol w:w="2890"/>
        <w:gridCol w:w="2890"/>
      </w:tblGrid>
      <w:tr>
        <w:tc>
          <w:tcPr>
            <w:tcW w:type="dxa" w:w="2890"/>
          </w:tcPr>
          <w:p>
            <w:r>
              <w:rPr>
                <w:rFonts w:ascii="Times New Roman" w:hAnsi="Times New Roman"/>
                <w:b/>
                <w:sz w:val="22"/>
              </w:rPr>
              <w:t>Name</w:t>
            </w:r>
          </w:p>
        </w:tc>
        <w:tc>
          <w:tcPr>
            <w:tcW w:type="dxa" w:w="2890"/>
          </w:tcPr>
          <w:p>
            <w:r>
              <w:rPr>
                <w:rFonts w:ascii="Times New Roman" w:hAnsi="Times New Roman"/>
                <w:b/>
                <w:sz w:val="22"/>
              </w:rPr>
              <w:t>USN</w:t>
            </w:r>
          </w:p>
        </w:tc>
        <w:tc>
          <w:tcPr>
            <w:tcW w:type="dxa" w:w="2890"/>
          </w:tcPr>
          <w:p>
            <w:r>
              <w:rPr>
                <w:rFonts w:ascii="Times New Roman" w:hAnsi="Times New Roman"/>
                <w:b/>
                <w:sz w:val="22"/>
              </w:rPr>
              <w:t>Signature</w:t>
            </w:r>
          </w:p>
        </w:tc>
      </w:tr>
      <w:tr>
        <w:tc>
          <w:tcPr>
            <w:tcW w:type="dxa" w:w="3744"/>
          </w:tcPr>
          <w:p>
            <w:r>
              <w:rPr>
                <w:rFonts w:ascii="Times New Roman" w:hAnsi="Times New Roman"/>
              </w:rPr>
              <w:t>ARVIND D H</w:t>
            </w:r>
          </w:p>
        </w:tc>
        <w:tc>
          <w:tcPr>
            <w:tcW w:type="dxa" w:w="2592"/>
          </w:tcPr>
          <w:p>
            <w:r>
              <w:rPr>
                <w:rFonts w:ascii="Times New Roman" w:hAnsi="Times New Roman"/>
              </w:rPr>
              <w:t>1AY24IS400</w:t>
            </w:r>
          </w:p>
        </w:tc>
        <w:tc>
          <w:tcPr>
            <w:tcW w:type="dxa" w:w="2592"/>
          </w:tcPr>
          <w:p>
            <w:r>
              <w:rPr>
                <w:rFonts w:ascii="Times New Roman" w:hAnsi="Times New Roman"/>
              </w:rPr>
              <w:t>................................</w:t>
            </w:r>
          </w:p>
        </w:tc>
      </w:tr>
      <w:tr>
        <w:tc>
          <w:tcPr>
            <w:tcW w:type="dxa" w:w="3744"/>
          </w:tcPr>
          <w:p>
            <w:r>
              <w:rPr>
                <w:rFonts w:ascii="Times New Roman" w:hAnsi="Times New Roman"/>
              </w:rPr>
              <w:t>GIRISHKUMAR N M</w:t>
            </w:r>
          </w:p>
        </w:tc>
        <w:tc>
          <w:tcPr>
            <w:tcW w:type="dxa" w:w="2592"/>
          </w:tcPr>
          <w:p>
            <w:r>
              <w:rPr>
                <w:rFonts w:ascii="Times New Roman" w:hAnsi="Times New Roman"/>
              </w:rPr>
              <w:t>1AY24IS404</w:t>
            </w:r>
          </w:p>
        </w:tc>
        <w:tc>
          <w:tcPr>
            <w:tcW w:type="dxa" w:w="2592"/>
          </w:tcPr>
          <w:p>
            <w:r>
              <w:rPr>
                <w:rFonts w:ascii="Times New Roman" w:hAnsi="Times New Roman"/>
              </w:rPr>
              <w:t>................................</w:t>
            </w:r>
          </w:p>
        </w:tc>
      </w:tr>
      <w:tr>
        <w:tc>
          <w:tcPr>
            <w:tcW w:type="dxa" w:w="3744"/>
          </w:tcPr>
          <w:p>
            <w:r>
              <w:rPr>
                <w:rFonts w:ascii="Times New Roman" w:hAnsi="Times New Roman"/>
              </w:rPr>
              <w:t>MANOJ</w:t>
            </w:r>
          </w:p>
        </w:tc>
        <w:tc>
          <w:tcPr>
            <w:tcW w:type="dxa" w:w="2592"/>
          </w:tcPr>
          <w:p>
            <w:r>
              <w:rPr>
                <w:rFonts w:ascii="Times New Roman" w:hAnsi="Times New Roman"/>
              </w:rPr>
              <w:t>1AY24IS406</w:t>
            </w:r>
          </w:p>
        </w:tc>
        <w:tc>
          <w:tcPr>
            <w:tcW w:type="dxa" w:w="2592"/>
          </w:tcPr>
          <w:p>
            <w:r>
              <w:rPr>
                <w:rFonts w:ascii="Times New Roman" w:hAnsi="Times New Roman"/>
              </w:rPr>
              <w:t>................................</w:t>
            </w:r>
          </w:p>
        </w:tc>
      </w:tr>
      <w:tr>
        <w:tc>
          <w:tcPr>
            <w:tcW w:type="dxa" w:w="3744"/>
          </w:tcPr>
          <w:p>
            <w:r>
              <w:rPr>
                <w:rFonts w:ascii="Times New Roman" w:hAnsi="Times New Roman"/>
              </w:rPr>
              <w:t>PREMKUMAR TELI</w:t>
            </w:r>
          </w:p>
        </w:tc>
        <w:tc>
          <w:tcPr>
            <w:tcW w:type="dxa" w:w="2592"/>
          </w:tcPr>
          <w:p>
            <w:r>
              <w:rPr>
                <w:rFonts w:ascii="Times New Roman" w:hAnsi="Times New Roman"/>
              </w:rPr>
              <w:t>1AY24IS407</w:t>
            </w:r>
          </w:p>
        </w:tc>
        <w:tc>
          <w:tcPr>
            <w:tcW w:type="dxa" w:w="2592"/>
          </w:tcPr>
          <w:p>
            <w:r>
              <w:rPr>
                <w:rFonts w:ascii="Times New Roman" w:hAnsi="Times New Roman"/>
              </w:rPr>
              <w:t>................................</w:t>
            </w:r>
          </w:p>
        </w:tc>
      </w:tr>
    </w:tbl>
    <w:p>
      <w:r>
        <w:br w:type="page"/>
      </w:r>
    </w:p>
    <w:p>
      <w:pPr>
        <w:spacing w:before="320" w:after="320" w:line="360" w:lineRule="auto"/>
        <w:jc w:val="center"/>
      </w:pPr>
      <w:r>
        <w:rPr>
          <w:rFonts w:ascii="Times New Roman" w:hAnsi="Times New Roman"/>
          <w:b/>
          <w:i w:val="0"/>
          <w:color w:val="102C57"/>
          <w:sz w:val="32"/>
        </w:rPr>
        <w:t>ACKNOWLEDGEMENT</w:t>
      </w:r>
    </w:p>
    <w:p>
      <w:pPr>
        <w:spacing w:before="0" w:after="120" w:line="360" w:lineRule="auto"/>
        <w:jc w:val="both"/>
      </w:pPr>
      <w:r>
        <w:rPr>
          <w:rFonts w:ascii="Times New Roman" w:hAnsi="Times New Roman"/>
          <w:b w:val="0"/>
          <w:i w:val="0"/>
          <w:color w:val="000000"/>
          <w:sz w:val="24"/>
        </w:rPr>
        <w:t>The satisfaction that accompanies the successful completion of the Major Project Phase-II (BIS786) report would be incomplete without mentioning the individuals who made it possible through their constant guidance, inspiration, and encouragement.</w:t>
      </w:r>
    </w:p>
    <w:p>
      <w:pPr>
        <w:spacing w:before="0" w:after="120" w:line="360" w:lineRule="auto"/>
        <w:jc w:val="both"/>
      </w:pPr>
      <w:r>
        <w:rPr>
          <w:rFonts w:ascii="Times New Roman" w:hAnsi="Times New Roman"/>
          <w:b w:val="0"/>
          <w:i w:val="0"/>
          <w:color w:val="000000"/>
          <w:sz w:val="24"/>
        </w:rPr>
        <w:t>We take this privilege to express our heartfelt gratitude to Sri B. Premnath Reddy, Founder Chairman, Acharya Institutes, and Dr. C. K. Marigowda, Principal, Acharya Institute of Technology, for providing the state-of-the-art computational infrastructure, laboratories, and supportive academic atmosphere essential for completing this major project work.</w:t>
      </w:r>
    </w:p>
    <w:p>
      <w:pPr>
        <w:spacing w:before="0" w:after="120" w:line="360" w:lineRule="auto"/>
        <w:jc w:val="both"/>
      </w:pPr>
      <w:r>
        <w:rPr>
          <w:rFonts w:ascii="Times New Roman" w:hAnsi="Times New Roman"/>
          <w:b w:val="0"/>
          <w:i w:val="0"/>
          <w:color w:val="000000"/>
          <w:sz w:val="24"/>
        </w:rPr>
        <w:t>We wish to express our deepest gratitude and indebtedness to Prof. Mithuna H. R., Head of the Department, Information Science and Engineering, for her invaluable guidance, visionary leadership, and persistent motivation throughout our academic journey.</w:t>
      </w:r>
    </w:p>
    <w:p>
      <w:pPr>
        <w:spacing w:before="0" w:after="120" w:line="360" w:lineRule="auto"/>
        <w:jc w:val="both"/>
      </w:pPr>
      <w:r>
        <w:rPr>
          <w:rFonts w:ascii="Times New Roman" w:hAnsi="Times New Roman"/>
          <w:b w:val="0"/>
          <w:i w:val="0"/>
          <w:color w:val="000000"/>
          <w:sz w:val="24"/>
        </w:rPr>
        <w:t>We extend our sincere thanks to the Project Coordinators, Prof. Yogesh N and Dr. Pankaj Kumar, for their structured evaluations, rigorous timeline management, and constructive critical reviews that significantly refined the quality of our project execution.</w:t>
      </w:r>
    </w:p>
    <w:p>
      <w:pPr>
        <w:spacing w:before="0" w:after="120" w:line="360" w:lineRule="auto"/>
        <w:jc w:val="both"/>
      </w:pPr>
      <w:r>
        <w:rPr>
          <w:rFonts w:ascii="Times New Roman" w:hAnsi="Times New Roman"/>
          <w:b w:val="0"/>
          <w:i w:val="0"/>
          <w:color w:val="000000"/>
          <w:sz w:val="24"/>
        </w:rPr>
        <w:t>We are profoundly indebted to our project guide, Prof. Sushma T. M., Assistant Professor, Department of Information Science and Engineering, for her dedicated mentorship, invaluable technical suggestions, prompt feedback, and unwavering encouragement across every phase of system design and implementation.</w:t>
      </w:r>
    </w:p>
    <w:p>
      <w:pPr>
        <w:spacing w:before="0" w:after="120" w:line="360" w:lineRule="auto"/>
        <w:jc w:val="both"/>
      </w:pPr>
      <w:r>
        <w:rPr>
          <w:rFonts w:ascii="Times New Roman" w:hAnsi="Times New Roman"/>
          <w:b w:val="0"/>
          <w:i w:val="0"/>
          <w:color w:val="000000"/>
          <w:sz w:val="24"/>
        </w:rPr>
        <w:t>Finally, we thank all the faculty members of the Department of Information Science and Engineering, our parents, and our friends for their moral support and assistance throughout the duration of this project.</w:t>
      </w:r>
    </w:p>
    <w:p>
      <w:pPr>
        <w:spacing w:before="280" w:after="200" w:line="360" w:lineRule="auto"/>
        <w:jc w:val="right"/>
      </w:pPr>
      <w:r>
        <w:rPr>
          <w:rFonts w:ascii="Times New Roman" w:hAnsi="Times New Roman"/>
          <w:b/>
          <w:i w:val="0"/>
          <w:color w:val="000000"/>
          <w:sz w:val="22"/>
        </w:rPr>
        <w:t>Arvind D H (1AY24IS400)</w:t>
        <w:br/>
        <w:t>Girishkumar N M (1AY24IS404)</w:t>
        <w:br/>
        <w:t>Manoj (1AY24IS406)</w:t>
        <w:br/>
        <w:t>Premkumar Teli (1AY24IS407)</w:t>
      </w:r>
    </w:p>
    <w:p>
      <w:r>
        <w:br w:type="page"/>
      </w:r>
    </w:p>
    <w:p>
      <w:pPr>
        <w:spacing w:before="320" w:after="320" w:line="360" w:lineRule="auto"/>
        <w:jc w:val="center"/>
      </w:pPr>
      <w:r>
        <w:rPr>
          <w:rFonts w:ascii="Times New Roman" w:hAnsi="Times New Roman"/>
          <w:b/>
          <w:i w:val="0"/>
          <w:color w:val="102C57"/>
          <w:sz w:val="32"/>
        </w:rPr>
        <w:t>ABSTRACT</w:t>
      </w:r>
    </w:p>
    <w:p>
      <w:pPr>
        <w:spacing w:before="0" w:after="120" w:line="360" w:lineRule="auto"/>
        <w:jc w:val="both"/>
      </w:pPr>
      <w:r>
        <w:rPr>
          <w:rFonts w:ascii="Times New Roman" w:hAnsi="Times New Roman"/>
          <w:b w:val="0"/>
          <w:i w:val="0"/>
          <w:color w:val="000000"/>
          <w:sz w:val="24"/>
        </w:rPr>
        <w:t>Breach-checking and threat intelligence services face an inherent privacy contradiction: to determine whether an email address, phone number, or credential identifier has been exposed in a security breach, the user is conventionally required to transmit that identifier in the clear to a centralized third-party server. This paradigm transforms a protective tool into an involuntary surveillance vector. This dissertation presents BreachShield, a production-grade, privacy-preserving OSINT breach intelligence and threat detection platform engineered to eliminate cleartext query disclosure. BreachShield operates via a client-side k-anonymity search protocol utilizing the browser-native Web Crypto API to hash queries using SHA-256 and transmit only a 5-hexadecimal-character prefix over the wire. Suffix matching and candidate correlation are executed strictly in volatile client memory, guaranteeing zero exposure of user credentials.</w:t>
      </w:r>
    </w:p>
    <w:p>
      <w:pPr>
        <w:spacing w:before="0" w:after="120" w:line="360" w:lineRule="auto"/>
        <w:jc w:val="both"/>
      </w:pPr>
      <w:r>
        <w:rPr>
          <w:rFonts w:ascii="Times New Roman" w:hAnsi="Times New Roman"/>
          <w:b w:val="0"/>
          <w:i w:val="0"/>
          <w:color w:val="000000"/>
          <w:sz w:val="24"/>
        </w:rPr>
        <w:t>To prevent automated credential harvesting and enforce non-repudiation, BreachShield implements an out-of-band dual-channel identity verification gate supporting email SMTP delivery and an Android WebSocket SMS relay, secured with bcrypt hashing, a 30-second rate-limiting cooldown, and a 5-attempt brute-force lockout threshold. Breach queries are resolved through a modular multi-source OSINT registry that concurrently queries live Telegram MTProto threat channels, the HaveIBeenPwned catalog, and indexed breach repositories via non-blocking asynchronous promises. Threat categorization is augmented by a machine learning classification engine combining a fine-tuned UrlBERT transformer model for real-time phishing URL detection and an empirical XGBoost classifier achieving 89.2% accuracy across 1,034 curated breach records. Finally, every query and administrative action is cryptographically serialized into SHA-256 Merkle trees and anchored to a local Ethereum Virtual Machine (EVM) smart contract (AnchorRegistry.sol), creating an immutable, tamper-evident forensic audit trail. The complete platform is validated through 175 automated test suites with a 100% pass rate and culminated in an accepted IEEE international conference publication, providing a verified blueprint for privacy-preserving cyber threat intelligence.</w:t>
      </w:r>
    </w:p>
    <w:p>
      <w:r>
        <w:br w:type="page"/>
      </w:r>
    </w:p>
    <w:p>
      <w:pPr>
        <w:spacing w:before="320" w:after="320" w:line="360" w:lineRule="auto"/>
        <w:jc w:val="center"/>
      </w:pPr>
      <w:r>
        <w:rPr>
          <w:rFonts w:ascii="Times New Roman" w:hAnsi="Times New Roman"/>
          <w:b/>
          <w:i w:val="0"/>
          <w:color w:val="102C57"/>
          <w:sz w:val="32"/>
        </w:rPr>
        <w:t>TABLE OF CONTENTS</w:t>
      </w:r>
    </w:p>
    <w:tbl>
      <w:tblPr>
        <w:tblW w:type="auto" w:w="0"/>
        <w:jc w:val="center"/>
        <w:tblLook w:firstColumn="1" w:firstRow="1" w:lastColumn="0" w:lastRow="0" w:noHBand="0" w:noVBand="1" w:val="04A0"/>
      </w:tblPr>
      <w:tblGrid>
        <w:gridCol w:w="4334"/>
        <w:gridCol w:w="4334"/>
      </w:tblGrid>
      <w:tr>
        <w:tc>
          <w:tcPr>
            <w:tcW w:type="dxa" w:w="8064"/>
          </w:tcPr>
          <w:p>
            <w:pPr>
              <w:spacing w:line="276" w:lineRule="auto" w:before="20" w:after="20"/>
            </w:pPr>
            <w:r>
              <w:rPr>
                <w:rFonts w:ascii="Times New Roman" w:hAnsi="Times New Roman"/>
                <w:b/>
                <w:sz w:val="21"/>
              </w:rPr>
              <w:t>Acknowledgement</w:t>
            </w:r>
          </w:p>
        </w:tc>
        <w:tc>
          <w:tcPr>
            <w:tcW w:type="dxa" w:w="1152"/>
          </w:tcPr>
          <w:p>
            <w:pPr>
              <w:spacing w:line="276" w:lineRule="auto" w:before="20" w:after="20"/>
              <w:jc w:val="right"/>
            </w:pPr>
            <w:r>
              <w:rPr>
                <w:rFonts w:ascii="Times New Roman" w:hAnsi="Times New Roman"/>
                <w:sz w:val="21"/>
              </w:rPr>
              <w:t>i</w:t>
            </w:r>
          </w:p>
        </w:tc>
      </w:tr>
      <w:tr>
        <w:tc>
          <w:tcPr>
            <w:tcW w:type="dxa" w:w="8064"/>
          </w:tcPr>
          <w:p>
            <w:pPr>
              <w:spacing w:line="276" w:lineRule="auto" w:before="20" w:after="20"/>
            </w:pPr>
            <w:r>
              <w:rPr>
                <w:rFonts w:ascii="Times New Roman" w:hAnsi="Times New Roman"/>
                <w:b/>
                <w:sz w:val="21"/>
              </w:rPr>
              <w:t>Abstract</w:t>
            </w:r>
          </w:p>
        </w:tc>
        <w:tc>
          <w:tcPr>
            <w:tcW w:type="dxa" w:w="1152"/>
          </w:tcPr>
          <w:p>
            <w:pPr>
              <w:spacing w:line="276" w:lineRule="auto" w:before="20" w:after="20"/>
              <w:jc w:val="right"/>
            </w:pPr>
            <w:r>
              <w:rPr>
                <w:rFonts w:ascii="Times New Roman" w:hAnsi="Times New Roman"/>
                <w:sz w:val="21"/>
              </w:rPr>
              <w:t>ii</w:t>
            </w:r>
          </w:p>
        </w:tc>
      </w:tr>
      <w:tr>
        <w:tc>
          <w:tcPr>
            <w:tcW w:type="dxa" w:w="8064"/>
          </w:tcPr>
          <w:p>
            <w:pPr>
              <w:spacing w:line="276" w:lineRule="auto" w:before="20" w:after="20"/>
            </w:pPr>
            <w:r>
              <w:rPr>
                <w:rFonts w:ascii="Times New Roman" w:hAnsi="Times New Roman"/>
                <w:b/>
                <w:sz w:val="21"/>
              </w:rPr>
              <w:t>Table of Contents</w:t>
            </w:r>
          </w:p>
        </w:tc>
        <w:tc>
          <w:tcPr>
            <w:tcW w:type="dxa" w:w="1152"/>
          </w:tcPr>
          <w:p>
            <w:pPr>
              <w:spacing w:line="276" w:lineRule="auto" w:before="20" w:after="20"/>
              <w:jc w:val="right"/>
            </w:pPr>
            <w:r>
              <w:rPr>
                <w:rFonts w:ascii="Times New Roman" w:hAnsi="Times New Roman"/>
                <w:sz w:val="21"/>
              </w:rPr>
              <w:t>iii</w:t>
            </w:r>
          </w:p>
        </w:tc>
      </w:tr>
      <w:tr>
        <w:tc>
          <w:tcPr>
            <w:tcW w:type="dxa" w:w="8064"/>
          </w:tcPr>
          <w:p>
            <w:pPr>
              <w:spacing w:line="276" w:lineRule="auto" w:before="20" w:after="20"/>
            </w:pPr>
            <w:r>
              <w:rPr>
                <w:rFonts w:ascii="Times New Roman" w:hAnsi="Times New Roman"/>
                <w:sz w:val="21"/>
              </w:rPr>
              <w:t>List of Figures</w:t>
            </w:r>
          </w:p>
        </w:tc>
        <w:tc>
          <w:tcPr>
            <w:tcW w:type="dxa" w:w="1152"/>
          </w:tcPr>
          <w:p>
            <w:pPr>
              <w:spacing w:line="276" w:lineRule="auto" w:before="20" w:after="20"/>
              <w:jc w:val="right"/>
            </w:pPr>
            <w:r>
              <w:rPr>
                <w:rFonts w:ascii="Times New Roman" w:hAnsi="Times New Roman"/>
                <w:sz w:val="21"/>
              </w:rPr>
              <w:t>v</w:t>
            </w:r>
          </w:p>
        </w:tc>
      </w:tr>
      <w:tr>
        <w:tc>
          <w:tcPr>
            <w:tcW w:type="dxa" w:w="8064"/>
          </w:tcPr>
          <w:p>
            <w:pPr>
              <w:spacing w:line="276" w:lineRule="auto" w:before="20" w:after="20"/>
            </w:pPr>
            <w:r>
              <w:rPr>
                <w:rFonts w:ascii="Times New Roman" w:hAnsi="Times New Roman"/>
                <w:sz w:val="21"/>
              </w:rPr>
              <w:t>List of Tables</w:t>
            </w:r>
          </w:p>
        </w:tc>
        <w:tc>
          <w:tcPr>
            <w:tcW w:type="dxa" w:w="1152"/>
          </w:tcPr>
          <w:p>
            <w:pPr>
              <w:spacing w:line="276" w:lineRule="auto" w:before="20" w:after="20"/>
              <w:jc w:val="right"/>
            </w:pPr>
            <w:r>
              <w:rPr>
                <w:rFonts w:ascii="Times New Roman" w:hAnsi="Times New Roman"/>
                <w:sz w:val="21"/>
              </w:rPr>
              <w:t>vi</w:t>
            </w:r>
          </w:p>
        </w:tc>
      </w:tr>
      <w:tr>
        <w:tc>
          <w:tcPr>
            <w:tcW w:type="dxa" w:w="8064"/>
          </w:tcPr>
          <w:p>
            <w:pPr>
              <w:spacing w:line="276" w:lineRule="auto" w:before="20" w:after="20"/>
            </w:pPr>
            <w:r>
              <w:rPr>
                <w:rFonts w:ascii="Times New Roman" w:hAnsi="Times New Roman"/>
                <w:b/>
                <w:sz w:val="21"/>
              </w:rPr>
              <w:t>CHAPTER 1: INTRODUCTION</w:t>
            </w:r>
          </w:p>
        </w:tc>
        <w:tc>
          <w:tcPr>
            <w:tcW w:type="dxa" w:w="1152"/>
          </w:tcPr>
          <w:p>
            <w:pPr>
              <w:spacing w:line="276" w:lineRule="auto" w:before="20" w:after="20"/>
              <w:jc w:val="right"/>
            </w:pPr>
            <w:r>
              <w:rPr>
                <w:rFonts w:ascii="Times New Roman" w:hAnsi="Times New Roman"/>
                <w:b/>
                <w:sz w:val="21"/>
              </w:rPr>
              <w:t>1</w:t>
            </w:r>
          </w:p>
        </w:tc>
      </w:tr>
      <w:tr>
        <w:tc>
          <w:tcPr>
            <w:tcW w:type="dxa" w:w="8064"/>
          </w:tcPr>
          <w:p>
            <w:pPr>
              <w:spacing w:line="276" w:lineRule="auto" w:before="20" w:after="20"/>
            </w:pPr>
            <w:r>
              <w:rPr>
                <w:rFonts w:ascii="Times New Roman" w:hAnsi="Times New Roman"/>
                <w:sz w:val="21"/>
              </w:rPr>
              <w:t xml:space="preserve">  1.1 Overview</w:t>
            </w:r>
          </w:p>
        </w:tc>
        <w:tc>
          <w:tcPr>
            <w:tcW w:type="dxa" w:w="1152"/>
          </w:tcPr>
          <w:p>
            <w:pPr>
              <w:spacing w:line="276" w:lineRule="auto" w:before="20" w:after="20"/>
              <w:jc w:val="right"/>
            </w:pPr>
            <w:r>
              <w:rPr>
                <w:rFonts w:ascii="Times New Roman" w:hAnsi="Times New Roman"/>
                <w:sz w:val="21"/>
              </w:rPr>
              <w:t>1</w:t>
            </w:r>
          </w:p>
        </w:tc>
      </w:tr>
      <w:tr>
        <w:tc>
          <w:tcPr>
            <w:tcW w:type="dxa" w:w="8064"/>
          </w:tcPr>
          <w:p>
            <w:pPr>
              <w:spacing w:line="276" w:lineRule="auto" w:before="20" w:after="20"/>
            </w:pPr>
            <w:r>
              <w:rPr>
                <w:rFonts w:ascii="Times New Roman" w:hAnsi="Times New Roman"/>
                <w:sz w:val="21"/>
              </w:rPr>
              <w:t xml:space="preserve">  1.2 Motivation &amp; Industry Context</w:t>
            </w:r>
          </w:p>
        </w:tc>
        <w:tc>
          <w:tcPr>
            <w:tcW w:type="dxa" w:w="1152"/>
          </w:tcPr>
          <w:p>
            <w:pPr>
              <w:spacing w:line="276" w:lineRule="auto" w:before="20" w:after="20"/>
              <w:jc w:val="right"/>
            </w:pPr>
            <w:r>
              <w:rPr>
                <w:rFonts w:ascii="Times New Roman" w:hAnsi="Times New Roman"/>
                <w:sz w:val="21"/>
              </w:rPr>
              <w:t>2</w:t>
            </w:r>
          </w:p>
        </w:tc>
      </w:tr>
      <w:tr>
        <w:tc>
          <w:tcPr>
            <w:tcW w:type="dxa" w:w="8064"/>
          </w:tcPr>
          <w:p>
            <w:pPr>
              <w:spacing w:line="276" w:lineRule="auto" w:before="20" w:after="20"/>
            </w:pPr>
            <w:r>
              <w:rPr>
                <w:rFonts w:ascii="Times New Roman" w:hAnsi="Times New Roman"/>
                <w:sz w:val="21"/>
              </w:rPr>
              <w:t xml:space="preserve">  1.3 Project Objectives</w:t>
            </w:r>
          </w:p>
        </w:tc>
        <w:tc>
          <w:tcPr>
            <w:tcW w:type="dxa" w:w="1152"/>
          </w:tcPr>
          <w:p>
            <w:pPr>
              <w:spacing w:line="276" w:lineRule="auto" w:before="20" w:after="20"/>
              <w:jc w:val="right"/>
            </w:pPr>
            <w:r>
              <w:rPr>
                <w:rFonts w:ascii="Times New Roman" w:hAnsi="Times New Roman"/>
                <w:sz w:val="21"/>
              </w:rPr>
              <w:t>3</w:t>
            </w:r>
          </w:p>
        </w:tc>
      </w:tr>
      <w:tr>
        <w:tc>
          <w:tcPr>
            <w:tcW w:type="dxa" w:w="8064"/>
          </w:tcPr>
          <w:p>
            <w:pPr>
              <w:spacing w:line="276" w:lineRule="auto" w:before="20" w:after="20"/>
            </w:pPr>
            <w:r>
              <w:rPr>
                <w:rFonts w:ascii="Times New Roman" w:hAnsi="Times New Roman"/>
                <w:sz w:val="21"/>
              </w:rPr>
              <w:t xml:space="preserve">  1.4 Scope of the Project</w:t>
            </w:r>
          </w:p>
        </w:tc>
        <w:tc>
          <w:tcPr>
            <w:tcW w:type="dxa" w:w="1152"/>
          </w:tcPr>
          <w:p>
            <w:pPr>
              <w:spacing w:line="276" w:lineRule="auto" w:before="20" w:after="20"/>
              <w:jc w:val="right"/>
            </w:pPr>
            <w:r>
              <w:rPr>
                <w:rFonts w:ascii="Times New Roman" w:hAnsi="Times New Roman"/>
                <w:sz w:val="21"/>
              </w:rPr>
              <w:t>4</w:t>
            </w:r>
          </w:p>
        </w:tc>
      </w:tr>
      <w:tr>
        <w:tc>
          <w:tcPr>
            <w:tcW w:type="dxa" w:w="8064"/>
          </w:tcPr>
          <w:p>
            <w:pPr>
              <w:spacing w:line="276" w:lineRule="auto" w:before="20" w:after="20"/>
            </w:pPr>
            <w:r>
              <w:rPr>
                <w:rFonts w:ascii="Times New Roman" w:hAnsi="Times New Roman"/>
                <w:sz w:val="21"/>
              </w:rPr>
              <w:t xml:space="preserve">  1.5 Existing System &amp; Privacy Shortcomings</w:t>
            </w:r>
          </w:p>
        </w:tc>
        <w:tc>
          <w:tcPr>
            <w:tcW w:type="dxa" w:w="1152"/>
          </w:tcPr>
          <w:p>
            <w:pPr>
              <w:spacing w:line="276" w:lineRule="auto" w:before="20" w:after="20"/>
              <w:jc w:val="right"/>
            </w:pPr>
            <w:r>
              <w:rPr>
                <w:rFonts w:ascii="Times New Roman" w:hAnsi="Times New Roman"/>
                <w:sz w:val="21"/>
              </w:rPr>
              <w:t>5</w:t>
            </w:r>
          </w:p>
        </w:tc>
      </w:tr>
      <w:tr>
        <w:tc>
          <w:tcPr>
            <w:tcW w:type="dxa" w:w="8064"/>
          </w:tcPr>
          <w:p>
            <w:pPr>
              <w:spacing w:line="276" w:lineRule="auto" w:before="20" w:after="20"/>
            </w:pPr>
            <w:r>
              <w:rPr>
                <w:rFonts w:ascii="Times New Roman" w:hAnsi="Times New Roman"/>
                <w:sz w:val="21"/>
              </w:rPr>
              <w:t xml:space="preserve">  1.6 Proposed System Architecture</w:t>
            </w:r>
          </w:p>
        </w:tc>
        <w:tc>
          <w:tcPr>
            <w:tcW w:type="dxa" w:w="1152"/>
          </w:tcPr>
          <w:p>
            <w:pPr>
              <w:spacing w:line="276" w:lineRule="auto" w:before="20" w:after="20"/>
              <w:jc w:val="right"/>
            </w:pPr>
            <w:r>
              <w:rPr>
                <w:rFonts w:ascii="Times New Roman" w:hAnsi="Times New Roman"/>
                <w:sz w:val="21"/>
              </w:rPr>
              <w:t>6</w:t>
            </w:r>
          </w:p>
        </w:tc>
      </w:tr>
      <w:tr>
        <w:tc>
          <w:tcPr>
            <w:tcW w:type="dxa" w:w="8064"/>
          </w:tcPr>
          <w:p>
            <w:pPr>
              <w:spacing w:line="276" w:lineRule="auto" w:before="20" w:after="20"/>
            </w:pPr>
            <w:r>
              <w:rPr>
                <w:rFonts w:ascii="Times New Roman" w:hAnsi="Times New Roman"/>
                <w:b/>
                <w:sz w:val="21"/>
              </w:rPr>
              <w:t>CHAPTER 2: PROBLEM STATEMENT</w:t>
            </w:r>
          </w:p>
        </w:tc>
        <w:tc>
          <w:tcPr>
            <w:tcW w:type="dxa" w:w="1152"/>
          </w:tcPr>
          <w:p>
            <w:pPr>
              <w:spacing w:line="276" w:lineRule="auto" w:before="20" w:after="20"/>
              <w:jc w:val="right"/>
            </w:pPr>
            <w:r>
              <w:rPr>
                <w:rFonts w:ascii="Times New Roman" w:hAnsi="Times New Roman"/>
                <w:b/>
                <w:sz w:val="21"/>
              </w:rPr>
              <w:t>8</w:t>
            </w:r>
          </w:p>
        </w:tc>
      </w:tr>
      <w:tr>
        <w:tc>
          <w:tcPr>
            <w:tcW w:type="dxa" w:w="8064"/>
          </w:tcPr>
          <w:p>
            <w:pPr>
              <w:spacing w:line="276" w:lineRule="auto" w:before="20" w:after="20"/>
            </w:pPr>
            <w:r>
              <w:rPr>
                <w:rFonts w:ascii="Times New Roman" w:hAnsi="Times New Roman"/>
                <w:sz w:val="21"/>
              </w:rPr>
              <w:t xml:space="preserve">  2.1 Problem Definition</w:t>
            </w:r>
          </w:p>
        </w:tc>
        <w:tc>
          <w:tcPr>
            <w:tcW w:type="dxa" w:w="1152"/>
          </w:tcPr>
          <w:p>
            <w:pPr>
              <w:spacing w:line="276" w:lineRule="auto" w:before="20" w:after="20"/>
              <w:jc w:val="right"/>
            </w:pPr>
            <w:r>
              <w:rPr>
                <w:rFonts w:ascii="Times New Roman" w:hAnsi="Times New Roman"/>
                <w:sz w:val="21"/>
              </w:rPr>
              <w:t>8</w:t>
            </w:r>
          </w:p>
        </w:tc>
      </w:tr>
      <w:tr>
        <w:tc>
          <w:tcPr>
            <w:tcW w:type="dxa" w:w="8064"/>
          </w:tcPr>
          <w:p>
            <w:pPr>
              <w:spacing w:line="276" w:lineRule="auto" w:before="20" w:after="20"/>
            </w:pPr>
            <w:r>
              <w:rPr>
                <w:rFonts w:ascii="Times New Roman" w:hAnsi="Times New Roman"/>
                <w:sz w:val="21"/>
              </w:rPr>
              <w:t xml:space="preserve">  2.2 Structural Surveillance &amp; Log Tampering Dilemma</w:t>
            </w:r>
          </w:p>
        </w:tc>
        <w:tc>
          <w:tcPr>
            <w:tcW w:type="dxa" w:w="1152"/>
          </w:tcPr>
          <w:p>
            <w:pPr>
              <w:spacing w:line="276" w:lineRule="auto" w:before="20" w:after="20"/>
              <w:jc w:val="right"/>
            </w:pPr>
            <w:r>
              <w:rPr>
                <w:rFonts w:ascii="Times New Roman" w:hAnsi="Times New Roman"/>
                <w:sz w:val="21"/>
              </w:rPr>
              <w:t>9</w:t>
            </w:r>
          </w:p>
        </w:tc>
      </w:tr>
      <w:tr>
        <w:tc>
          <w:tcPr>
            <w:tcW w:type="dxa" w:w="8064"/>
          </w:tcPr>
          <w:p>
            <w:pPr>
              <w:spacing w:line="276" w:lineRule="auto" w:before="20" w:after="20"/>
            </w:pPr>
            <w:r>
              <w:rPr>
                <w:rFonts w:ascii="Times New Roman" w:hAnsi="Times New Roman"/>
                <w:sz w:val="21"/>
              </w:rPr>
              <w:t xml:space="preserve">  2.3 Research &amp; Technical Objectives</w:t>
            </w:r>
          </w:p>
        </w:tc>
        <w:tc>
          <w:tcPr>
            <w:tcW w:type="dxa" w:w="1152"/>
          </w:tcPr>
          <w:p>
            <w:pPr>
              <w:spacing w:line="276" w:lineRule="auto" w:before="20" w:after="20"/>
              <w:jc w:val="right"/>
            </w:pPr>
            <w:r>
              <w:rPr>
                <w:rFonts w:ascii="Times New Roman" w:hAnsi="Times New Roman"/>
                <w:sz w:val="21"/>
              </w:rPr>
              <w:t>10</w:t>
            </w:r>
          </w:p>
        </w:tc>
      </w:tr>
      <w:tr>
        <w:tc>
          <w:tcPr>
            <w:tcW w:type="dxa" w:w="8064"/>
          </w:tcPr>
          <w:p>
            <w:pPr>
              <w:spacing w:line="276" w:lineRule="auto" w:before="20" w:after="20"/>
            </w:pPr>
            <w:r>
              <w:rPr>
                <w:rFonts w:ascii="Times New Roman" w:hAnsi="Times New Roman"/>
                <w:b/>
                <w:sz w:val="21"/>
              </w:rPr>
              <w:t>CHAPTER 3: SYSTEM REQUIREMENT SPECIFICATION</w:t>
            </w:r>
          </w:p>
        </w:tc>
        <w:tc>
          <w:tcPr>
            <w:tcW w:type="dxa" w:w="1152"/>
          </w:tcPr>
          <w:p>
            <w:pPr>
              <w:spacing w:line="276" w:lineRule="auto" w:before="20" w:after="20"/>
              <w:jc w:val="right"/>
            </w:pPr>
            <w:r>
              <w:rPr>
                <w:rFonts w:ascii="Times New Roman" w:hAnsi="Times New Roman"/>
                <w:b/>
                <w:sz w:val="21"/>
              </w:rPr>
              <w:t>11</w:t>
            </w:r>
          </w:p>
        </w:tc>
      </w:tr>
      <w:tr>
        <w:tc>
          <w:tcPr>
            <w:tcW w:type="dxa" w:w="8064"/>
          </w:tcPr>
          <w:p>
            <w:pPr>
              <w:spacing w:line="276" w:lineRule="auto" w:before="20" w:after="20"/>
            </w:pPr>
            <w:r>
              <w:rPr>
                <w:rFonts w:ascii="Times New Roman" w:hAnsi="Times New Roman"/>
                <w:sz w:val="21"/>
              </w:rPr>
              <w:t xml:space="preserve">  3.1 Functional Requirements</w:t>
            </w:r>
          </w:p>
        </w:tc>
        <w:tc>
          <w:tcPr>
            <w:tcW w:type="dxa" w:w="1152"/>
          </w:tcPr>
          <w:p>
            <w:pPr>
              <w:spacing w:line="276" w:lineRule="auto" w:before="20" w:after="20"/>
              <w:jc w:val="right"/>
            </w:pPr>
            <w:r>
              <w:rPr>
                <w:rFonts w:ascii="Times New Roman" w:hAnsi="Times New Roman"/>
                <w:sz w:val="21"/>
              </w:rPr>
              <w:t>11</w:t>
            </w:r>
          </w:p>
        </w:tc>
      </w:tr>
      <w:tr>
        <w:tc>
          <w:tcPr>
            <w:tcW w:type="dxa" w:w="8064"/>
          </w:tcPr>
          <w:p>
            <w:pPr>
              <w:spacing w:line="276" w:lineRule="auto" w:before="20" w:after="20"/>
            </w:pPr>
            <w:r>
              <w:rPr>
                <w:rFonts w:ascii="Times New Roman" w:hAnsi="Times New Roman"/>
                <w:sz w:val="21"/>
              </w:rPr>
              <w:t xml:space="preserve">  3.2 Non-Functional Requirements</w:t>
            </w:r>
          </w:p>
        </w:tc>
        <w:tc>
          <w:tcPr>
            <w:tcW w:type="dxa" w:w="1152"/>
          </w:tcPr>
          <w:p>
            <w:pPr>
              <w:spacing w:line="276" w:lineRule="auto" w:before="20" w:after="20"/>
              <w:jc w:val="right"/>
            </w:pPr>
            <w:r>
              <w:rPr>
                <w:rFonts w:ascii="Times New Roman" w:hAnsi="Times New Roman"/>
                <w:sz w:val="21"/>
              </w:rPr>
              <w:t>12</w:t>
            </w:r>
          </w:p>
        </w:tc>
      </w:tr>
      <w:tr>
        <w:tc>
          <w:tcPr>
            <w:tcW w:type="dxa" w:w="8064"/>
          </w:tcPr>
          <w:p>
            <w:pPr>
              <w:spacing w:line="276" w:lineRule="auto" w:before="20" w:after="20"/>
            </w:pPr>
            <w:r>
              <w:rPr>
                <w:rFonts w:ascii="Times New Roman" w:hAnsi="Times New Roman"/>
                <w:sz w:val="21"/>
              </w:rPr>
              <w:t xml:space="preserve">  3.3 Hardware Requirements</w:t>
            </w:r>
          </w:p>
        </w:tc>
        <w:tc>
          <w:tcPr>
            <w:tcW w:type="dxa" w:w="1152"/>
          </w:tcPr>
          <w:p>
            <w:pPr>
              <w:spacing w:line="276" w:lineRule="auto" w:before="20" w:after="20"/>
              <w:jc w:val="right"/>
            </w:pPr>
            <w:r>
              <w:rPr>
                <w:rFonts w:ascii="Times New Roman" w:hAnsi="Times New Roman"/>
                <w:sz w:val="21"/>
              </w:rPr>
              <w:t>13</w:t>
            </w:r>
          </w:p>
        </w:tc>
      </w:tr>
      <w:tr>
        <w:tc>
          <w:tcPr>
            <w:tcW w:type="dxa" w:w="8064"/>
          </w:tcPr>
          <w:p>
            <w:pPr>
              <w:spacing w:line="276" w:lineRule="auto" w:before="20" w:after="20"/>
            </w:pPr>
            <w:r>
              <w:rPr>
                <w:rFonts w:ascii="Times New Roman" w:hAnsi="Times New Roman"/>
                <w:sz w:val="21"/>
              </w:rPr>
              <w:t xml:space="preserve">  3.4 Software Requirements &amp; Technology Stack</w:t>
            </w:r>
          </w:p>
        </w:tc>
        <w:tc>
          <w:tcPr>
            <w:tcW w:type="dxa" w:w="1152"/>
          </w:tcPr>
          <w:p>
            <w:pPr>
              <w:spacing w:line="276" w:lineRule="auto" w:before="20" w:after="20"/>
              <w:jc w:val="right"/>
            </w:pPr>
            <w:r>
              <w:rPr>
                <w:rFonts w:ascii="Times New Roman" w:hAnsi="Times New Roman"/>
                <w:sz w:val="21"/>
              </w:rPr>
              <w:t>14</w:t>
            </w:r>
          </w:p>
        </w:tc>
      </w:tr>
      <w:tr>
        <w:tc>
          <w:tcPr>
            <w:tcW w:type="dxa" w:w="8064"/>
          </w:tcPr>
          <w:p>
            <w:pPr>
              <w:spacing w:line="276" w:lineRule="auto" w:before="20" w:after="20"/>
            </w:pPr>
            <w:r>
              <w:rPr>
                <w:rFonts w:ascii="Times New Roman" w:hAnsi="Times New Roman"/>
                <w:b/>
                <w:sz w:val="21"/>
              </w:rPr>
              <w:t>CHAPTER 4: SYSTEM DESIGN</w:t>
            </w:r>
          </w:p>
        </w:tc>
        <w:tc>
          <w:tcPr>
            <w:tcW w:type="dxa" w:w="1152"/>
          </w:tcPr>
          <w:p>
            <w:pPr>
              <w:spacing w:line="276" w:lineRule="auto" w:before="20" w:after="20"/>
              <w:jc w:val="right"/>
            </w:pPr>
            <w:r>
              <w:rPr>
                <w:rFonts w:ascii="Times New Roman" w:hAnsi="Times New Roman"/>
                <w:b/>
                <w:sz w:val="21"/>
              </w:rPr>
              <w:t>15</w:t>
            </w:r>
          </w:p>
        </w:tc>
      </w:tr>
      <w:tr>
        <w:tc>
          <w:tcPr>
            <w:tcW w:type="dxa" w:w="8064"/>
          </w:tcPr>
          <w:p>
            <w:pPr>
              <w:spacing w:line="276" w:lineRule="auto" w:before="20" w:after="20"/>
            </w:pPr>
            <w:r>
              <w:rPr>
                <w:rFonts w:ascii="Times New Roman" w:hAnsi="Times New Roman"/>
                <w:sz w:val="21"/>
              </w:rPr>
              <w:t xml:space="preserve">  4.1 Architectural Design (Four-Tier Architecture)</w:t>
            </w:r>
          </w:p>
        </w:tc>
        <w:tc>
          <w:tcPr>
            <w:tcW w:type="dxa" w:w="1152"/>
          </w:tcPr>
          <w:p>
            <w:pPr>
              <w:spacing w:line="276" w:lineRule="auto" w:before="20" w:after="20"/>
              <w:jc w:val="right"/>
            </w:pPr>
            <w:r>
              <w:rPr>
                <w:rFonts w:ascii="Times New Roman" w:hAnsi="Times New Roman"/>
                <w:sz w:val="21"/>
              </w:rPr>
              <w:t>15</w:t>
            </w:r>
          </w:p>
        </w:tc>
      </w:tr>
      <w:tr>
        <w:tc>
          <w:tcPr>
            <w:tcW w:type="dxa" w:w="8064"/>
          </w:tcPr>
          <w:p>
            <w:pPr>
              <w:spacing w:line="276" w:lineRule="auto" w:before="20" w:after="20"/>
            </w:pPr>
            <w:r>
              <w:rPr>
                <w:rFonts w:ascii="Times New Roman" w:hAnsi="Times New Roman"/>
                <w:sz w:val="21"/>
              </w:rPr>
              <w:t xml:space="preserve">  4.2 Module Decomposition &amp; Interactions</w:t>
            </w:r>
          </w:p>
        </w:tc>
        <w:tc>
          <w:tcPr>
            <w:tcW w:type="dxa" w:w="1152"/>
          </w:tcPr>
          <w:p>
            <w:pPr>
              <w:spacing w:line="276" w:lineRule="auto" w:before="20" w:after="20"/>
              <w:jc w:val="right"/>
            </w:pPr>
            <w:r>
              <w:rPr>
                <w:rFonts w:ascii="Times New Roman" w:hAnsi="Times New Roman"/>
                <w:sz w:val="21"/>
              </w:rPr>
              <w:t>17</w:t>
            </w:r>
          </w:p>
        </w:tc>
      </w:tr>
      <w:tr>
        <w:tc>
          <w:tcPr>
            <w:tcW w:type="dxa" w:w="8064"/>
          </w:tcPr>
          <w:p>
            <w:pPr>
              <w:spacing w:line="276" w:lineRule="auto" w:before="20" w:after="20"/>
            </w:pPr>
            <w:r>
              <w:rPr>
                <w:rFonts w:ascii="Times New Roman" w:hAnsi="Times New Roman"/>
                <w:sz w:val="21"/>
              </w:rPr>
              <w:t xml:space="preserve">  4.3 Data Flow Diagrams (DFD Level 0 &amp; Level 1)</w:t>
            </w:r>
          </w:p>
        </w:tc>
        <w:tc>
          <w:tcPr>
            <w:tcW w:type="dxa" w:w="1152"/>
          </w:tcPr>
          <w:p>
            <w:pPr>
              <w:spacing w:line="276" w:lineRule="auto" w:before="20" w:after="20"/>
              <w:jc w:val="right"/>
            </w:pPr>
            <w:r>
              <w:rPr>
                <w:rFonts w:ascii="Times New Roman" w:hAnsi="Times New Roman"/>
                <w:sz w:val="21"/>
              </w:rPr>
              <w:t>19</w:t>
            </w:r>
          </w:p>
        </w:tc>
      </w:tr>
      <w:tr>
        <w:tc>
          <w:tcPr>
            <w:tcW w:type="dxa" w:w="8064"/>
          </w:tcPr>
          <w:p>
            <w:pPr>
              <w:spacing w:line="276" w:lineRule="auto" w:before="20" w:after="20"/>
            </w:pPr>
            <w:r>
              <w:rPr>
                <w:rFonts w:ascii="Times New Roman" w:hAnsi="Times New Roman"/>
                <w:sz w:val="21"/>
              </w:rPr>
              <w:t xml:space="preserve">  4.4 UML Class Diagram</w:t>
            </w:r>
          </w:p>
        </w:tc>
        <w:tc>
          <w:tcPr>
            <w:tcW w:type="dxa" w:w="1152"/>
          </w:tcPr>
          <w:p>
            <w:pPr>
              <w:spacing w:line="276" w:lineRule="auto" w:before="20" w:after="20"/>
              <w:jc w:val="right"/>
            </w:pPr>
            <w:r>
              <w:rPr>
                <w:rFonts w:ascii="Times New Roman" w:hAnsi="Times New Roman"/>
                <w:sz w:val="21"/>
              </w:rPr>
              <w:t>21</w:t>
            </w:r>
          </w:p>
        </w:tc>
      </w:tr>
      <w:tr>
        <w:tc>
          <w:tcPr>
            <w:tcW w:type="dxa" w:w="8064"/>
          </w:tcPr>
          <w:p>
            <w:pPr>
              <w:spacing w:line="276" w:lineRule="auto" w:before="20" w:after="20"/>
            </w:pPr>
            <w:r>
              <w:rPr>
                <w:rFonts w:ascii="Times New Roman" w:hAnsi="Times New Roman"/>
                <w:sz w:val="21"/>
              </w:rPr>
              <w:t xml:space="preserve">  4.5 UML Use Case Diagram</w:t>
            </w:r>
          </w:p>
        </w:tc>
        <w:tc>
          <w:tcPr>
            <w:tcW w:type="dxa" w:w="1152"/>
          </w:tcPr>
          <w:p>
            <w:pPr>
              <w:spacing w:line="276" w:lineRule="auto" w:before="20" w:after="20"/>
              <w:jc w:val="right"/>
            </w:pPr>
            <w:r>
              <w:rPr>
                <w:rFonts w:ascii="Times New Roman" w:hAnsi="Times New Roman"/>
                <w:sz w:val="21"/>
              </w:rPr>
              <w:t>22</w:t>
            </w:r>
          </w:p>
        </w:tc>
      </w:tr>
      <w:tr>
        <w:tc>
          <w:tcPr>
            <w:tcW w:type="dxa" w:w="8064"/>
          </w:tcPr>
          <w:p>
            <w:pPr>
              <w:spacing w:line="276" w:lineRule="auto" w:before="20" w:after="20"/>
            </w:pPr>
            <w:r>
              <w:rPr>
                <w:rFonts w:ascii="Times New Roman" w:hAnsi="Times New Roman"/>
                <w:sz w:val="21"/>
              </w:rPr>
              <w:t xml:space="preserve">  4.6 Cryptographic Audit Ledger &amp; Merkle Anchoring Design</w:t>
            </w:r>
          </w:p>
        </w:tc>
        <w:tc>
          <w:tcPr>
            <w:tcW w:type="dxa" w:w="1152"/>
          </w:tcPr>
          <w:p>
            <w:pPr>
              <w:spacing w:line="276" w:lineRule="auto" w:before="20" w:after="20"/>
              <w:jc w:val="right"/>
            </w:pPr>
            <w:r>
              <w:rPr>
                <w:rFonts w:ascii="Times New Roman" w:hAnsi="Times New Roman"/>
                <w:sz w:val="21"/>
              </w:rPr>
              <w:t>23</w:t>
            </w:r>
          </w:p>
        </w:tc>
      </w:tr>
      <w:tr>
        <w:tc>
          <w:tcPr>
            <w:tcW w:type="dxa" w:w="8064"/>
          </w:tcPr>
          <w:p>
            <w:pPr>
              <w:spacing w:line="276" w:lineRule="auto" w:before="20" w:after="20"/>
            </w:pPr>
            <w:r>
              <w:rPr>
                <w:rFonts w:ascii="Times New Roman" w:hAnsi="Times New Roman"/>
                <w:b/>
                <w:sz w:val="21"/>
              </w:rPr>
              <w:t>CHAPTER 5: IMPLEMENTATION</w:t>
            </w:r>
          </w:p>
        </w:tc>
        <w:tc>
          <w:tcPr>
            <w:tcW w:type="dxa" w:w="1152"/>
          </w:tcPr>
          <w:p>
            <w:pPr>
              <w:spacing w:line="276" w:lineRule="auto" w:before="20" w:after="20"/>
              <w:jc w:val="right"/>
            </w:pPr>
            <w:r>
              <w:rPr>
                <w:rFonts w:ascii="Times New Roman" w:hAnsi="Times New Roman"/>
                <w:b/>
                <w:sz w:val="21"/>
              </w:rPr>
              <w:t>25</w:t>
            </w:r>
          </w:p>
        </w:tc>
      </w:tr>
      <w:tr>
        <w:tc>
          <w:tcPr>
            <w:tcW w:type="dxa" w:w="8064"/>
          </w:tcPr>
          <w:p>
            <w:pPr>
              <w:spacing w:line="276" w:lineRule="auto" w:before="20" w:after="20"/>
            </w:pPr>
            <w:r>
              <w:rPr>
                <w:rFonts w:ascii="Times New Roman" w:hAnsi="Times New Roman"/>
                <w:sz w:val="21"/>
              </w:rPr>
              <w:t xml:space="preserve">  5.1 Client-Side k-Anonymity Hashing Protocol</w:t>
            </w:r>
          </w:p>
        </w:tc>
        <w:tc>
          <w:tcPr>
            <w:tcW w:type="dxa" w:w="1152"/>
          </w:tcPr>
          <w:p>
            <w:pPr>
              <w:spacing w:line="276" w:lineRule="auto" w:before="20" w:after="20"/>
              <w:jc w:val="right"/>
            </w:pPr>
            <w:r>
              <w:rPr>
                <w:rFonts w:ascii="Times New Roman" w:hAnsi="Times New Roman"/>
                <w:sz w:val="21"/>
              </w:rPr>
              <w:t>25</w:t>
            </w:r>
          </w:p>
        </w:tc>
      </w:tr>
      <w:tr>
        <w:tc>
          <w:tcPr>
            <w:tcW w:type="dxa" w:w="8064"/>
          </w:tcPr>
          <w:p>
            <w:pPr>
              <w:spacing w:line="276" w:lineRule="auto" w:before="20" w:after="20"/>
            </w:pPr>
            <w:r>
              <w:rPr>
                <w:rFonts w:ascii="Times New Roman" w:hAnsi="Times New Roman"/>
                <w:sz w:val="21"/>
              </w:rPr>
              <w:t xml:space="preserve">  5.2 Out-of-Band Dual-Channel Authentication Engine</w:t>
            </w:r>
          </w:p>
        </w:tc>
        <w:tc>
          <w:tcPr>
            <w:tcW w:type="dxa" w:w="1152"/>
          </w:tcPr>
          <w:p>
            <w:pPr>
              <w:spacing w:line="276" w:lineRule="auto" w:before="20" w:after="20"/>
              <w:jc w:val="right"/>
            </w:pPr>
            <w:r>
              <w:rPr>
                <w:rFonts w:ascii="Times New Roman" w:hAnsi="Times New Roman"/>
                <w:sz w:val="21"/>
              </w:rPr>
              <w:t>27</w:t>
            </w:r>
          </w:p>
        </w:tc>
      </w:tr>
      <w:tr>
        <w:tc>
          <w:tcPr>
            <w:tcW w:type="dxa" w:w="8064"/>
          </w:tcPr>
          <w:p>
            <w:pPr>
              <w:spacing w:line="276" w:lineRule="auto" w:before="20" w:after="20"/>
            </w:pPr>
            <w:r>
              <w:rPr>
                <w:rFonts w:ascii="Times New Roman" w:hAnsi="Times New Roman"/>
                <w:sz w:val="21"/>
              </w:rPr>
              <w:t xml:space="preserve">  5.3 Pluggable OSINT Aggregation Registry</w:t>
            </w:r>
          </w:p>
        </w:tc>
        <w:tc>
          <w:tcPr>
            <w:tcW w:type="dxa" w:w="1152"/>
          </w:tcPr>
          <w:p>
            <w:pPr>
              <w:spacing w:line="276" w:lineRule="auto" w:before="20" w:after="20"/>
              <w:jc w:val="right"/>
            </w:pPr>
            <w:r>
              <w:rPr>
                <w:rFonts w:ascii="Times New Roman" w:hAnsi="Times New Roman"/>
                <w:sz w:val="21"/>
              </w:rPr>
              <w:t>29</w:t>
            </w:r>
          </w:p>
        </w:tc>
      </w:tr>
      <w:tr>
        <w:tc>
          <w:tcPr>
            <w:tcW w:type="dxa" w:w="8064"/>
          </w:tcPr>
          <w:p>
            <w:pPr>
              <w:spacing w:line="276" w:lineRule="auto" w:before="20" w:after="20"/>
            </w:pPr>
            <w:r>
              <w:rPr>
                <w:rFonts w:ascii="Times New Roman" w:hAnsi="Times New Roman"/>
                <w:sz w:val="21"/>
              </w:rPr>
              <w:t xml:space="preserve">  5.4 Machine Learning Threat Classification Pipeline</w:t>
            </w:r>
          </w:p>
        </w:tc>
        <w:tc>
          <w:tcPr>
            <w:tcW w:type="dxa" w:w="1152"/>
          </w:tcPr>
          <w:p>
            <w:pPr>
              <w:spacing w:line="276" w:lineRule="auto" w:before="20" w:after="20"/>
              <w:jc w:val="right"/>
            </w:pPr>
            <w:r>
              <w:rPr>
                <w:rFonts w:ascii="Times New Roman" w:hAnsi="Times New Roman"/>
                <w:sz w:val="21"/>
              </w:rPr>
              <w:t>31</w:t>
            </w:r>
          </w:p>
        </w:tc>
      </w:tr>
      <w:tr>
        <w:tc>
          <w:tcPr>
            <w:tcW w:type="dxa" w:w="8064"/>
          </w:tcPr>
          <w:p>
            <w:pPr>
              <w:spacing w:line="276" w:lineRule="auto" w:before="20" w:after="20"/>
            </w:pPr>
            <w:r>
              <w:rPr>
                <w:rFonts w:ascii="Times New Roman" w:hAnsi="Times New Roman"/>
                <w:sz w:val="21"/>
              </w:rPr>
              <w:t xml:space="preserve">  5.5 EVM Smart Contract &amp; Merkle Root Anchoring</w:t>
            </w:r>
          </w:p>
        </w:tc>
        <w:tc>
          <w:tcPr>
            <w:tcW w:type="dxa" w:w="1152"/>
          </w:tcPr>
          <w:p>
            <w:pPr>
              <w:spacing w:line="276" w:lineRule="auto" w:before="20" w:after="20"/>
              <w:jc w:val="right"/>
            </w:pPr>
            <w:r>
              <w:rPr>
                <w:rFonts w:ascii="Times New Roman" w:hAnsi="Times New Roman"/>
                <w:sz w:val="21"/>
              </w:rPr>
              <w:t>33</w:t>
            </w:r>
          </w:p>
        </w:tc>
      </w:tr>
      <w:tr>
        <w:tc>
          <w:tcPr>
            <w:tcW w:type="dxa" w:w="8064"/>
          </w:tcPr>
          <w:p>
            <w:pPr>
              <w:spacing w:line="276" w:lineRule="auto" w:before="20" w:after="20"/>
            </w:pPr>
            <w:r>
              <w:rPr>
                <w:rFonts w:ascii="Times New Roman" w:hAnsi="Times New Roman"/>
                <w:b/>
                <w:sz w:val="21"/>
              </w:rPr>
              <w:t>CHAPTER 6: TESTING METHODOLOGY</w:t>
            </w:r>
          </w:p>
        </w:tc>
        <w:tc>
          <w:tcPr>
            <w:tcW w:type="dxa" w:w="1152"/>
          </w:tcPr>
          <w:p>
            <w:pPr>
              <w:spacing w:line="276" w:lineRule="auto" w:before="20" w:after="20"/>
              <w:jc w:val="right"/>
            </w:pPr>
            <w:r>
              <w:rPr>
                <w:rFonts w:ascii="Times New Roman" w:hAnsi="Times New Roman"/>
                <w:b/>
                <w:sz w:val="21"/>
              </w:rPr>
              <w:t>35</w:t>
            </w:r>
          </w:p>
        </w:tc>
      </w:tr>
      <w:tr>
        <w:tc>
          <w:tcPr>
            <w:tcW w:type="dxa" w:w="8064"/>
          </w:tcPr>
          <w:p>
            <w:pPr>
              <w:spacing w:line="276" w:lineRule="auto" w:before="20" w:after="20"/>
            </w:pPr>
            <w:r>
              <w:rPr>
                <w:rFonts w:ascii="Times New Roman" w:hAnsi="Times New Roman"/>
                <w:sz w:val="21"/>
              </w:rPr>
              <w:t xml:space="preserve">  6.1 Testing Strategy &amp; Automation Framework</w:t>
            </w:r>
          </w:p>
        </w:tc>
        <w:tc>
          <w:tcPr>
            <w:tcW w:type="dxa" w:w="1152"/>
          </w:tcPr>
          <w:p>
            <w:pPr>
              <w:spacing w:line="276" w:lineRule="auto" w:before="20" w:after="20"/>
              <w:jc w:val="right"/>
            </w:pPr>
            <w:r>
              <w:rPr>
                <w:rFonts w:ascii="Times New Roman" w:hAnsi="Times New Roman"/>
                <w:sz w:val="21"/>
              </w:rPr>
              <w:t>35</w:t>
            </w:r>
          </w:p>
        </w:tc>
      </w:tr>
      <w:tr>
        <w:tc>
          <w:tcPr>
            <w:tcW w:type="dxa" w:w="8064"/>
          </w:tcPr>
          <w:p>
            <w:pPr>
              <w:spacing w:line="276" w:lineRule="auto" w:before="20" w:after="20"/>
            </w:pPr>
            <w:r>
              <w:rPr>
                <w:rFonts w:ascii="Times New Roman" w:hAnsi="Times New Roman"/>
                <w:sz w:val="21"/>
              </w:rPr>
              <w:t xml:space="preserve">  6.2 Unit Testing &amp; Adversarial Input Fuzzing</w:t>
            </w:r>
          </w:p>
        </w:tc>
        <w:tc>
          <w:tcPr>
            <w:tcW w:type="dxa" w:w="1152"/>
          </w:tcPr>
          <w:p>
            <w:pPr>
              <w:spacing w:line="276" w:lineRule="auto" w:before="20" w:after="20"/>
              <w:jc w:val="right"/>
            </w:pPr>
            <w:r>
              <w:rPr>
                <w:rFonts w:ascii="Times New Roman" w:hAnsi="Times New Roman"/>
                <w:sz w:val="21"/>
              </w:rPr>
              <w:t>36</w:t>
            </w:r>
          </w:p>
        </w:tc>
      </w:tr>
      <w:tr>
        <w:tc>
          <w:tcPr>
            <w:tcW w:type="dxa" w:w="8064"/>
          </w:tcPr>
          <w:p>
            <w:pPr>
              <w:spacing w:line="276" w:lineRule="auto" w:before="20" w:after="20"/>
            </w:pPr>
            <w:r>
              <w:rPr>
                <w:rFonts w:ascii="Times New Roman" w:hAnsi="Times New Roman"/>
                <w:sz w:val="21"/>
              </w:rPr>
              <w:t xml:space="preserve">  6.3 Integration &amp; End-to-End Pipeline Verification</w:t>
            </w:r>
          </w:p>
        </w:tc>
        <w:tc>
          <w:tcPr>
            <w:tcW w:type="dxa" w:w="1152"/>
          </w:tcPr>
          <w:p>
            <w:pPr>
              <w:spacing w:line="276" w:lineRule="auto" w:before="20" w:after="20"/>
              <w:jc w:val="right"/>
            </w:pPr>
            <w:r>
              <w:rPr>
                <w:rFonts w:ascii="Times New Roman" w:hAnsi="Times New Roman"/>
                <w:sz w:val="21"/>
              </w:rPr>
              <w:t>37</w:t>
            </w:r>
          </w:p>
        </w:tc>
      </w:tr>
      <w:tr>
        <w:tc>
          <w:tcPr>
            <w:tcW w:type="dxa" w:w="8064"/>
          </w:tcPr>
          <w:p>
            <w:pPr>
              <w:spacing w:line="276" w:lineRule="auto" w:before="20" w:after="20"/>
            </w:pPr>
            <w:r>
              <w:rPr>
                <w:rFonts w:ascii="Times New Roman" w:hAnsi="Times New Roman"/>
                <w:sz w:val="21"/>
              </w:rPr>
              <w:t xml:space="preserve">  6.4 Security, Rate Limiting &amp; Tamper Evidence Verification</w:t>
            </w:r>
          </w:p>
        </w:tc>
        <w:tc>
          <w:tcPr>
            <w:tcW w:type="dxa" w:w="1152"/>
          </w:tcPr>
          <w:p>
            <w:pPr>
              <w:spacing w:line="276" w:lineRule="auto" w:before="20" w:after="20"/>
              <w:jc w:val="right"/>
            </w:pPr>
            <w:r>
              <w:rPr>
                <w:rFonts w:ascii="Times New Roman" w:hAnsi="Times New Roman"/>
                <w:sz w:val="21"/>
              </w:rPr>
              <w:t>38</w:t>
            </w:r>
          </w:p>
        </w:tc>
      </w:tr>
      <w:tr>
        <w:tc>
          <w:tcPr>
            <w:tcW w:type="dxa" w:w="8064"/>
          </w:tcPr>
          <w:p>
            <w:pPr>
              <w:spacing w:line="276" w:lineRule="auto" w:before="20" w:after="20"/>
            </w:pPr>
            <w:r>
              <w:rPr>
                <w:rFonts w:ascii="Times New Roman" w:hAnsi="Times New Roman"/>
                <w:b/>
                <w:sz w:val="21"/>
              </w:rPr>
              <w:t>CHAPTER 7: TEST CASES AND RESULTS</w:t>
            </w:r>
          </w:p>
        </w:tc>
        <w:tc>
          <w:tcPr>
            <w:tcW w:type="dxa" w:w="1152"/>
          </w:tcPr>
          <w:p>
            <w:pPr>
              <w:spacing w:line="276" w:lineRule="auto" w:before="20" w:after="20"/>
              <w:jc w:val="right"/>
            </w:pPr>
            <w:r>
              <w:rPr>
                <w:rFonts w:ascii="Times New Roman" w:hAnsi="Times New Roman"/>
                <w:b/>
                <w:sz w:val="21"/>
              </w:rPr>
              <w:t>39</w:t>
            </w:r>
          </w:p>
        </w:tc>
      </w:tr>
      <w:tr>
        <w:tc>
          <w:tcPr>
            <w:tcW w:type="dxa" w:w="8064"/>
          </w:tcPr>
          <w:p>
            <w:pPr>
              <w:spacing w:line="276" w:lineRule="auto" w:before="20" w:after="20"/>
            </w:pPr>
            <w:r>
              <w:rPr>
                <w:rFonts w:ascii="Times New Roman" w:hAnsi="Times New Roman"/>
                <w:sz w:val="21"/>
              </w:rPr>
              <w:t xml:space="preserve">  7.1 Comprehensive Test Execution Matrix (12 Test Cases)</w:t>
            </w:r>
          </w:p>
        </w:tc>
        <w:tc>
          <w:tcPr>
            <w:tcW w:type="dxa" w:w="1152"/>
          </w:tcPr>
          <w:p>
            <w:pPr>
              <w:spacing w:line="276" w:lineRule="auto" w:before="20" w:after="20"/>
              <w:jc w:val="right"/>
            </w:pPr>
            <w:r>
              <w:rPr>
                <w:rFonts w:ascii="Times New Roman" w:hAnsi="Times New Roman"/>
                <w:sz w:val="21"/>
              </w:rPr>
              <w:t>39</w:t>
            </w:r>
          </w:p>
        </w:tc>
      </w:tr>
      <w:tr>
        <w:tc>
          <w:tcPr>
            <w:tcW w:type="dxa" w:w="8064"/>
          </w:tcPr>
          <w:p>
            <w:pPr>
              <w:spacing w:line="276" w:lineRule="auto" w:before="20" w:after="20"/>
            </w:pPr>
            <w:r>
              <w:rPr>
                <w:rFonts w:ascii="Times New Roman" w:hAnsi="Times New Roman"/>
                <w:sz w:val="21"/>
              </w:rPr>
              <w:t xml:space="preserve">  7.2 Empirical ML Benchmark Performance Analysis</w:t>
            </w:r>
          </w:p>
        </w:tc>
        <w:tc>
          <w:tcPr>
            <w:tcW w:type="dxa" w:w="1152"/>
          </w:tcPr>
          <w:p>
            <w:pPr>
              <w:spacing w:line="276" w:lineRule="auto" w:before="20" w:after="20"/>
              <w:jc w:val="right"/>
            </w:pPr>
            <w:r>
              <w:rPr>
                <w:rFonts w:ascii="Times New Roman" w:hAnsi="Times New Roman"/>
                <w:sz w:val="21"/>
              </w:rPr>
              <w:t>41</w:t>
            </w:r>
          </w:p>
        </w:tc>
      </w:tr>
      <w:tr>
        <w:tc>
          <w:tcPr>
            <w:tcW w:type="dxa" w:w="8064"/>
          </w:tcPr>
          <w:p>
            <w:pPr>
              <w:spacing w:line="276" w:lineRule="auto" w:before="20" w:after="20"/>
            </w:pPr>
            <w:r>
              <w:rPr>
                <w:rFonts w:ascii="Times New Roman" w:hAnsi="Times New Roman"/>
                <w:sz w:val="21"/>
              </w:rPr>
              <w:t xml:space="preserve">  7.3 Per-Class Severity Classification Evaluation</w:t>
            </w:r>
          </w:p>
        </w:tc>
        <w:tc>
          <w:tcPr>
            <w:tcW w:type="dxa" w:w="1152"/>
          </w:tcPr>
          <w:p>
            <w:pPr>
              <w:spacing w:line="276" w:lineRule="auto" w:before="20" w:after="20"/>
              <w:jc w:val="right"/>
            </w:pPr>
            <w:r>
              <w:rPr>
                <w:rFonts w:ascii="Times New Roman" w:hAnsi="Times New Roman"/>
                <w:sz w:val="21"/>
              </w:rPr>
              <w:t>43</w:t>
            </w:r>
          </w:p>
        </w:tc>
      </w:tr>
      <w:tr>
        <w:tc>
          <w:tcPr>
            <w:tcW w:type="dxa" w:w="8064"/>
          </w:tcPr>
          <w:p>
            <w:pPr>
              <w:spacing w:line="276" w:lineRule="auto" w:before="20" w:after="20"/>
            </w:pPr>
            <w:r>
              <w:rPr>
                <w:rFonts w:ascii="Times New Roman" w:hAnsi="Times New Roman"/>
                <w:sz w:val="21"/>
              </w:rPr>
              <w:t xml:space="preserve">  7.4 System Snapshots &amp; Graphical Results</w:t>
            </w:r>
          </w:p>
        </w:tc>
        <w:tc>
          <w:tcPr>
            <w:tcW w:type="dxa" w:w="1152"/>
          </w:tcPr>
          <w:p>
            <w:pPr>
              <w:spacing w:line="276" w:lineRule="auto" w:before="20" w:after="20"/>
              <w:jc w:val="right"/>
            </w:pPr>
            <w:r>
              <w:rPr>
                <w:rFonts w:ascii="Times New Roman" w:hAnsi="Times New Roman"/>
                <w:sz w:val="21"/>
              </w:rPr>
              <w:t>44</w:t>
            </w:r>
          </w:p>
        </w:tc>
      </w:tr>
      <w:tr>
        <w:tc>
          <w:tcPr>
            <w:tcW w:type="dxa" w:w="8064"/>
          </w:tcPr>
          <w:p>
            <w:pPr>
              <w:spacing w:line="276" w:lineRule="auto" w:before="20" w:after="20"/>
            </w:pPr>
            <w:r>
              <w:rPr>
                <w:rFonts w:ascii="Times New Roman" w:hAnsi="Times New Roman"/>
                <w:b/>
                <w:sz w:val="21"/>
              </w:rPr>
              <w:t>CHAPTER 8: CONCLUSION AND FUTURE ENHANCEMENTS</w:t>
            </w:r>
          </w:p>
        </w:tc>
        <w:tc>
          <w:tcPr>
            <w:tcW w:type="dxa" w:w="1152"/>
          </w:tcPr>
          <w:p>
            <w:pPr>
              <w:spacing w:line="276" w:lineRule="auto" w:before="20" w:after="20"/>
              <w:jc w:val="right"/>
            </w:pPr>
            <w:r>
              <w:rPr>
                <w:rFonts w:ascii="Times New Roman" w:hAnsi="Times New Roman"/>
                <w:b/>
                <w:sz w:val="21"/>
              </w:rPr>
              <w:t>47</w:t>
            </w:r>
          </w:p>
        </w:tc>
      </w:tr>
      <w:tr>
        <w:tc>
          <w:tcPr>
            <w:tcW w:type="dxa" w:w="8064"/>
          </w:tcPr>
          <w:p>
            <w:pPr>
              <w:spacing w:line="276" w:lineRule="auto" w:before="20" w:after="20"/>
            </w:pPr>
            <w:r>
              <w:rPr>
                <w:rFonts w:ascii="Times New Roman" w:hAnsi="Times New Roman"/>
                <w:sz w:val="21"/>
              </w:rPr>
              <w:t xml:space="preserve">  8.1 Conclusion</w:t>
            </w:r>
          </w:p>
        </w:tc>
        <w:tc>
          <w:tcPr>
            <w:tcW w:type="dxa" w:w="1152"/>
          </w:tcPr>
          <w:p>
            <w:pPr>
              <w:spacing w:line="276" w:lineRule="auto" w:before="20" w:after="20"/>
              <w:jc w:val="right"/>
            </w:pPr>
            <w:r>
              <w:rPr>
                <w:rFonts w:ascii="Times New Roman" w:hAnsi="Times New Roman"/>
                <w:sz w:val="21"/>
              </w:rPr>
              <w:t>47</w:t>
            </w:r>
          </w:p>
        </w:tc>
      </w:tr>
      <w:tr>
        <w:tc>
          <w:tcPr>
            <w:tcW w:type="dxa" w:w="8064"/>
          </w:tcPr>
          <w:p>
            <w:pPr>
              <w:spacing w:line="276" w:lineRule="auto" w:before="20" w:after="20"/>
            </w:pPr>
            <w:r>
              <w:rPr>
                <w:rFonts w:ascii="Times New Roman" w:hAnsi="Times New Roman"/>
                <w:sz w:val="21"/>
              </w:rPr>
              <w:t xml:space="preserve">  8.2 Limitations</w:t>
            </w:r>
          </w:p>
        </w:tc>
        <w:tc>
          <w:tcPr>
            <w:tcW w:type="dxa" w:w="1152"/>
          </w:tcPr>
          <w:p>
            <w:pPr>
              <w:spacing w:line="276" w:lineRule="auto" w:before="20" w:after="20"/>
              <w:jc w:val="right"/>
            </w:pPr>
            <w:r>
              <w:rPr>
                <w:rFonts w:ascii="Times New Roman" w:hAnsi="Times New Roman"/>
                <w:sz w:val="21"/>
              </w:rPr>
              <w:t>48</w:t>
            </w:r>
          </w:p>
        </w:tc>
      </w:tr>
      <w:tr>
        <w:tc>
          <w:tcPr>
            <w:tcW w:type="dxa" w:w="8064"/>
          </w:tcPr>
          <w:p>
            <w:pPr>
              <w:spacing w:line="276" w:lineRule="auto" w:before="20" w:after="20"/>
            </w:pPr>
            <w:r>
              <w:rPr>
                <w:rFonts w:ascii="Times New Roman" w:hAnsi="Times New Roman"/>
                <w:sz w:val="21"/>
              </w:rPr>
              <w:t xml:space="preserve">  8.3 Future Enhancements</w:t>
            </w:r>
          </w:p>
        </w:tc>
        <w:tc>
          <w:tcPr>
            <w:tcW w:type="dxa" w:w="1152"/>
          </w:tcPr>
          <w:p>
            <w:pPr>
              <w:spacing w:line="276" w:lineRule="auto" w:before="20" w:after="20"/>
              <w:jc w:val="right"/>
            </w:pPr>
            <w:r>
              <w:rPr>
                <w:rFonts w:ascii="Times New Roman" w:hAnsi="Times New Roman"/>
                <w:sz w:val="21"/>
              </w:rPr>
              <w:t>48</w:t>
            </w:r>
          </w:p>
        </w:tc>
      </w:tr>
      <w:tr>
        <w:tc>
          <w:tcPr>
            <w:tcW w:type="dxa" w:w="8064"/>
          </w:tcPr>
          <w:p>
            <w:pPr>
              <w:spacing w:line="276" w:lineRule="auto" w:before="20" w:after="20"/>
            </w:pPr>
            <w:r>
              <w:rPr>
                <w:rFonts w:ascii="Times New Roman" w:hAnsi="Times New Roman"/>
                <w:b/>
                <w:sz w:val="21"/>
              </w:rPr>
              <w:t>CHAPTER 9: OUTCOME (RESEARCH PAPER)</w:t>
            </w:r>
          </w:p>
        </w:tc>
        <w:tc>
          <w:tcPr>
            <w:tcW w:type="dxa" w:w="1152"/>
          </w:tcPr>
          <w:p>
            <w:pPr>
              <w:spacing w:line="276" w:lineRule="auto" w:before="20" w:after="20"/>
              <w:jc w:val="right"/>
            </w:pPr>
            <w:r>
              <w:rPr>
                <w:rFonts w:ascii="Times New Roman" w:hAnsi="Times New Roman"/>
                <w:b/>
                <w:sz w:val="21"/>
              </w:rPr>
              <w:t>50</w:t>
            </w:r>
          </w:p>
        </w:tc>
      </w:tr>
      <w:tr>
        <w:tc>
          <w:tcPr>
            <w:tcW w:type="dxa" w:w="8064"/>
          </w:tcPr>
          <w:p>
            <w:pPr>
              <w:spacing w:line="276" w:lineRule="auto" w:before="20" w:after="20"/>
            </w:pPr>
            <w:r>
              <w:rPr>
                <w:rFonts w:ascii="Times New Roman" w:hAnsi="Times New Roman"/>
                <w:sz w:val="21"/>
              </w:rPr>
              <w:t xml:space="preserve">  9.1 IEEE Conference Publication Details</w:t>
            </w:r>
          </w:p>
        </w:tc>
        <w:tc>
          <w:tcPr>
            <w:tcW w:type="dxa" w:w="1152"/>
          </w:tcPr>
          <w:p>
            <w:pPr>
              <w:spacing w:line="276" w:lineRule="auto" w:before="20" w:after="20"/>
              <w:jc w:val="right"/>
            </w:pPr>
            <w:r>
              <w:rPr>
                <w:rFonts w:ascii="Times New Roman" w:hAnsi="Times New Roman"/>
                <w:sz w:val="21"/>
              </w:rPr>
              <w:t>50</w:t>
            </w:r>
          </w:p>
        </w:tc>
      </w:tr>
      <w:tr>
        <w:tc>
          <w:tcPr>
            <w:tcW w:type="dxa" w:w="8064"/>
          </w:tcPr>
          <w:p>
            <w:pPr>
              <w:spacing w:line="276" w:lineRule="auto" w:before="20" w:after="20"/>
            </w:pPr>
            <w:r>
              <w:rPr>
                <w:rFonts w:ascii="Times New Roman" w:hAnsi="Times New Roman"/>
                <w:sz w:val="21"/>
              </w:rPr>
              <w:t xml:space="preserve">  9.2 Key Research Contributions Published</w:t>
            </w:r>
          </w:p>
        </w:tc>
        <w:tc>
          <w:tcPr>
            <w:tcW w:type="dxa" w:w="1152"/>
          </w:tcPr>
          <w:p>
            <w:pPr>
              <w:spacing w:line="276" w:lineRule="auto" w:before="20" w:after="20"/>
              <w:jc w:val="right"/>
            </w:pPr>
            <w:r>
              <w:rPr>
                <w:rFonts w:ascii="Times New Roman" w:hAnsi="Times New Roman"/>
                <w:sz w:val="21"/>
              </w:rPr>
              <w:t>51</w:t>
            </w:r>
          </w:p>
        </w:tc>
      </w:tr>
      <w:tr>
        <w:tc>
          <w:tcPr>
            <w:tcW w:type="dxa" w:w="8064"/>
          </w:tcPr>
          <w:p>
            <w:pPr>
              <w:spacing w:line="276" w:lineRule="auto" w:before="20" w:after="20"/>
            </w:pPr>
            <w:r>
              <w:rPr>
                <w:rFonts w:ascii="Times New Roman" w:hAnsi="Times New Roman"/>
                <w:b/>
                <w:sz w:val="21"/>
              </w:rPr>
              <w:t>BIBLIOGRAPHY</w:t>
            </w:r>
          </w:p>
        </w:tc>
        <w:tc>
          <w:tcPr>
            <w:tcW w:type="dxa" w:w="1152"/>
          </w:tcPr>
          <w:p>
            <w:pPr>
              <w:spacing w:line="276" w:lineRule="auto" w:before="20" w:after="20"/>
              <w:jc w:val="right"/>
            </w:pPr>
            <w:r>
              <w:rPr>
                <w:rFonts w:ascii="Times New Roman" w:hAnsi="Times New Roman"/>
                <w:sz w:val="21"/>
              </w:rPr>
              <w:t>52</w:t>
            </w:r>
          </w:p>
        </w:tc>
      </w:tr>
      <w:tr>
        <w:tc>
          <w:tcPr>
            <w:tcW w:type="dxa" w:w="8064"/>
          </w:tcPr>
          <w:p>
            <w:pPr>
              <w:spacing w:line="276" w:lineRule="auto" w:before="20" w:after="20"/>
            </w:pPr>
            <w:r>
              <w:rPr>
                <w:rFonts w:ascii="Times New Roman" w:hAnsi="Times New Roman"/>
                <w:sz w:val="21"/>
              </w:rPr>
              <w:t>APPENDIX A: LIST OF FIGURES</w:t>
            </w:r>
          </w:p>
        </w:tc>
        <w:tc>
          <w:tcPr>
            <w:tcW w:type="dxa" w:w="1152"/>
          </w:tcPr>
          <w:p>
            <w:pPr>
              <w:spacing w:line="276" w:lineRule="auto" w:before="20" w:after="20"/>
              <w:jc w:val="right"/>
            </w:pPr>
            <w:r>
              <w:rPr>
                <w:rFonts w:ascii="Times New Roman" w:hAnsi="Times New Roman"/>
                <w:sz w:val="21"/>
              </w:rPr>
              <w:t>55</w:t>
            </w:r>
          </w:p>
        </w:tc>
      </w:tr>
      <w:tr>
        <w:tc>
          <w:tcPr>
            <w:tcW w:type="dxa" w:w="8064"/>
          </w:tcPr>
          <w:p>
            <w:pPr>
              <w:spacing w:line="276" w:lineRule="auto" w:before="20" w:after="20"/>
            </w:pPr>
            <w:r>
              <w:rPr>
                <w:rFonts w:ascii="Times New Roman" w:hAnsi="Times New Roman"/>
                <w:sz w:val="21"/>
              </w:rPr>
              <w:t>APPENDIX B: LIST OF TABLES</w:t>
            </w:r>
          </w:p>
        </w:tc>
        <w:tc>
          <w:tcPr>
            <w:tcW w:type="dxa" w:w="1152"/>
          </w:tcPr>
          <w:p>
            <w:pPr>
              <w:spacing w:line="276" w:lineRule="auto" w:before="20" w:after="20"/>
              <w:jc w:val="right"/>
            </w:pPr>
            <w:r>
              <w:rPr>
                <w:rFonts w:ascii="Times New Roman" w:hAnsi="Times New Roman"/>
                <w:sz w:val="21"/>
              </w:rPr>
              <w:t>56</w:t>
            </w:r>
          </w:p>
        </w:tc>
      </w:tr>
    </w:tbl>
    <w:p>
      <w:r>
        <w:br w:type="page"/>
      </w:r>
    </w:p>
    <w:p>
      <w:pPr>
        <w:spacing w:before="480" w:after="80" w:line="360" w:lineRule="auto"/>
        <w:jc w:val="center"/>
      </w:pPr>
      <w:r>
        <w:rPr>
          <w:rFonts w:ascii="Times New Roman" w:hAnsi="Times New Roman"/>
          <w:b/>
          <w:i w:val="0"/>
          <w:color w:val="102C57"/>
          <w:sz w:val="32"/>
        </w:rPr>
        <w:t>CHAPTER 1</w:t>
      </w:r>
    </w:p>
    <w:p>
      <w:pPr>
        <w:spacing w:before="80" w:after="400" w:line="360" w:lineRule="auto"/>
        <w:jc w:val="center"/>
      </w:pPr>
      <w:r>
        <w:rPr>
          <w:rFonts w:ascii="Times New Roman" w:hAnsi="Times New Roman"/>
          <w:b/>
          <w:i w:val="0"/>
          <w:color w:val="000000"/>
          <w:sz w:val="36"/>
        </w:rPr>
        <w:t>INTRODUCTION</w:t>
      </w:r>
    </w:p>
    <w:p>
      <w:pPr>
        <w:spacing w:before="320" w:after="80" w:line="360" w:lineRule="auto"/>
        <w:jc w:val="left"/>
      </w:pPr>
      <w:r>
        <w:rPr>
          <w:rFonts w:ascii="Times New Roman" w:hAnsi="Times New Roman"/>
          <w:b/>
          <w:i w:val="0"/>
          <w:color w:val="102C57"/>
          <w:sz w:val="28"/>
        </w:rPr>
        <w:t>1.1 Overview</w:t>
      </w:r>
    </w:p>
    <w:p>
      <w:pPr>
        <w:spacing w:before="0" w:after="120" w:line="360" w:lineRule="auto"/>
        <w:jc w:val="both"/>
      </w:pPr>
      <w:r>
        <w:rPr>
          <w:rFonts w:ascii="Times New Roman" w:hAnsi="Times New Roman"/>
          <w:b w:val="0"/>
          <w:i w:val="0"/>
          <w:color w:val="000000"/>
          <w:sz w:val="24"/>
        </w:rPr>
        <w:t>In the modern hyper-connected digital landscape, compromised credentials, personal data leaks, and dark web trading represent paramount threats to individuals and enterprises alike. As consumer web platforms, financial gateways, and corporate SaaS infrastructure proliferate, malicious actors routinely exploit software vulnerabilities, phishing campaigns, and malware infostealers (such as RedLine, Raccoon, and Lumma) to harvest billions of authentication records. These datasets are subsequently compiled into extensive "combo-lists" and advertised across dark-web marketplaces and encrypted Telegram channels.</w:t>
      </w:r>
    </w:p>
    <w:p>
      <w:pPr>
        <w:spacing w:before="0" w:after="120" w:line="360" w:lineRule="auto"/>
        <w:jc w:val="both"/>
      </w:pPr>
      <w:r>
        <w:rPr>
          <w:rFonts w:ascii="Times New Roman" w:hAnsi="Times New Roman"/>
          <w:b w:val="0"/>
          <w:i w:val="0"/>
          <w:color w:val="000000"/>
          <w:sz w:val="24"/>
        </w:rPr>
        <w:t>To assess their exposure, organizations and individuals seek out breach intelligence services. However, conventional breach-checking mechanisms present an inherent, structural privacy paradox: to determine whether an email, username, or phone number has been compromised, the querying user is forced to transmit that sensitive identifier in plaintext across intermediate networks to a third-party server. In doing so, the query itself becomes an intelligence asset for whoever operates or observes the lookup engine. Furthermore, traditional logging solutions rely on centralized databases susceptible to administrative deletion, unauthorized tampering, and post-incident manipulation.</w:t>
      </w:r>
    </w:p>
    <w:p>
      <w:pPr>
        <w:spacing w:before="0" w:after="120" w:line="360" w:lineRule="auto"/>
        <w:jc w:val="both"/>
      </w:pPr>
      <w:r>
        <w:rPr>
          <w:rFonts w:ascii="Times New Roman" w:hAnsi="Times New Roman"/>
          <w:b w:val="0"/>
          <w:i w:val="0"/>
          <w:color w:val="000000"/>
          <w:sz w:val="24"/>
        </w:rPr>
        <w:t>BreachShield addresses these fundamental shortcomings through an integrated, privacy-preserving defense architecture. By incorporating client-side k-anonymity prefix disclosure, out-of-band dual-channel identity verification, machine-learning-driven threat scoring, and EVM-anchored Merkle tree audit logging, BreachShield delivers a robust, zero-trust platform for breach investigation without compromising query privacy.</w:t>
      </w:r>
    </w:p>
    <w:p>
      <w:pPr>
        <w:spacing w:before="320" w:after="80" w:line="360" w:lineRule="auto"/>
        <w:jc w:val="left"/>
      </w:pPr>
      <w:r>
        <w:rPr>
          <w:rFonts w:ascii="Times New Roman" w:hAnsi="Times New Roman"/>
          <w:b/>
          <w:i w:val="0"/>
          <w:color w:val="102C57"/>
          <w:sz w:val="28"/>
        </w:rPr>
        <w:t>1.2 Motivation &amp; Industry Context</w:t>
      </w:r>
    </w:p>
    <w:p>
      <w:pPr>
        <w:spacing w:before="0" w:after="120" w:line="360" w:lineRule="auto"/>
        <w:jc w:val="both"/>
      </w:pPr>
      <w:r>
        <w:rPr>
          <w:rFonts w:ascii="Times New Roman" w:hAnsi="Times New Roman"/>
          <w:b w:val="0"/>
          <w:i w:val="0"/>
          <w:color w:val="000000"/>
          <w:sz w:val="24"/>
        </w:rPr>
        <w:t>According to IBM's 2024 Cost of a Data Breach Report, the global average financial loss resulting from a data breach reached USD 4.88 million, representing a 10% year-over-year surge. Stolen or compromised credentials remain the single most pervasive initial attack vector, accounting for 16% of all recorded breaches and requiring an average of 292 days to identify and contain. This statistic underscores that credential leaks provide attackers with direct, friction-free ingress into corporate environments.</w:t>
      </w:r>
    </w:p>
    <w:p>
      <w:pPr>
        <w:spacing w:before="0" w:after="120" w:line="360" w:lineRule="auto"/>
        <w:jc w:val="both"/>
      </w:pPr>
      <w:r>
        <w:rPr>
          <w:rFonts w:ascii="Times New Roman" w:hAnsi="Times New Roman"/>
          <w:b w:val="0"/>
          <w:i w:val="0"/>
          <w:color w:val="000000"/>
          <w:sz w:val="24"/>
        </w:rPr>
        <w:t>Despite the severity of this threat vector, users and system administrators face significant operational hurdles when conducting exposure assessments:</w:t>
      </w:r>
    </w:p>
    <w:p>
      <w:pPr>
        <w:pStyle w:val="ListBullet"/>
        <w:spacing w:before="40" w:after="80" w:line="312" w:lineRule="auto"/>
      </w:pPr>
      <w:r>
        <w:rPr>
          <w:rFonts w:ascii="Times New Roman" w:hAnsi="Times New Roman"/>
          <w:b/>
          <w:sz w:val="23"/>
        </w:rPr>
        <w:t xml:space="preserve">Query Insecurity: </w:t>
      </w:r>
      <w:r>
        <w:rPr>
          <w:rFonts w:ascii="Times New Roman" w:hAnsi="Times New Roman"/>
          <w:sz w:val="23"/>
        </w:rPr>
        <w:t>Commercial breach lookup services act as centralized surveillance points, recording who looked up which email addresses and correlating active search targets with organizational IP addresses.</w:t>
      </w:r>
    </w:p>
    <w:p>
      <w:pPr>
        <w:pStyle w:val="ListBullet"/>
        <w:spacing w:before="40" w:after="80" w:line="312" w:lineRule="auto"/>
      </w:pPr>
      <w:r>
        <w:rPr>
          <w:rFonts w:ascii="Times New Roman" w:hAnsi="Times New Roman"/>
          <w:b/>
          <w:sz w:val="23"/>
        </w:rPr>
        <w:t xml:space="preserve">Scattered Threat Sources: </w:t>
      </w:r>
      <w:r>
        <w:rPr>
          <w:rFonts w:ascii="Times New Roman" w:hAnsi="Times New Roman"/>
          <w:sz w:val="23"/>
        </w:rPr>
        <w:t>Actionable breach intelligence is fragmented across paste sites, surface web dumps, and private Telegram channels. Security analysts cannot manually aggregate and deduplicate this firehose in real time.</w:t>
      </w:r>
    </w:p>
    <w:p>
      <w:pPr>
        <w:pStyle w:val="ListBullet"/>
        <w:spacing w:before="40" w:after="80" w:line="312" w:lineRule="auto"/>
      </w:pPr>
      <w:r>
        <w:rPr>
          <w:rFonts w:ascii="Times New Roman" w:hAnsi="Times New Roman"/>
          <w:b/>
          <w:sz w:val="23"/>
        </w:rPr>
        <w:t xml:space="preserve">Lack of Verifiable Integrity: </w:t>
      </w:r>
      <w:r>
        <w:rPr>
          <w:rFonts w:ascii="Times New Roman" w:hAnsi="Times New Roman"/>
          <w:sz w:val="23"/>
        </w:rPr>
        <w:t>Audit trails generated during threat investigations are typically written to mutable database tables or flat syslog files, allowing rogue insiders or persistent threat actors to erase evidence of unauthorized inquiries.</w:t>
      </w:r>
    </w:p>
    <w:p>
      <w:pPr>
        <w:pStyle w:val="ListBullet"/>
        <w:spacing w:before="40" w:after="80" w:line="312" w:lineRule="auto"/>
      </w:pPr>
      <w:r>
        <w:rPr>
          <w:rFonts w:ascii="Times New Roman" w:hAnsi="Times New Roman"/>
          <w:b/>
          <w:sz w:val="23"/>
        </w:rPr>
        <w:t xml:space="preserve">Alert Fatigue &amp; Static Heuristics: </w:t>
      </w:r>
      <w:r>
        <w:rPr>
          <w:rFonts w:ascii="Times New Roman" w:hAnsi="Times New Roman"/>
          <w:sz w:val="23"/>
        </w:rPr>
        <w:t>Existing platforms merely count the number of occurrences of an email in known dumps, failing to provide machine-learning-driven risk scoring that accounts for breached credential types (e.g., plaintext passwords vs. salted hashes).</w:t>
      </w:r>
    </w:p>
    <w:p>
      <w:pPr>
        <w:spacing w:before="320" w:after="80" w:line="360" w:lineRule="auto"/>
        <w:jc w:val="left"/>
      </w:pPr>
      <w:r>
        <w:rPr>
          <w:rFonts w:ascii="Times New Roman" w:hAnsi="Times New Roman"/>
          <w:b/>
          <w:i w:val="0"/>
          <w:color w:val="102C57"/>
          <w:sz w:val="28"/>
        </w:rPr>
        <w:t>1.3 Project Objectives</w:t>
      </w:r>
    </w:p>
    <w:p>
      <w:pPr>
        <w:spacing w:before="0" w:after="120" w:line="360" w:lineRule="auto"/>
        <w:jc w:val="both"/>
      </w:pPr>
      <w:r>
        <w:rPr>
          <w:rFonts w:ascii="Times New Roman" w:hAnsi="Times New Roman"/>
          <w:b w:val="0"/>
          <w:i w:val="0"/>
          <w:color w:val="000000"/>
          <w:sz w:val="24"/>
        </w:rPr>
        <w:t>The primary aim of Major Project Phase-II (BIS786) is to engineer, benchmark, and deploy BreachShield as a production-grade cybersecurity platform meeting the following concrete objectives:</w:t>
      </w:r>
    </w:p>
    <w:p>
      <w:pPr>
        <w:pStyle w:val="ListBullet"/>
        <w:spacing w:before="40" w:after="80" w:line="312" w:lineRule="auto"/>
      </w:pPr>
      <w:r>
        <w:rPr>
          <w:rFonts w:ascii="Times New Roman" w:hAnsi="Times New Roman"/>
          <w:b/>
          <w:sz w:val="23"/>
        </w:rPr>
        <w:t xml:space="preserve">Objective 1 — Zero Cleartext Disclosure: </w:t>
      </w:r>
      <w:r>
        <w:rPr>
          <w:rFonts w:ascii="Times New Roman" w:hAnsi="Times New Roman"/>
          <w:sz w:val="23"/>
        </w:rPr>
        <w:t>Formulate and implement a client-side k-anonymity protocol using browser-native Web Crypto SHA-256 hashing where only the first 5 hexadecimal characters of the hash prefix are transmitted to the backend.</w:t>
      </w:r>
    </w:p>
    <w:p>
      <w:pPr>
        <w:pStyle w:val="ListBullet"/>
        <w:spacing w:before="40" w:after="80" w:line="312" w:lineRule="auto"/>
      </w:pPr>
      <w:r>
        <w:rPr>
          <w:rFonts w:ascii="Times New Roman" w:hAnsi="Times New Roman"/>
          <w:b/>
          <w:sz w:val="23"/>
        </w:rPr>
        <w:t xml:space="preserve">Objective 2 — Out-of-Band Identity Gating: </w:t>
      </w:r>
      <w:r>
        <w:rPr>
          <w:rFonts w:ascii="Times New Roman" w:hAnsi="Times New Roman"/>
          <w:sz w:val="23"/>
        </w:rPr>
        <w:t>Develop an adversarial identity gating mechanism combining dual-channel OTP delivery (Nodemailer SMTP email and Android WebSocket SMS relay), bcrypt hashing, and automated brute-force lockouts.</w:t>
      </w:r>
    </w:p>
    <w:p>
      <w:pPr>
        <w:pStyle w:val="ListBullet"/>
        <w:spacing w:before="40" w:after="80" w:line="312" w:lineRule="auto"/>
      </w:pPr>
      <w:r>
        <w:rPr>
          <w:rFonts w:ascii="Times New Roman" w:hAnsi="Times New Roman"/>
          <w:b/>
          <w:sz w:val="23"/>
        </w:rPr>
        <w:t xml:space="preserve">Objective 3 — Multi-Source OSINT Aggregation: </w:t>
      </w:r>
      <w:r>
        <w:rPr>
          <w:rFonts w:ascii="Times New Roman" w:hAnsi="Times New Roman"/>
          <w:sz w:val="23"/>
        </w:rPr>
        <w:t>Construct a modular, non-blocking threat aggregation engine capable of querying Telegram MTProto intelligence channels, commercial breach APIs, and local benchmark repositories concurrently.</w:t>
      </w:r>
    </w:p>
    <w:p>
      <w:pPr>
        <w:pStyle w:val="ListBullet"/>
        <w:spacing w:before="40" w:after="80" w:line="312" w:lineRule="auto"/>
      </w:pPr>
      <w:r>
        <w:rPr>
          <w:rFonts w:ascii="Times New Roman" w:hAnsi="Times New Roman"/>
          <w:b/>
          <w:sz w:val="23"/>
        </w:rPr>
        <w:t xml:space="preserve">Objective 4 — Empirical Machine Learning Severity Classification: </w:t>
      </w:r>
      <w:r>
        <w:rPr>
          <w:rFonts w:ascii="Times New Roman" w:hAnsi="Times New Roman"/>
          <w:sz w:val="23"/>
        </w:rPr>
        <w:t>Curate a 1,034-record empirical breach benchmark and train an XGBoost classification model to predict incident severity across four operational tiers (LOW, MEDIUM, HIGH, CRITICAL), supplemented by transformer-based phishing detection.</w:t>
      </w:r>
    </w:p>
    <w:p>
      <w:pPr>
        <w:pStyle w:val="ListBullet"/>
        <w:spacing w:before="40" w:after="80" w:line="312" w:lineRule="auto"/>
      </w:pPr>
      <w:r>
        <w:rPr>
          <w:rFonts w:ascii="Times New Roman" w:hAnsi="Times New Roman"/>
          <w:b/>
          <w:sz w:val="23"/>
        </w:rPr>
        <w:t xml:space="preserve">Objective 5 — Cryptographic Blockchain Audit Anchoring: </w:t>
      </w:r>
      <w:r>
        <w:rPr>
          <w:rFonts w:ascii="Times New Roman" w:hAnsi="Times New Roman"/>
          <w:sz w:val="23"/>
        </w:rPr>
        <w:t>Design a Merkle-tree batching service that constructs deterministic SHA-256 tree roots from canonical audit events and anchors them into an EVM smart contract (AnchorRegistry.sol) for mathematical tamper evidence.</w:t>
      </w:r>
    </w:p>
    <w:p>
      <w:pPr>
        <w:pStyle w:val="ListBullet"/>
        <w:spacing w:before="40" w:after="80" w:line="312" w:lineRule="auto"/>
      </w:pPr>
      <w:r>
        <w:rPr>
          <w:rFonts w:ascii="Times New Roman" w:hAnsi="Times New Roman"/>
          <w:b/>
          <w:sz w:val="23"/>
        </w:rPr>
        <w:t xml:space="preserve">Objective 6 — Rigorous Full-Stack Verification: </w:t>
      </w:r>
      <w:r>
        <w:rPr>
          <w:rFonts w:ascii="Times New Roman" w:hAnsi="Times New Roman"/>
          <w:sz w:val="23"/>
        </w:rPr>
        <w:t>Validate the end-to-end platform using automated test suites achieving 100% pass rates across all architectural boundaries.</w:t>
      </w:r>
    </w:p>
    <w:p>
      <w:pPr>
        <w:spacing w:before="320" w:after="80" w:line="360" w:lineRule="auto"/>
        <w:jc w:val="left"/>
      </w:pPr>
      <w:r>
        <w:rPr>
          <w:rFonts w:ascii="Times New Roman" w:hAnsi="Times New Roman"/>
          <w:b/>
          <w:i w:val="0"/>
          <w:color w:val="102C57"/>
          <w:sz w:val="28"/>
        </w:rPr>
        <w:t>1.4 Scope of the Project</w:t>
      </w:r>
    </w:p>
    <w:p>
      <w:pPr>
        <w:spacing w:before="0" w:after="120" w:line="360" w:lineRule="auto"/>
        <w:jc w:val="both"/>
      </w:pPr>
      <w:r>
        <w:rPr>
          <w:rFonts w:ascii="Times New Roman" w:hAnsi="Times New Roman"/>
          <w:b w:val="0"/>
          <w:i w:val="0"/>
          <w:color w:val="000000"/>
          <w:sz w:val="24"/>
        </w:rPr>
        <w:t>The scope of BreachShield spans the complete engineering lifecycle from frontend browser cryptographic operations to EVM blockchain consensus. The platform encompasses:</w:t>
      </w:r>
    </w:p>
    <w:p>
      <w:pPr>
        <w:pStyle w:val="ListBullet"/>
        <w:spacing w:before="40" w:after="80" w:line="312" w:lineRule="auto"/>
      </w:pPr>
      <w:r>
        <w:rPr>
          <w:rFonts w:ascii="Times New Roman" w:hAnsi="Times New Roman"/>
          <w:b/>
          <w:sz w:val="23"/>
        </w:rPr>
        <w:t xml:space="preserve">Client Application: </w:t>
      </w:r>
      <w:r>
        <w:rPr>
          <w:rFonts w:ascii="Times New Roman" w:hAnsi="Times New Roman"/>
          <w:sz w:val="23"/>
        </w:rPr>
        <w:t>A single-page React 19 interface styled in an intuitive Cyberpunk HUD terminal aesthetic, featuring local WebCrypto digest execution and reactive audit telemetry.</w:t>
      </w:r>
    </w:p>
    <w:p>
      <w:pPr>
        <w:pStyle w:val="ListBullet"/>
        <w:spacing w:before="40" w:after="80" w:line="312" w:lineRule="auto"/>
      </w:pPr>
      <w:r>
        <w:rPr>
          <w:rFonts w:ascii="Times New Roman" w:hAnsi="Times New Roman"/>
          <w:b/>
          <w:sz w:val="23"/>
        </w:rPr>
        <w:t xml:space="preserve">API Gateway: </w:t>
      </w:r>
      <w:r>
        <w:rPr>
          <w:rFonts w:ascii="Times New Roman" w:hAnsi="Times New Roman"/>
          <w:sz w:val="23"/>
        </w:rPr>
        <w:t>A Node.js Express 5 microservice managing session authentication, JWT role-based access control, cryptographic Merkle queue batching, and database persistence.</w:t>
      </w:r>
    </w:p>
    <w:p>
      <w:pPr>
        <w:pStyle w:val="ListBullet"/>
        <w:spacing w:before="40" w:after="80" w:line="312" w:lineRule="auto"/>
      </w:pPr>
      <w:r>
        <w:rPr>
          <w:rFonts w:ascii="Times New Roman" w:hAnsi="Times New Roman"/>
          <w:b/>
          <w:sz w:val="23"/>
        </w:rPr>
        <w:t xml:space="preserve">OSINT Intelligence Engine: </w:t>
      </w:r>
      <w:r>
        <w:rPr>
          <w:rFonts w:ascii="Times New Roman" w:hAnsi="Times New Roman"/>
          <w:sz w:val="23"/>
        </w:rPr>
        <w:t>A Python FastAPI service integrating the Telethon MTProto client, HuggingFace transformers, and scikit-learn/XGBoost classification pipelines.</w:t>
      </w:r>
    </w:p>
    <w:p>
      <w:pPr>
        <w:pStyle w:val="ListBullet"/>
        <w:spacing w:before="40" w:after="80" w:line="312" w:lineRule="auto"/>
      </w:pPr>
      <w:r>
        <w:rPr>
          <w:rFonts w:ascii="Times New Roman" w:hAnsi="Times New Roman"/>
          <w:b/>
          <w:sz w:val="23"/>
        </w:rPr>
        <w:t xml:space="preserve">Mobile Gateway: </w:t>
      </w:r>
      <w:r>
        <w:rPr>
          <w:rFonts w:ascii="Times New Roman" w:hAnsi="Times New Roman"/>
          <w:sz w:val="23"/>
        </w:rPr>
        <w:t>A native Android Kotlin application maintaining a persistent WebSocket connection to securely relay transactional SMS OTPs via carrier-compliant templates.</w:t>
      </w:r>
    </w:p>
    <w:p>
      <w:pPr>
        <w:pStyle w:val="ListBullet"/>
        <w:spacing w:before="40" w:after="80" w:line="312" w:lineRule="auto"/>
      </w:pPr>
      <w:r>
        <w:rPr>
          <w:rFonts w:ascii="Times New Roman" w:hAnsi="Times New Roman"/>
          <w:b/>
          <w:sz w:val="23"/>
        </w:rPr>
        <w:t xml:space="preserve">Distributed Ledger: </w:t>
      </w:r>
      <w:r>
        <w:rPr>
          <w:rFonts w:ascii="Times New Roman" w:hAnsi="Times New Roman"/>
          <w:sz w:val="23"/>
        </w:rPr>
        <w:t>A local Ethereum Virtual Machine running Hardhat node hosting the AnchorRegistry.sol smart contract.</w:t>
      </w:r>
    </w:p>
    <w:p>
      <w:pPr>
        <w:spacing w:before="320" w:after="80" w:line="360" w:lineRule="auto"/>
        <w:jc w:val="left"/>
      </w:pPr>
      <w:r>
        <w:rPr>
          <w:rFonts w:ascii="Times New Roman" w:hAnsi="Times New Roman"/>
          <w:b/>
          <w:i w:val="0"/>
          <w:color w:val="102C57"/>
          <w:sz w:val="28"/>
        </w:rPr>
        <w:t>1.5 Existing System &amp; Privacy Shortcomings</w:t>
      </w:r>
    </w:p>
    <w:p>
      <w:pPr>
        <w:spacing w:before="0" w:after="120" w:line="360" w:lineRule="auto"/>
        <w:jc w:val="both"/>
      </w:pPr>
      <w:r>
        <w:rPr>
          <w:rFonts w:ascii="Times New Roman" w:hAnsi="Times New Roman"/>
          <w:b w:val="0"/>
          <w:i w:val="0"/>
          <w:color w:val="000000"/>
          <w:sz w:val="24"/>
        </w:rPr>
        <w:t>Conventional breach search platforms, exemplified by traditional HaveIBeenPwned web search interfaces and commercial threat intelligence aggregators, function under a client-server client-trust architecture. Under this model, the end-user visits a webpage, types an identifier (e.g., target.user@enterprise.com) into a search form, and clicks "Check Exposure". The browser issues an HTTP POST request transmitting the cleartext string directly to the server.</w:t>
      </w:r>
    </w:p>
    <w:p>
      <w:pPr>
        <w:spacing w:before="0" w:after="120" w:line="360" w:lineRule="auto"/>
        <w:jc w:val="both"/>
      </w:pPr>
      <w:r>
        <w:rPr>
          <w:rFonts w:ascii="Times New Roman" w:hAnsi="Times New Roman"/>
          <w:b w:val="0"/>
          <w:i w:val="0"/>
          <w:color w:val="000000"/>
          <w:sz w:val="24"/>
        </w:rPr>
        <w:t>The server performs a direct SQL query or hash lookup against its internal database and returns the result. This workflow suffers from four fatal architectural flaws:</w:t>
      </w:r>
    </w:p>
    <w:p>
      <w:pPr>
        <w:pStyle w:val="ListBullet"/>
        <w:spacing w:before="40" w:after="80" w:line="312" w:lineRule="auto"/>
      </w:pPr>
      <w:r>
        <w:rPr>
          <w:rFonts w:ascii="Times New Roman" w:hAnsi="Times New Roman"/>
          <w:b/>
          <w:sz w:val="23"/>
        </w:rPr>
        <w:t xml:space="preserve">Server-Side Surveillance: </w:t>
      </w:r>
      <w:r>
        <w:rPr>
          <w:rFonts w:ascii="Times New Roman" w:hAnsi="Times New Roman"/>
          <w:sz w:val="23"/>
        </w:rPr>
        <w:t>The server operator maintains a definitive log of every target identifier searched, complete with client IP address, timestamp, and query frequency.</w:t>
      </w:r>
    </w:p>
    <w:p>
      <w:pPr>
        <w:pStyle w:val="ListBullet"/>
        <w:spacing w:before="40" w:after="80" w:line="312" w:lineRule="auto"/>
      </w:pPr>
      <w:r>
        <w:rPr>
          <w:rFonts w:ascii="Times New Roman" w:hAnsi="Times New Roman"/>
          <w:b/>
          <w:sz w:val="23"/>
        </w:rPr>
        <w:t xml:space="preserve">Intermediate Eavesdropping: </w:t>
      </w:r>
      <w:r>
        <w:rPr>
          <w:rFonts w:ascii="Times New Roman" w:hAnsi="Times New Roman"/>
          <w:sz w:val="23"/>
        </w:rPr>
        <w:t>Even when TLS 1.3 encryption is enforced, corporate forward proxies, TLS-terminating load balancers, and lawful-intercept appliances can inspect URL paths and request payloads.</w:t>
      </w:r>
    </w:p>
    <w:p>
      <w:pPr>
        <w:pStyle w:val="ListBullet"/>
        <w:spacing w:before="40" w:after="80" w:line="312" w:lineRule="auto"/>
      </w:pPr>
      <w:r>
        <w:rPr>
          <w:rFonts w:ascii="Times New Roman" w:hAnsi="Times New Roman"/>
          <w:b/>
          <w:sz w:val="23"/>
        </w:rPr>
        <w:t xml:space="preserve">Compromised Confidentiality: </w:t>
      </w:r>
      <w:r>
        <w:rPr>
          <w:rFonts w:ascii="Times New Roman" w:hAnsi="Times New Roman"/>
          <w:sz w:val="23"/>
        </w:rPr>
        <w:t>If an adversary compromises the breach-checker server, the attacker obtains an unencrypted catalog of high-value targets actively investigated by organizations.</w:t>
      </w:r>
    </w:p>
    <w:p>
      <w:pPr>
        <w:pStyle w:val="ListBullet"/>
        <w:spacing w:before="40" w:after="80" w:line="312" w:lineRule="auto"/>
      </w:pPr>
      <w:r>
        <w:rPr>
          <w:rFonts w:ascii="Times New Roman" w:hAnsi="Times New Roman"/>
          <w:b/>
          <w:sz w:val="23"/>
        </w:rPr>
        <w:t xml:space="preserve">Unrestricted Harvesting: </w:t>
      </w:r>
      <w:r>
        <w:rPr>
          <w:rFonts w:ascii="Times New Roman" w:hAnsi="Times New Roman"/>
          <w:sz w:val="23"/>
        </w:rPr>
        <w:t>Without out-of-band verification, automated scraper bots can enumerate millions of arbitrary identifiers, extracting breach data for malicious credential-stuffing attacks.</w:t>
      </w:r>
    </w:p>
    <w:p>
      <w:pPr>
        <w:spacing w:before="320" w:after="80" w:line="360" w:lineRule="auto"/>
        <w:jc w:val="left"/>
      </w:pPr>
      <w:r>
        <w:rPr>
          <w:rFonts w:ascii="Times New Roman" w:hAnsi="Times New Roman"/>
          <w:b/>
          <w:i w:val="0"/>
          <w:color w:val="102C57"/>
          <w:sz w:val="28"/>
        </w:rPr>
        <w:t>1.6 Proposed System Architecture</w:t>
      </w:r>
    </w:p>
    <w:p>
      <w:pPr>
        <w:spacing w:before="0" w:after="120" w:line="360" w:lineRule="auto"/>
        <w:jc w:val="both"/>
      </w:pPr>
      <w:r>
        <w:rPr>
          <w:rFonts w:ascii="Times New Roman" w:hAnsi="Times New Roman"/>
          <w:b w:val="0"/>
          <w:i w:val="0"/>
          <w:color w:val="000000"/>
          <w:sz w:val="24"/>
        </w:rPr>
        <w:t>To overcome these systemic vulnerabilities, BreachShield re-architects the breach lookup interaction around zero-knowledge principles and distributed ledger immutability. The proposed architecture consists of four tightly-coupled tiers operating under strict defensive contracts:</w:t>
      </w:r>
    </w:p>
    <w:p>
      <w:pPr>
        <w:pStyle w:val="ListBullet"/>
        <w:spacing w:before="40" w:after="80" w:line="312" w:lineRule="auto"/>
      </w:pPr>
      <w:r>
        <w:rPr>
          <w:rFonts w:ascii="Times New Roman" w:hAnsi="Times New Roman"/>
          <w:b/>
          <w:sz w:val="23"/>
        </w:rPr>
        <w:t xml:space="preserve">1. Presentation Tier (Client-Side k-Anonymity): </w:t>
      </w:r>
      <w:r>
        <w:rPr>
          <w:rFonts w:ascii="Times New Roman" w:hAnsi="Times New Roman"/>
          <w:sz w:val="23"/>
        </w:rPr>
        <w:t>Built on React 19. When a user enters an identifier, the browser executes window.crypto.subtle.digest('SHA-256', target). The browser isolates the first 5 characters (e.g., '973af') and transmits only this prefix to the backend. The server returns a bucket of all hash suffixes matching that prefix. The browser correlates the suffixes locally in JavaScript heap memory, ensuring the cleartext identifier never leaves the user machine.</w:t>
      </w:r>
    </w:p>
    <w:p>
      <w:pPr>
        <w:pStyle w:val="ListBullet"/>
        <w:spacing w:before="40" w:after="80" w:line="312" w:lineRule="auto"/>
      </w:pPr>
      <w:r>
        <w:rPr>
          <w:rFonts w:ascii="Times New Roman" w:hAnsi="Times New Roman"/>
          <w:b/>
          <w:sz w:val="23"/>
        </w:rPr>
        <w:t xml:space="preserve">2. Gateway Tier (Security &amp; Aggregation): </w:t>
      </w:r>
      <w:r>
        <w:rPr>
          <w:rFonts w:ascii="Times New Roman" w:hAnsi="Times New Roman"/>
          <w:sz w:val="23"/>
        </w:rPr>
        <w:t>An Express 5 API gateway enforcing out-of-band OTP authentication via Nodemailer SMTP and Android WebSocket relays. It incorporates a pluggable BreachSource registry querying Telegram scrapers, HIBP, and local catalogs via Promise.allSettled.</w:t>
      </w:r>
    </w:p>
    <w:p>
      <w:pPr>
        <w:pStyle w:val="ListBullet"/>
        <w:spacing w:before="40" w:after="80" w:line="312" w:lineRule="auto"/>
      </w:pPr>
      <w:r>
        <w:rPr>
          <w:rFonts w:ascii="Times New Roman" w:hAnsi="Times New Roman"/>
          <w:b/>
          <w:sz w:val="23"/>
        </w:rPr>
        <w:t xml:space="preserve">3. Intelligence Tier (AI Severity &amp; Phishing): </w:t>
      </w:r>
      <w:r>
        <w:rPr>
          <w:rFonts w:ascii="Times New Roman" w:hAnsi="Times New Roman"/>
          <w:sz w:val="23"/>
        </w:rPr>
        <w:t>A FastAPI microservice hosting an empirical XGBoost classifier (89.2% accuracy) and fine-tuned UrlBERT transformer model to detect phishing URLs on the active search path.</w:t>
      </w:r>
    </w:p>
    <w:p>
      <w:pPr>
        <w:pStyle w:val="ListBullet"/>
        <w:spacing w:before="40" w:after="80" w:line="312" w:lineRule="auto"/>
      </w:pPr>
      <w:r>
        <w:rPr>
          <w:rFonts w:ascii="Times New Roman" w:hAnsi="Times New Roman"/>
          <w:b/>
          <w:sz w:val="23"/>
        </w:rPr>
        <w:t xml:space="preserve">4. Ledger Tier (EVM Merkle Anchoring): </w:t>
      </w:r>
      <w:r>
        <w:rPr>
          <w:rFonts w:ascii="Times New Roman" w:hAnsi="Times New Roman"/>
          <w:sz w:val="23"/>
        </w:rPr>
        <w:t>A Hardhat blockchain hosting AnchorRegistry.sol. All search transactions are serialized into canonical JSON, hashed into leaves, batched into SHA-256 Merkle trees, and permanently anchored on-chain.</w:t>
      </w:r>
    </w:p>
    <w:p>
      <w:r>
        <w:br w:type="page"/>
      </w:r>
    </w:p>
    <w:p>
      <w:pPr>
        <w:spacing w:before="480" w:after="80" w:line="360" w:lineRule="auto"/>
        <w:jc w:val="center"/>
      </w:pPr>
      <w:r>
        <w:rPr>
          <w:rFonts w:ascii="Times New Roman" w:hAnsi="Times New Roman"/>
          <w:b/>
          <w:i w:val="0"/>
          <w:color w:val="102C57"/>
          <w:sz w:val="32"/>
        </w:rPr>
        <w:t>CHAPTER 2</w:t>
      </w:r>
    </w:p>
    <w:p>
      <w:pPr>
        <w:spacing w:before="80" w:after="400" w:line="360" w:lineRule="auto"/>
        <w:jc w:val="center"/>
      </w:pPr>
      <w:r>
        <w:rPr>
          <w:rFonts w:ascii="Times New Roman" w:hAnsi="Times New Roman"/>
          <w:b/>
          <w:i w:val="0"/>
          <w:color w:val="000000"/>
          <w:sz w:val="36"/>
        </w:rPr>
        <w:t>PROBLEM STATEMENT</w:t>
      </w:r>
    </w:p>
    <w:p>
      <w:pPr>
        <w:spacing w:before="320" w:after="80" w:line="360" w:lineRule="auto"/>
        <w:jc w:val="left"/>
      </w:pPr>
      <w:r>
        <w:rPr>
          <w:rFonts w:ascii="Times New Roman" w:hAnsi="Times New Roman"/>
          <w:b/>
          <w:i w:val="0"/>
          <w:color w:val="102C57"/>
          <w:sz w:val="28"/>
        </w:rPr>
        <w:t>2.1 Problem Definition</w:t>
      </w:r>
    </w:p>
    <w:p>
      <w:pPr>
        <w:spacing w:before="0" w:after="120" w:line="360" w:lineRule="auto"/>
        <w:jc w:val="both"/>
      </w:pPr>
      <w:r>
        <w:rPr>
          <w:rFonts w:ascii="Times New Roman" w:hAnsi="Times New Roman"/>
          <w:b w:val="0"/>
          <w:i w:val="0"/>
          <w:color w:val="000000"/>
          <w:sz w:val="24"/>
        </w:rPr>
        <w:t>The proliferation of massive credential spills has created an urgent requirement for organizations to audit exposed credentials continuously. However, existing threat intelligence tools enforce an unacceptable trade-off between threat awareness and query confidentiality. Specifically, the fundamental problem addressed by this dissertation is defined as:</w:t>
      </w:r>
    </w:p>
    <w:p>
      <w:pPr>
        <w:spacing w:before="0" w:after="120" w:line="360" w:lineRule="auto"/>
        <w:jc w:val="both"/>
      </w:pPr>
      <w:r>
        <w:rPr>
          <w:rFonts w:ascii="Times New Roman" w:hAnsi="Times New Roman"/>
          <w:b w:val="0"/>
          <w:i w:val="0"/>
          <w:color w:val="000000"/>
          <w:sz w:val="24"/>
        </w:rPr>
        <w:t>"How can an enterprise or individual verify whether sensitive personal credentials have appeared in public, commercial, or dark-web breach repositories without disclosing the target identifier to any intermediate server, while simultaneously aggregating heterogeneous OSINT feeds, evaluating breach severity via machine learning, and producing an unalterable cryptographic audit trail?"</w:t>
      </w:r>
    </w:p>
    <w:p>
      <w:pPr>
        <w:spacing w:before="320" w:after="80" w:line="360" w:lineRule="auto"/>
        <w:jc w:val="left"/>
      </w:pPr>
      <w:r>
        <w:rPr>
          <w:rFonts w:ascii="Times New Roman" w:hAnsi="Times New Roman"/>
          <w:b/>
          <w:i w:val="0"/>
          <w:color w:val="102C57"/>
          <w:sz w:val="28"/>
        </w:rPr>
        <w:t>2.2 Structural Surveillance &amp; Log Tampering Dilemma</w:t>
      </w:r>
    </w:p>
    <w:p>
      <w:pPr>
        <w:spacing w:before="0" w:after="120" w:line="360" w:lineRule="auto"/>
        <w:jc w:val="both"/>
      </w:pPr>
      <w:r>
        <w:rPr>
          <w:rFonts w:ascii="Times New Roman" w:hAnsi="Times New Roman"/>
          <w:b w:val="0"/>
          <w:i w:val="0"/>
          <w:color w:val="000000"/>
          <w:sz w:val="24"/>
        </w:rPr>
        <w:t>A detailed analysis of enterprise threat hunting operations reveals two critical vulnerabilities in the current state-of-the-art:</w:t>
      </w:r>
    </w:p>
    <w:p>
      <w:pPr>
        <w:spacing w:before="240" w:after="60" w:line="360" w:lineRule="auto"/>
        <w:jc w:val="left"/>
      </w:pPr>
      <w:r>
        <w:rPr>
          <w:rFonts w:ascii="Times New Roman" w:hAnsi="Times New Roman"/>
          <w:b/>
          <w:i w:val="0"/>
          <w:color w:val="3C3C3C"/>
          <w:sz w:val="25"/>
        </w:rPr>
        <w:t>The Cleartext Query Surveillance Vector</w:t>
      </w:r>
    </w:p>
    <w:p>
      <w:pPr>
        <w:spacing w:before="0" w:after="120" w:line="360" w:lineRule="auto"/>
        <w:jc w:val="both"/>
      </w:pPr>
      <w:r>
        <w:rPr>
          <w:rFonts w:ascii="Times New Roman" w:hAnsi="Times New Roman"/>
          <w:b w:val="0"/>
          <w:i w:val="0"/>
          <w:color w:val="000000"/>
          <w:sz w:val="24"/>
        </w:rPr>
        <w:t>When a cybersecurity analyst investigates a potential executive compromise, performing a lookup on traditional platforms immediately leaks the executive's email to third-party databases. Attackers who compromise such platforms can monitor these lookup logs to detect when their unauthorized access has been discovered, prompting them to accelerate data exfiltration or switch intrusion tactics. A truly secure architecture must provide mathematical guarantees that the search server learns nothing about the specific identifier being audited.</w:t>
      </w:r>
    </w:p>
    <w:p>
      <w:pPr>
        <w:spacing w:before="240" w:after="60" w:line="360" w:lineRule="auto"/>
        <w:jc w:val="left"/>
      </w:pPr>
      <w:r>
        <w:rPr>
          <w:rFonts w:ascii="Times New Roman" w:hAnsi="Times New Roman"/>
          <w:b/>
          <w:i w:val="0"/>
          <w:color w:val="3C3C3C"/>
          <w:sz w:val="25"/>
        </w:rPr>
        <w:t>The Log Mutable Integrity Failure</w:t>
      </w:r>
    </w:p>
    <w:p>
      <w:pPr>
        <w:spacing w:before="0" w:after="120" w:line="360" w:lineRule="auto"/>
        <w:jc w:val="both"/>
      </w:pPr>
      <w:r>
        <w:rPr>
          <w:rFonts w:ascii="Times New Roman" w:hAnsi="Times New Roman"/>
          <w:b w:val="0"/>
          <w:i w:val="0"/>
          <w:color w:val="000000"/>
          <w:sz w:val="24"/>
        </w:rPr>
        <w:t>In conventional audit environments, administrative activity and search queries are recorded in MySQL, PostgreSQL, or Elasticsearch clusters. These systems share a common single point of failure: any database administrator (DBA) or attacker with root privileges can execute direct UPDATE or DELETE SQL statements, altering audit logs without leaving a trace. In regulated sectors subject to ISO/IEC 27001, SOC 2, or HIPAA compliance, this vulnerability destroys evidentiary integrity and non-repudiation.</w:t>
      </w:r>
    </w:p>
    <w:p>
      <w:pPr>
        <w:spacing w:before="320" w:after="80" w:line="360" w:lineRule="auto"/>
        <w:jc w:val="left"/>
      </w:pPr>
      <w:r>
        <w:rPr>
          <w:rFonts w:ascii="Times New Roman" w:hAnsi="Times New Roman"/>
          <w:b/>
          <w:i w:val="0"/>
          <w:color w:val="102C57"/>
          <w:sz w:val="28"/>
        </w:rPr>
        <w:t>2.3 Research &amp; Technical Objectives</w:t>
      </w:r>
    </w:p>
    <w:p>
      <w:pPr>
        <w:spacing w:before="0" w:after="120" w:line="360" w:lineRule="auto"/>
        <w:jc w:val="both"/>
      </w:pPr>
      <w:r>
        <w:rPr>
          <w:rFonts w:ascii="Times New Roman" w:hAnsi="Times New Roman"/>
          <w:b w:val="0"/>
          <w:i w:val="0"/>
          <w:color w:val="000000"/>
          <w:sz w:val="24"/>
        </w:rPr>
        <w:t>To resolve these challenges, BreachShield formalizes the following research and implementation targets:</w:t>
      </w:r>
    </w:p>
    <w:p>
      <w:pPr>
        <w:pStyle w:val="ListBullet"/>
        <w:spacing w:before="40" w:after="80" w:line="312" w:lineRule="auto"/>
      </w:pPr>
      <w:r>
        <w:rPr>
          <w:rFonts w:ascii="Times New Roman" w:hAnsi="Times New Roman"/>
          <w:b/>
          <w:sz w:val="23"/>
        </w:rPr>
        <w:t xml:space="preserve">Prefix-Partitioned k-Anonymity: </w:t>
      </w:r>
      <w:r>
        <w:rPr>
          <w:rFonts w:ascii="Times New Roman" w:hAnsi="Times New Roman"/>
          <w:sz w:val="23"/>
        </w:rPr>
        <w:t>Design an algorithm that maps the SHA-256 keyspace into 16^5 (1,048,576) partitions, proving that disclosing a 5-hex prefix maintains a sufficiently large anonymity set (k &gt;= 1) such that the server cannot reverse-engineer the query.</w:t>
      </w:r>
    </w:p>
    <w:p>
      <w:pPr>
        <w:pStyle w:val="ListBullet"/>
        <w:spacing w:before="40" w:after="80" w:line="312" w:lineRule="auto"/>
      </w:pPr>
      <w:r>
        <w:rPr>
          <w:rFonts w:ascii="Times New Roman" w:hAnsi="Times New Roman"/>
          <w:b/>
          <w:sz w:val="23"/>
        </w:rPr>
        <w:t xml:space="preserve">Dual-Factor Out-of-Band Gating: </w:t>
      </w:r>
      <w:r>
        <w:rPr>
          <w:rFonts w:ascii="Times New Roman" w:hAnsi="Times New Roman"/>
          <w:sz w:val="23"/>
        </w:rPr>
        <w:t>Implement a protocol requiring the querying user to prove control of the query target or possess administrative authorization via an independent communications channel (SMTP or SMS) before releasing breach details.</w:t>
      </w:r>
    </w:p>
    <w:p>
      <w:pPr>
        <w:pStyle w:val="ListBullet"/>
        <w:spacing w:before="40" w:after="80" w:line="312" w:lineRule="auto"/>
      </w:pPr>
      <w:r>
        <w:rPr>
          <w:rFonts w:ascii="Times New Roman" w:hAnsi="Times New Roman"/>
          <w:b/>
          <w:sz w:val="23"/>
        </w:rPr>
        <w:t xml:space="preserve">Empirical Severity Benchmarking: </w:t>
      </w:r>
      <w:r>
        <w:rPr>
          <w:rFonts w:ascii="Times New Roman" w:hAnsi="Times New Roman"/>
          <w:sz w:val="23"/>
        </w:rPr>
        <w:t>Address the limitation of heuristic threat scores by training and benchmarking five distinct machine learning models on real breach records, determining the optimal trade-off between computational efficiency and classification accuracy.</w:t>
      </w:r>
    </w:p>
    <w:p>
      <w:pPr>
        <w:pStyle w:val="ListBullet"/>
        <w:spacing w:before="40" w:after="80" w:line="312" w:lineRule="auto"/>
      </w:pPr>
      <w:r>
        <w:rPr>
          <w:rFonts w:ascii="Times New Roman" w:hAnsi="Times New Roman"/>
          <w:b/>
          <w:sz w:val="23"/>
        </w:rPr>
        <w:t xml:space="preserve">Deterministic Merkle Tree Anchoring: </w:t>
      </w:r>
      <w:r>
        <w:rPr>
          <w:rFonts w:ascii="Times New Roman" w:hAnsi="Times New Roman"/>
          <w:sz w:val="23"/>
        </w:rPr>
        <w:t>Develop a cryptographically sound batching pipeline that serializes heterogeneous audit events into canonical JSON strings, builds binary Merkle trees, and commits root hashes to smart contracts with sub-second gas finality.</w:t>
      </w:r>
    </w:p>
    <w:p>
      <w:r>
        <w:br w:type="page"/>
      </w:r>
    </w:p>
    <w:p>
      <w:pPr>
        <w:spacing w:before="480" w:after="80" w:line="360" w:lineRule="auto"/>
        <w:jc w:val="center"/>
      </w:pPr>
      <w:r>
        <w:rPr>
          <w:rFonts w:ascii="Times New Roman" w:hAnsi="Times New Roman"/>
          <w:b/>
          <w:i w:val="0"/>
          <w:color w:val="102C57"/>
          <w:sz w:val="32"/>
        </w:rPr>
        <w:t>CHAPTER 3</w:t>
      </w:r>
    </w:p>
    <w:p>
      <w:pPr>
        <w:spacing w:before="80" w:after="400" w:line="360" w:lineRule="auto"/>
        <w:jc w:val="center"/>
      </w:pPr>
      <w:r>
        <w:rPr>
          <w:rFonts w:ascii="Times New Roman" w:hAnsi="Times New Roman"/>
          <w:b/>
          <w:i w:val="0"/>
          <w:color w:val="000000"/>
          <w:sz w:val="36"/>
        </w:rPr>
        <w:t>SYSTEM REQUIREMENT SPECIFICATION</w:t>
      </w:r>
    </w:p>
    <w:p>
      <w:pPr>
        <w:spacing w:before="320" w:after="80" w:line="360" w:lineRule="auto"/>
        <w:jc w:val="left"/>
      </w:pPr>
      <w:r>
        <w:rPr>
          <w:rFonts w:ascii="Times New Roman" w:hAnsi="Times New Roman"/>
          <w:b/>
          <w:i w:val="0"/>
          <w:color w:val="102C57"/>
          <w:sz w:val="28"/>
        </w:rPr>
        <w:t>3.1 Functional Requirements</w:t>
      </w:r>
    </w:p>
    <w:p>
      <w:pPr>
        <w:spacing w:before="0" w:after="120" w:line="360" w:lineRule="auto"/>
        <w:jc w:val="both"/>
      </w:pPr>
      <w:r>
        <w:rPr>
          <w:rFonts w:ascii="Times New Roman" w:hAnsi="Times New Roman"/>
          <w:b w:val="0"/>
          <w:i w:val="0"/>
          <w:color w:val="000000"/>
          <w:sz w:val="24"/>
        </w:rPr>
        <w:t>Functional requirements define the core operational behaviors, services, and transformations that BreachShield must execute. The platform specifies eight primary functional requirements (FR-01 to FR-08):</w:t>
      </w:r>
    </w:p>
    <w:p>
      <w:pPr>
        <w:pStyle w:val="ListBullet"/>
        <w:spacing w:before="40" w:after="80" w:line="312" w:lineRule="auto"/>
      </w:pPr>
      <w:r>
        <w:rPr>
          <w:rFonts w:ascii="Times New Roman" w:hAnsi="Times New Roman"/>
          <w:b/>
          <w:sz w:val="23"/>
        </w:rPr>
        <w:t xml:space="preserve">FR-01 (Client-Side k-Anonymity Hashing): </w:t>
      </w:r>
      <w:r>
        <w:rPr>
          <w:rFonts w:ascii="Times New Roman" w:hAnsi="Times New Roman"/>
          <w:sz w:val="23"/>
        </w:rPr>
        <w:t>The client interface must locally compute a 256-bit SHA-256 hash using the Web Crypto API, extract exactly the first 5 hexadecimal characters, and issue a GET request to /api/k-anonymity/range/:prefix. Suffix filtering must execute exclusively in client volatile memory.</w:t>
      </w:r>
    </w:p>
    <w:p>
      <w:pPr>
        <w:pStyle w:val="ListBullet"/>
        <w:spacing w:before="40" w:after="80" w:line="312" w:lineRule="auto"/>
      </w:pPr>
      <w:r>
        <w:rPr>
          <w:rFonts w:ascii="Times New Roman" w:hAnsi="Times New Roman"/>
          <w:b/>
          <w:sz w:val="23"/>
        </w:rPr>
        <w:t xml:space="preserve">FR-02 (Out-of-Band Dual-Channel Authentication): </w:t>
      </w:r>
      <w:r>
        <w:rPr>
          <w:rFonts w:ascii="Times New Roman" w:hAnsi="Times New Roman"/>
          <w:sz w:val="23"/>
        </w:rPr>
        <w:t>The system must provide an identity gate requiring a 6-digit cryptographic OTP. Delivery must be supported via Nodemailer Gmail SMTP and an Android WebSocket SMS relay, with stored OTPs protected by bcrypt salted hashing.</w:t>
      </w:r>
    </w:p>
    <w:p>
      <w:pPr>
        <w:pStyle w:val="ListBullet"/>
        <w:spacing w:before="40" w:after="80" w:line="312" w:lineRule="auto"/>
      </w:pPr>
      <w:r>
        <w:rPr>
          <w:rFonts w:ascii="Times New Roman" w:hAnsi="Times New Roman"/>
          <w:b/>
          <w:sz w:val="23"/>
        </w:rPr>
        <w:t xml:space="preserve">FR-03 (Anti-Abuse Rate Limiting &amp; Lockout): </w:t>
      </w:r>
      <w:r>
        <w:rPr>
          <w:rFonts w:ascii="Times New Roman" w:hAnsi="Times New Roman"/>
          <w:sz w:val="23"/>
        </w:rPr>
        <w:t>The gateway must enforce a mandatory 30-second cooldown timer between OTP requests and automatically lock out any identifier for 15 minutes following 5 consecutive incorrect submissions.</w:t>
      </w:r>
    </w:p>
    <w:p>
      <w:pPr>
        <w:pStyle w:val="ListBullet"/>
        <w:spacing w:before="40" w:after="80" w:line="312" w:lineRule="auto"/>
      </w:pPr>
      <w:r>
        <w:rPr>
          <w:rFonts w:ascii="Times New Roman" w:hAnsi="Times New Roman"/>
          <w:b/>
          <w:sz w:val="23"/>
        </w:rPr>
        <w:t xml:space="preserve">FR-04 (Multi-Source OSINT Aggregation): </w:t>
      </w:r>
      <w:r>
        <w:rPr>
          <w:rFonts w:ascii="Times New Roman" w:hAnsi="Times New Roman"/>
          <w:sz w:val="23"/>
        </w:rPr>
        <w:t>The backend must implement a BreachSource abstract interface with concrete adapters for Telegram MTProto scraping, HIBP v3, and local indexed catalogs. All sources must be queried concurrently using Promise.allSettled.</w:t>
      </w:r>
    </w:p>
    <w:p>
      <w:pPr>
        <w:pStyle w:val="ListBullet"/>
        <w:spacing w:before="40" w:after="80" w:line="312" w:lineRule="auto"/>
      </w:pPr>
      <w:r>
        <w:rPr>
          <w:rFonts w:ascii="Times New Roman" w:hAnsi="Times New Roman"/>
          <w:b/>
          <w:sz w:val="23"/>
        </w:rPr>
        <w:t xml:space="preserve">FR-05 (Machine Learning Severity Scoring): </w:t>
      </w:r>
      <w:r>
        <w:rPr>
          <w:rFonts w:ascii="Times New Roman" w:hAnsi="Times New Roman"/>
          <w:sz w:val="23"/>
        </w:rPr>
        <w:t>The AI microservice must accept 7 extracted breach features (PwnCount, DataClassesCount, IsVerified, IsFabricated, IsSensitive, IsSpamList, CategoryWeights) and output a multi-class severity prediction (LOW, MEDIUM, HIGH, CRITICAL).</w:t>
      </w:r>
    </w:p>
    <w:p>
      <w:pPr>
        <w:pStyle w:val="ListBullet"/>
        <w:spacing w:before="40" w:after="80" w:line="312" w:lineRule="auto"/>
      </w:pPr>
      <w:r>
        <w:rPr>
          <w:rFonts w:ascii="Times New Roman" w:hAnsi="Times New Roman"/>
          <w:b/>
          <w:sz w:val="23"/>
        </w:rPr>
        <w:t xml:space="preserve">FR-06 (Real-Time Phishing URL Classification): </w:t>
      </w:r>
      <w:r>
        <w:rPr>
          <w:rFonts w:ascii="Times New Roman" w:hAnsi="Times New Roman"/>
          <w:sz w:val="23"/>
        </w:rPr>
        <w:t>The AI service must host a pretrained UrlBERT transformer model that evaluates submitted URL strings on the active search path, returning a phishing probability score.</w:t>
      </w:r>
    </w:p>
    <w:p>
      <w:pPr>
        <w:pStyle w:val="ListBullet"/>
        <w:spacing w:before="40" w:after="80" w:line="312" w:lineRule="auto"/>
      </w:pPr>
      <w:r>
        <w:rPr>
          <w:rFonts w:ascii="Times New Roman" w:hAnsi="Times New Roman"/>
          <w:b/>
          <w:sz w:val="23"/>
        </w:rPr>
        <w:t xml:space="preserve">FR-07 (Merkle Tree Audit Generation): </w:t>
      </w:r>
      <w:r>
        <w:rPr>
          <w:rFonts w:ascii="Times New Roman" w:hAnsi="Times New Roman"/>
          <w:sz w:val="23"/>
        </w:rPr>
        <w:t>The system must serialize query metadata into canonical JSON, generate leaf hashes, construct a binary SHA-256 Merkle tree, and output an immutable 32-byte root hash.</w:t>
      </w:r>
    </w:p>
    <w:p>
      <w:pPr>
        <w:pStyle w:val="ListBullet"/>
        <w:spacing w:before="40" w:after="80" w:line="312" w:lineRule="auto"/>
      </w:pPr>
      <w:r>
        <w:rPr>
          <w:rFonts w:ascii="Times New Roman" w:hAnsi="Times New Roman"/>
          <w:b/>
          <w:sz w:val="23"/>
        </w:rPr>
        <w:t xml:space="preserve">FR-08 (Blockchain Smart Contract Anchoring): </w:t>
      </w:r>
      <w:r>
        <w:rPr>
          <w:rFonts w:ascii="Times New Roman" w:hAnsi="Times New Roman"/>
          <w:sz w:val="23"/>
        </w:rPr>
        <w:t>The backend must interact with the Hardhat EVM node to execute anchorRoot(batchId, root, count) on AnchorRegistry.sol, logging transaction hashes and block heights.</w:t>
      </w:r>
    </w:p>
    <w:p>
      <w:pPr>
        <w:spacing w:before="320" w:after="80" w:line="360" w:lineRule="auto"/>
        <w:jc w:val="left"/>
      </w:pPr>
      <w:r>
        <w:rPr>
          <w:rFonts w:ascii="Times New Roman" w:hAnsi="Times New Roman"/>
          <w:b/>
          <w:i w:val="0"/>
          <w:color w:val="102C57"/>
          <w:sz w:val="28"/>
        </w:rPr>
        <w:t>3.2 Non-Functional Requirements</w:t>
      </w:r>
    </w:p>
    <w:p>
      <w:pPr>
        <w:spacing w:before="0" w:after="120" w:line="360" w:lineRule="auto"/>
        <w:jc w:val="both"/>
      </w:pPr>
      <w:r>
        <w:rPr>
          <w:rFonts w:ascii="Times New Roman" w:hAnsi="Times New Roman"/>
          <w:b w:val="0"/>
          <w:i w:val="0"/>
          <w:color w:val="000000"/>
          <w:sz w:val="24"/>
        </w:rPr>
        <w:t>Non-functional requirements specify the architectural qualities, constraints, and security standards governing BreachShield:</w:t>
      </w:r>
    </w:p>
    <w:p>
      <w:pPr>
        <w:pStyle w:val="ListBullet"/>
        <w:spacing w:before="40" w:after="80" w:line="312" w:lineRule="auto"/>
      </w:pPr>
      <w:r>
        <w:rPr>
          <w:rFonts w:ascii="Times New Roman" w:hAnsi="Times New Roman"/>
          <w:b/>
          <w:sz w:val="23"/>
        </w:rPr>
        <w:t xml:space="preserve">NFR-01 (Query Privacy &amp; Confidentiality): </w:t>
      </w:r>
      <w:r>
        <w:rPr>
          <w:rFonts w:ascii="Times New Roman" w:hAnsi="Times New Roman"/>
          <w:sz w:val="23"/>
        </w:rPr>
        <w:t>Under zero circumstances shall raw email addresses, usernames, or phone numbers be written to server logs, database tables, or blockchain transactions.</w:t>
      </w:r>
    </w:p>
    <w:p>
      <w:pPr>
        <w:pStyle w:val="ListBullet"/>
        <w:spacing w:before="40" w:after="80" w:line="312" w:lineRule="auto"/>
      </w:pPr>
      <w:r>
        <w:rPr>
          <w:rFonts w:ascii="Times New Roman" w:hAnsi="Times New Roman"/>
          <w:b/>
          <w:sz w:val="23"/>
        </w:rPr>
        <w:t xml:space="preserve">NFR-02 (Performance &amp; Latency): </w:t>
      </w:r>
      <w:r>
        <w:rPr>
          <w:rFonts w:ascii="Times New Roman" w:hAnsi="Times New Roman"/>
          <w:sz w:val="23"/>
        </w:rPr>
        <w:t>End-to-end lookup latency for k-anonymity queries must not exceed 800 milliseconds under standard network conditions. Machine learning inference must complete in under 50 milliseconds per record.</w:t>
      </w:r>
    </w:p>
    <w:p>
      <w:pPr>
        <w:pStyle w:val="ListBullet"/>
        <w:spacing w:before="40" w:after="80" w:line="312" w:lineRule="auto"/>
      </w:pPr>
      <w:r>
        <w:rPr>
          <w:rFonts w:ascii="Times New Roman" w:hAnsi="Times New Roman"/>
          <w:b/>
          <w:sz w:val="23"/>
        </w:rPr>
        <w:t xml:space="preserve">NFR-03 (Fault Tolerance &amp; Resiliency): </w:t>
      </w:r>
      <w:r>
        <w:rPr>
          <w:rFonts w:ascii="Times New Roman" w:hAnsi="Times New Roman"/>
          <w:sz w:val="23"/>
        </w:rPr>
        <w:t>If MySQL database connections fail, the backend must seamlessly transition to local JSON fallback storage without dropping active user sessions. If the Telegram scraper experiences rate limits, it must gracefully degrade to cached intelligence.</w:t>
      </w:r>
    </w:p>
    <w:p>
      <w:pPr>
        <w:pStyle w:val="ListBullet"/>
        <w:spacing w:before="40" w:after="80" w:line="312" w:lineRule="auto"/>
      </w:pPr>
      <w:r>
        <w:rPr>
          <w:rFonts w:ascii="Times New Roman" w:hAnsi="Times New Roman"/>
          <w:b/>
          <w:sz w:val="23"/>
        </w:rPr>
        <w:t xml:space="preserve">NFR-04 (Cryptographic Immutability): </w:t>
      </w:r>
      <w:r>
        <w:rPr>
          <w:rFonts w:ascii="Times New Roman" w:hAnsi="Times New Roman"/>
          <w:sz w:val="23"/>
        </w:rPr>
        <w:t>Audit logs anchored on the blockchain must provide mathematical non-repudiation; any mutation of a single bit in a historic log entry must result in immediate cryptographic verification failure.</w:t>
      </w:r>
    </w:p>
    <w:p>
      <w:pPr>
        <w:pStyle w:val="ListBullet"/>
        <w:spacing w:before="40" w:after="80" w:line="312" w:lineRule="auto"/>
      </w:pPr>
      <w:r>
        <w:rPr>
          <w:rFonts w:ascii="Times New Roman" w:hAnsi="Times New Roman"/>
          <w:b/>
          <w:sz w:val="23"/>
        </w:rPr>
        <w:t xml:space="preserve">NFR-05 (Usability &amp; Responsiveness): </w:t>
      </w:r>
      <w:r>
        <w:rPr>
          <w:rFonts w:ascii="Times New Roman" w:hAnsi="Times New Roman"/>
          <w:sz w:val="23"/>
        </w:rPr>
        <w:t>The frontend must deliver an accessible, high-contrast Cyberpunk HUD terminal interface with responsive layouts across desktop and mobile browsers.</w:t>
      </w:r>
    </w:p>
    <w:p>
      <w:pPr>
        <w:spacing w:before="320" w:after="80" w:line="360" w:lineRule="auto"/>
        <w:jc w:val="left"/>
      </w:pPr>
      <w:r>
        <w:rPr>
          <w:rFonts w:ascii="Times New Roman" w:hAnsi="Times New Roman"/>
          <w:b/>
          <w:i w:val="0"/>
          <w:color w:val="102C57"/>
          <w:sz w:val="28"/>
        </w:rPr>
        <w:t>3.3 Hardware Requirements</w:t>
      </w:r>
    </w:p>
    <w:p>
      <w:pPr>
        <w:spacing w:before="0" w:after="120" w:line="360" w:lineRule="auto"/>
        <w:jc w:val="both"/>
      </w:pPr>
      <w:r>
        <w:rPr>
          <w:rFonts w:ascii="Times New Roman" w:hAnsi="Times New Roman"/>
          <w:b w:val="0"/>
          <w:i w:val="0"/>
          <w:color w:val="000000"/>
          <w:sz w:val="24"/>
        </w:rPr>
        <w:t>BreachShield is designed to operate efficiently across standard developer workstations and enterprise servers:</w:t>
      </w:r>
    </w:p>
    <w:p>
      <w:pPr>
        <w:pStyle w:val="ListBullet"/>
        <w:spacing w:before="40" w:after="80" w:line="312" w:lineRule="auto"/>
      </w:pPr>
      <w:r>
        <w:rPr>
          <w:rFonts w:ascii="Times New Roman" w:hAnsi="Times New Roman"/>
          <w:b/>
          <w:sz w:val="23"/>
        </w:rPr>
        <w:t xml:space="preserve">Processor: </w:t>
      </w:r>
      <w:r>
        <w:rPr>
          <w:rFonts w:ascii="Times New Roman" w:hAnsi="Times New Roman"/>
          <w:sz w:val="23"/>
        </w:rPr>
        <w:t>Intel Core i5 / i7 (8th Gen or newer) or AMD Ryzen 5 / 7 (Quad-Core minimum, 2.5 GHz+).</w:t>
      </w:r>
    </w:p>
    <w:p>
      <w:pPr>
        <w:pStyle w:val="ListBullet"/>
        <w:spacing w:before="40" w:after="80" w:line="312" w:lineRule="auto"/>
      </w:pPr>
      <w:r>
        <w:rPr>
          <w:rFonts w:ascii="Times New Roman" w:hAnsi="Times New Roman"/>
          <w:b/>
          <w:sz w:val="23"/>
        </w:rPr>
        <w:t xml:space="preserve">RAM: </w:t>
      </w:r>
      <w:r>
        <w:rPr>
          <w:rFonts w:ascii="Times New Roman" w:hAnsi="Times New Roman"/>
          <w:sz w:val="23"/>
        </w:rPr>
        <w:t>8 GB minimum (16 GB recommended for concurrent PyTorch transformer execution).</w:t>
      </w:r>
    </w:p>
    <w:p>
      <w:pPr>
        <w:pStyle w:val="ListBullet"/>
        <w:spacing w:before="40" w:after="80" w:line="312" w:lineRule="auto"/>
      </w:pPr>
      <w:r>
        <w:rPr>
          <w:rFonts w:ascii="Times New Roman" w:hAnsi="Times New Roman"/>
          <w:b/>
          <w:sz w:val="23"/>
        </w:rPr>
        <w:t xml:space="preserve">Storage: </w:t>
      </w:r>
      <w:r>
        <w:rPr>
          <w:rFonts w:ascii="Times New Roman" w:hAnsi="Times New Roman"/>
          <w:sz w:val="23"/>
        </w:rPr>
        <w:t>50 GB free solid-state storage (SSD) for node_modules, Python virtual environments, ML model checkpoints, and local Hardhat state.</w:t>
      </w:r>
    </w:p>
    <w:p>
      <w:pPr>
        <w:pStyle w:val="ListBullet"/>
        <w:spacing w:before="40" w:after="80" w:line="312" w:lineRule="auto"/>
      </w:pPr>
      <w:r>
        <w:rPr>
          <w:rFonts w:ascii="Times New Roman" w:hAnsi="Times New Roman"/>
          <w:b/>
          <w:sz w:val="23"/>
        </w:rPr>
        <w:t xml:space="preserve">Network: </w:t>
      </w:r>
      <w:r>
        <w:rPr>
          <w:rFonts w:ascii="Times New Roman" w:hAnsi="Times New Roman"/>
          <w:sz w:val="23"/>
        </w:rPr>
        <w:t>Standard broadband internet connection with active outbound ports for SMTP (587), Telegram MTProto (443), and Ethereum RPC (8545).</w:t>
      </w:r>
    </w:p>
    <w:p>
      <w:pPr>
        <w:pStyle w:val="ListBullet"/>
        <w:spacing w:before="40" w:after="80" w:line="312" w:lineRule="auto"/>
      </w:pPr>
      <w:r>
        <w:rPr>
          <w:rFonts w:ascii="Times New Roman" w:hAnsi="Times New Roman"/>
          <w:b/>
          <w:sz w:val="23"/>
        </w:rPr>
        <w:t xml:space="preserve">Mobile Device (Optional Relay): </w:t>
      </w:r>
      <w:r>
        <w:rPr>
          <w:rFonts w:ascii="Times New Roman" w:hAnsi="Times New Roman"/>
          <w:sz w:val="23"/>
        </w:rPr>
        <w:t>Android smartphone running Android 10 (API 29) or higher with an active cellular SIM card for SMS relay testing.</w:t>
      </w:r>
    </w:p>
    <w:p>
      <w:pPr>
        <w:spacing w:before="320" w:after="80" w:line="360" w:lineRule="auto"/>
        <w:jc w:val="left"/>
      </w:pPr>
      <w:r>
        <w:rPr>
          <w:rFonts w:ascii="Times New Roman" w:hAnsi="Times New Roman"/>
          <w:b/>
          <w:i w:val="0"/>
          <w:color w:val="102C57"/>
          <w:sz w:val="28"/>
        </w:rPr>
        <w:t>3.4 Software Requirements &amp; Technology Stack</w:t>
      </w:r>
    </w:p>
    <w:p>
      <w:pPr>
        <w:spacing w:before="0" w:after="120" w:line="360" w:lineRule="auto"/>
        <w:jc w:val="both"/>
      </w:pPr>
      <w:r>
        <w:rPr>
          <w:rFonts w:ascii="Times New Roman" w:hAnsi="Times New Roman"/>
          <w:b w:val="0"/>
          <w:i w:val="0"/>
          <w:color w:val="000000"/>
          <w:sz w:val="24"/>
        </w:rPr>
        <w:t>The complete technology stack across all four architectural tiers comprises:</w:t>
      </w:r>
    </w:p>
    <w:p>
      <w:pPr>
        <w:pStyle w:val="ListBullet"/>
        <w:spacing w:before="40" w:after="80" w:line="312" w:lineRule="auto"/>
      </w:pPr>
      <w:r>
        <w:rPr>
          <w:rFonts w:ascii="Times New Roman" w:hAnsi="Times New Roman"/>
          <w:b/>
          <w:sz w:val="23"/>
        </w:rPr>
        <w:t xml:space="preserve">Operating System: </w:t>
      </w:r>
      <w:r>
        <w:rPr>
          <w:rFonts w:ascii="Times New Roman" w:hAnsi="Times New Roman"/>
          <w:sz w:val="23"/>
        </w:rPr>
        <w:t>Windows 11 / Linux (Ubuntu 22.04 LTS) / macOS Sonoma.</w:t>
      </w:r>
    </w:p>
    <w:p>
      <w:pPr>
        <w:pStyle w:val="ListBullet"/>
        <w:spacing w:before="40" w:after="80" w:line="312" w:lineRule="auto"/>
      </w:pPr>
      <w:r>
        <w:rPr>
          <w:rFonts w:ascii="Times New Roman" w:hAnsi="Times New Roman"/>
          <w:b/>
          <w:sz w:val="23"/>
        </w:rPr>
        <w:t xml:space="preserve">Frontend Tier: </w:t>
      </w:r>
      <w:r>
        <w:rPr>
          <w:rFonts w:ascii="Times New Roman" w:hAnsi="Times New Roman"/>
          <w:sz w:val="23"/>
        </w:rPr>
        <w:t>React 19, JavaScript ES2023, Tailwind CSS, Lucide Icons, Web Crypto API.</w:t>
      </w:r>
    </w:p>
    <w:p>
      <w:pPr>
        <w:pStyle w:val="ListBullet"/>
        <w:spacing w:before="40" w:after="80" w:line="312" w:lineRule="auto"/>
      </w:pPr>
      <w:r>
        <w:rPr>
          <w:rFonts w:ascii="Times New Roman" w:hAnsi="Times New Roman"/>
          <w:b/>
          <w:sz w:val="23"/>
        </w:rPr>
        <w:t xml:space="preserve">Backend Gateway Tier: </w:t>
      </w:r>
      <w:r>
        <w:rPr>
          <w:rFonts w:ascii="Times New Roman" w:hAnsi="Times New Roman"/>
          <w:sz w:val="23"/>
        </w:rPr>
        <w:t>Node.js 20 LTS, Express 5.0, Nodemailer, bcryptjs, jsonwebtoken, ws (WebSockets).</w:t>
      </w:r>
    </w:p>
    <w:p>
      <w:pPr>
        <w:pStyle w:val="ListBullet"/>
        <w:spacing w:before="40" w:after="80" w:line="312" w:lineRule="auto"/>
      </w:pPr>
      <w:r>
        <w:rPr>
          <w:rFonts w:ascii="Times New Roman" w:hAnsi="Times New Roman"/>
          <w:b/>
          <w:sz w:val="23"/>
        </w:rPr>
        <w:t xml:space="preserve">Intelligence Tier: </w:t>
      </w:r>
      <w:r>
        <w:rPr>
          <w:rFonts w:ascii="Times New Roman" w:hAnsi="Times New Roman"/>
          <w:sz w:val="23"/>
        </w:rPr>
        <w:t>Python 3.11+, FastAPI, Uvicorn, Telethon (MTProto), HuggingFace Transformers, PyTorch, Scikit-learn, XGBoost.</w:t>
      </w:r>
    </w:p>
    <w:p>
      <w:pPr>
        <w:pStyle w:val="ListBullet"/>
        <w:spacing w:before="40" w:after="80" w:line="312" w:lineRule="auto"/>
      </w:pPr>
      <w:r>
        <w:rPr>
          <w:rFonts w:ascii="Times New Roman" w:hAnsi="Times New Roman"/>
          <w:b/>
          <w:sz w:val="23"/>
        </w:rPr>
        <w:t xml:space="preserve">Ledger Tier: </w:t>
      </w:r>
      <w:r>
        <w:rPr>
          <w:rFonts w:ascii="Times New Roman" w:hAnsi="Times New Roman"/>
          <w:sz w:val="23"/>
        </w:rPr>
        <w:t>Hardhat 2.22, Solidity 0.8.24, Ethers.js v6, OpenZeppelin Contracts.</w:t>
      </w:r>
    </w:p>
    <w:p>
      <w:pPr>
        <w:pStyle w:val="ListBullet"/>
        <w:spacing w:before="40" w:after="80" w:line="312" w:lineRule="auto"/>
      </w:pPr>
      <w:r>
        <w:rPr>
          <w:rFonts w:ascii="Times New Roman" w:hAnsi="Times New Roman"/>
          <w:b/>
          <w:sz w:val="23"/>
        </w:rPr>
        <w:t xml:space="preserve">Persistence Tier: </w:t>
      </w:r>
      <w:r>
        <w:rPr>
          <w:rFonts w:ascii="Times New Roman" w:hAnsi="Times New Roman"/>
          <w:sz w:val="23"/>
        </w:rPr>
        <w:t>MySQL 8.0 Community Server with automatic JSON file fallback driver.</w:t>
      </w:r>
    </w:p>
    <w:p>
      <w:r>
        <w:br w:type="page"/>
      </w:r>
    </w:p>
    <w:p>
      <w:pPr>
        <w:spacing w:before="480" w:after="80" w:line="360" w:lineRule="auto"/>
        <w:jc w:val="center"/>
      </w:pPr>
      <w:r>
        <w:rPr>
          <w:rFonts w:ascii="Times New Roman" w:hAnsi="Times New Roman"/>
          <w:b/>
          <w:i w:val="0"/>
          <w:color w:val="102C57"/>
          <w:sz w:val="32"/>
        </w:rPr>
        <w:t>CHAPTER 4</w:t>
      </w:r>
    </w:p>
    <w:p>
      <w:pPr>
        <w:spacing w:before="80" w:after="400" w:line="360" w:lineRule="auto"/>
        <w:jc w:val="center"/>
      </w:pPr>
      <w:r>
        <w:rPr>
          <w:rFonts w:ascii="Times New Roman" w:hAnsi="Times New Roman"/>
          <w:b/>
          <w:i w:val="0"/>
          <w:color w:val="000000"/>
          <w:sz w:val="36"/>
        </w:rPr>
        <w:t>SYSTEM DESIGN</w:t>
      </w:r>
    </w:p>
    <w:p>
      <w:pPr>
        <w:spacing w:before="320" w:after="80" w:line="360" w:lineRule="auto"/>
        <w:jc w:val="left"/>
      </w:pPr>
      <w:r>
        <w:rPr>
          <w:rFonts w:ascii="Times New Roman" w:hAnsi="Times New Roman"/>
          <w:b/>
          <w:i w:val="0"/>
          <w:color w:val="102C57"/>
          <w:sz w:val="28"/>
        </w:rPr>
        <w:t>4.1 Architectural Design (Four-Tier Architecture)</w:t>
      </w:r>
    </w:p>
    <w:p>
      <w:pPr>
        <w:spacing w:before="0" w:after="120" w:line="360" w:lineRule="auto"/>
        <w:jc w:val="both"/>
      </w:pPr>
      <w:r>
        <w:rPr>
          <w:rFonts w:ascii="Times New Roman" w:hAnsi="Times New Roman"/>
          <w:b w:val="0"/>
          <w:i w:val="0"/>
          <w:color w:val="000000"/>
          <w:sz w:val="24"/>
        </w:rPr>
        <w:t>BreachShield employs a decoupled, four-tier microservice architecture designed to enforce strict separation of concerns, zero-trust network boundaries, and independent horizontal scaling. The four primary tiers are:</w:t>
      </w:r>
    </w:p>
    <w:p>
      <w:pPr>
        <w:pStyle w:val="ListBullet"/>
        <w:spacing w:before="40" w:after="80" w:line="312" w:lineRule="auto"/>
      </w:pPr>
      <w:r>
        <w:rPr>
          <w:rFonts w:ascii="Times New Roman" w:hAnsi="Times New Roman"/>
          <w:b/>
          <w:sz w:val="23"/>
        </w:rPr>
        <w:t xml:space="preserve">1. Presentation Tier (Client HUD): </w:t>
      </w:r>
      <w:r>
        <w:rPr>
          <w:rFonts w:ascii="Times New Roman" w:hAnsi="Times New Roman"/>
          <w:sz w:val="23"/>
        </w:rPr>
        <w:t>A browser-based single-page application built on React 19. It hosts the client-side cryptographic hashing pipeline, renders interactive threat HUD terminals, and manages local in-memory session states.</w:t>
      </w:r>
    </w:p>
    <w:p>
      <w:pPr>
        <w:pStyle w:val="ListBullet"/>
        <w:spacing w:before="40" w:after="80" w:line="312" w:lineRule="auto"/>
      </w:pPr>
      <w:r>
        <w:rPr>
          <w:rFonts w:ascii="Times New Roman" w:hAnsi="Times New Roman"/>
          <w:b/>
          <w:sz w:val="23"/>
        </w:rPr>
        <w:t xml:space="preserve">2. Application Gateway Tier (API &amp; Auth): </w:t>
      </w:r>
      <w:r>
        <w:rPr>
          <w:rFonts w:ascii="Times New Roman" w:hAnsi="Times New Roman"/>
          <w:sz w:val="23"/>
        </w:rPr>
        <w:t>A Node.js Express 5 server responsible for request routing, out-of-band OTP dispatch, JWT token verification, rate limiting, and coordinating the pluggable OSINT registry.</w:t>
      </w:r>
    </w:p>
    <w:p>
      <w:pPr>
        <w:pStyle w:val="ListBullet"/>
        <w:spacing w:before="40" w:after="80" w:line="312" w:lineRule="auto"/>
      </w:pPr>
      <w:r>
        <w:rPr>
          <w:rFonts w:ascii="Times New Roman" w:hAnsi="Times New Roman"/>
          <w:b/>
          <w:sz w:val="23"/>
        </w:rPr>
        <w:t xml:space="preserve">3. Threat Intelligence Tier (AI &amp; Scraper): </w:t>
      </w:r>
      <w:r>
        <w:rPr>
          <w:rFonts w:ascii="Times New Roman" w:hAnsi="Times New Roman"/>
          <w:sz w:val="23"/>
        </w:rPr>
        <w:t>A Python FastAPI microservice that interfaces with Telegram MTProto channels via asynchronous event loops and serves ML inference pipelines (UrlBERT and XGBoost).</w:t>
      </w:r>
    </w:p>
    <w:p>
      <w:pPr>
        <w:pStyle w:val="ListBullet"/>
        <w:spacing w:before="40" w:after="80" w:line="312" w:lineRule="auto"/>
      </w:pPr>
      <w:r>
        <w:rPr>
          <w:rFonts w:ascii="Times New Roman" w:hAnsi="Times New Roman"/>
          <w:b/>
          <w:sz w:val="23"/>
        </w:rPr>
        <w:t xml:space="preserve">4. Distributed Ledger Tier (Blockchain Audit): </w:t>
      </w:r>
      <w:r>
        <w:rPr>
          <w:rFonts w:ascii="Times New Roman" w:hAnsi="Times New Roman"/>
          <w:sz w:val="23"/>
        </w:rPr>
        <w:t>A local Ethereum Virtual Machine running Hardhat node, executing AnchorRegistry.sol to permanently commit Merkle tree roots.</w:t>
      </w:r>
    </w:p>
    <w:p>
      <w:pPr>
        <w:spacing w:before="160" w:after="80"/>
        <w:jc w:val="center"/>
      </w:pPr>
      <w:r>
        <w:drawing>
          <wp:inline xmlns:a="http://schemas.openxmlformats.org/drawingml/2006/main" xmlns:pic="http://schemas.openxmlformats.org/drawingml/2006/picture">
            <wp:extent cx="5486400" cy="3072384"/>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486400" cy="3072384"/>
                    </a:xfrm>
                    <a:prstGeom prst="rect"/>
                  </pic:spPr>
                </pic:pic>
              </a:graphicData>
            </a:graphic>
          </wp:inline>
        </w:drawing>
      </w:r>
    </w:p>
    <w:p>
      <w:pPr>
        <w:spacing w:before="40" w:after="240"/>
        <w:jc w:val="center"/>
      </w:pPr>
      <w:r>
        <w:rPr>
          <w:rFonts w:ascii="Times New Roman" w:hAnsi="Times New Roman"/>
          <w:b/>
          <w:i/>
          <w:color w:val="3C3C3C"/>
          <w:sz w:val="20"/>
        </w:rPr>
        <w:t>Fig. 4.1: BreachShield Multi-Tier Zero-Trust System Architecture</w:t>
      </w:r>
    </w:p>
    <w:p>
      <w:pPr>
        <w:spacing w:before="320" w:after="80" w:line="360" w:lineRule="auto"/>
        <w:jc w:val="left"/>
      </w:pPr>
      <w:r>
        <w:rPr>
          <w:rFonts w:ascii="Times New Roman" w:hAnsi="Times New Roman"/>
          <w:b/>
          <w:i w:val="0"/>
          <w:color w:val="102C57"/>
          <w:sz w:val="28"/>
        </w:rPr>
        <w:t>4.2 Module Decomposition &amp; Interactions</w:t>
      </w:r>
    </w:p>
    <w:p>
      <w:pPr>
        <w:spacing w:before="0" w:after="120" w:line="360" w:lineRule="auto"/>
        <w:jc w:val="both"/>
      </w:pPr>
      <w:r>
        <w:rPr>
          <w:rFonts w:ascii="Times New Roman" w:hAnsi="Times New Roman"/>
          <w:b w:val="0"/>
          <w:i w:val="0"/>
          <w:color w:val="000000"/>
          <w:sz w:val="24"/>
        </w:rPr>
        <w:t>The system is decomposed into five autonomous modules interacting via well-defined RESTful endpoints, WebSocket protocols, and JSON-RPC calls:</w:t>
      </w:r>
    </w:p>
    <w:p>
      <w:pPr>
        <w:pStyle w:val="ListBullet"/>
        <w:spacing w:before="40" w:after="80" w:line="312" w:lineRule="auto"/>
      </w:pPr>
      <w:r>
        <w:rPr>
          <w:rFonts w:ascii="Times New Roman" w:hAnsi="Times New Roman"/>
          <w:b/>
          <w:sz w:val="23"/>
        </w:rPr>
        <w:t xml:space="preserve">Module 1 — k-Anonymity Hash Processor: </w:t>
      </w:r>
      <w:r>
        <w:rPr>
          <w:rFonts w:ascii="Times New Roman" w:hAnsi="Times New Roman"/>
          <w:sz w:val="23"/>
        </w:rPr>
        <w:t>Interfaces with window.crypto.subtle in the browser. Emits 5-char hex prefixes to /api/k-anonymity/range/:prefix and consumes suffix collections for local client filtering.</w:t>
      </w:r>
    </w:p>
    <w:p>
      <w:pPr>
        <w:pStyle w:val="ListBullet"/>
        <w:spacing w:before="40" w:after="80" w:line="312" w:lineRule="auto"/>
      </w:pPr>
      <w:r>
        <w:rPr>
          <w:rFonts w:ascii="Times New Roman" w:hAnsi="Times New Roman"/>
          <w:b/>
          <w:sz w:val="23"/>
        </w:rPr>
        <w:t xml:space="preserve">Module 2 — Identity &amp; Session Gatekeeper: </w:t>
      </w:r>
      <w:r>
        <w:rPr>
          <w:rFonts w:ascii="Times New Roman" w:hAnsi="Times New Roman"/>
          <w:sz w:val="23"/>
        </w:rPr>
        <w:t>Manages out-of-band authentication. Generates cryptographically secure 6-digit OTPs, hashes them with bcrypt, triggers Nodemailer or Android WebSocket relays, and issues 1-hour HS256 JWT tokens upon verification.</w:t>
      </w:r>
    </w:p>
    <w:p>
      <w:pPr>
        <w:pStyle w:val="ListBullet"/>
        <w:spacing w:before="40" w:after="80" w:line="312" w:lineRule="auto"/>
      </w:pPr>
      <w:r>
        <w:rPr>
          <w:rFonts w:ascii="Times New Roman" w:hAnsi="Times New Roman"/>
          <w:b/>
          <w:sz w:val="23"/>
        </w:rPr>
        <w:t xml:space="preserve">Module 3 — OSINT Feed Registry: </w:t>
      </w:r>
      <w:r>
        <w:rPr>
          <w:rFonts w:ascii="Times New Roman" w:hAnsi="Times New Roman"/>
          <w:sz w:val="23"/>
        </w:rPr>
        <w:t>Exposes a standardized query() interface across diverse threat feeds. Orchestrates simultaneous queries across Telegram, HIBP, and local catalogs via Promise.allSettled.</w:t>
      </w:r>
    </w:p>
    <w:p>
      <w:pPr>
        <w:pStyle w:val="ListBullet"/>
        <w:spacing w:before="40" w:after="80" w:line="312" w:lineRule="auto"/>
      </w:pPr>
      <w:r>
        <w:rPr>
          <w:rFonts w:ascii="Times New Roman" w:hAnsi="Times New Roman"/>
          <w:b/>
          <w:sz w:val="23"/>
        </w:rPr>
        <w:t xml:space="preserve">Module 4 — AI Threat &amp; Phishing Classifier: </w:t>
      </w:r>
      <w:r>
        <w:rPr>
          <w:rFonts w:ascii="Times New Roman" w:hAnsi="Times New Roman"/>
          <w:sz w:val="23"/>
        </w:rPr>
        <w:t>Exposes /api/ai/predict-severity and /api/ai/classify-url endpoints. Transforms raw breach metadata into 7 normalized features for XGBoost evaluation.</w:t>
      </w:r>
    </w:p>
    <w:p>
      <w:pPr>
        <w:pStyle w:val="ListBullet"/>
        <w:spacing w:before="40" w:after="80" w:line="312" w:lineRule="auto"/>
      </w:pPr>
      <w:r>
        <w:rPr>
          <w:rFonts w:ascii="Times New Roman" w:hAnsi="Times New Roman"/>
          <w:b/>
          <w:sz w:val="23"/>
        </w:rPr>
        <w:t xml:space="preserve">Module 5 — Merkle Audit Anchoring Engine: </w:t>
      </w:r>
      <w:r>
        <w:rPr>
          <w:rFonts w:ascii="Times New Roman" w:hAnsi="Times New Roman"/>
          <w:sz w:val="23"/>
        </w:rPr>
        <w:t>Collects audit events into an in-memory queue. Every N events or T seconds, it canonicalizes JSON entries, builds a binary Merkle tree, and broadcasts an eth_sendTransaction RPC call to AnchorRegistry.sol.</w:t>
      </w:r>
    </w:p>
    <w:p>
      <w:pPr>
        <w:spacing w:before="320" w:after="80" w:line="360" w:lineRule="auto"/>
        <w:jc w:val="left"/>
      </w:pPr>
      <w:r>
        <w:rPr>
          <w:rFonts w:ascii="Times New Roman" w:hAnsi="Times New Roman"/>
          <w:b/>
          <w:i w:val="0"/>
          <w:color w:val="102C57"/>
          <w:sz w:val="28"/>
        </w:rPr>
        <w:t>4.3 Data Flow Diagrams (DFD)</w:t>
      </w:r>
    </w:p>
    <w:p>
      <w:pPr>
        <w:spacing w:before="0" w:after="120" w:line="360" w:lineRule="auto"/>
        <w:jc w:val="both"/>
      </w:pPr>
      <w:r>
        <w:rPr>
          <w:rFonts w:ascii="Times New Roman" w:hAnsi="Times New Roman"/>
          <w:b w:val="0"/>
          <w:i w:val="0"/>
          <w:color w:val="000000"/>
          <w:sz w:val="24"/>
        </w:rPr>
        <w:t>Data Flow Diagrams illustrate how information traverses BreachShield without ever exposing sensitive user credentials.</w:t>
      </w:r>
    </w:p>
    <w:p>
      <w:pPr>
        <w:spacing w:before="240" w:after="60" w:line="360" w:lineRule="auto"/>
        <w:jc w:val="left"/>
      </w:pPr>
      <w:r>
        <w:rPr>
          <w:rFonts w:ascii="Times New Roman" w:hAnsi="Times New Roman"/>
          <w:b/>
          <w:i w:val="0"/>
          <w:color w:val="3C3C3C"/>
          <w:sz w:val="25"/>
        </w:rPr>
        <w:t>DFD Level 0 — Context Diagram</w:t>
      </w:r>
    </w:p>
    <w:p>
      <w:pPr>
        <w:spacing w:before="0" w:after="120" w:line="360" w:lineRule="auto"/>
        <w:jc w:val="both"/>
      </w:pPr>
      <w:r>
        <w:rPr>
          <w:rFonts w:ascii="Times New Roman" w:hAnsi="Times New Roman"/>
          <w:b w:val="0"/>
          <w:i w:val="0"/>
          <w:color w:val="000000"/>
          <w:sz w:val="24"/>
        </w:rPr>
        <w:t>In the Level 0 context diagram, the User interacts with the BreachShield System Boundary. The user inputs target credentials, which the browser immediately hashes into a 5-character prefix. The user receives breach intelligence and audit receipts. The system boundary interacts externally with Telegram MTProto servers, HIBP API, Android SMS Relay, and the Hardhat Blockchain.</w:t>
      </w:r>
    </w:p>
    <w:p>
      <w:pPr>
        <w:spacing w:before="240" w:after="60" w:line="360" w:lineRule="auto"/>
        <w:jc w:val="left"/>
      </w:pPr>
      <w:r>
        <w:rPr>
          <w:rFonts w:ascii="Times New Roman" w:hAnsi="Times New Roman"/>
          <w:b/>
          <w:i w:val="0"/>
          <w:color w:val="3C3C3C"/>
          <w:sz w:val="25"/>
        </w:rPr>
        <w:t>DFD Level 1 — Detailed Process Decomposition</w:t>
      </w:r>
    </w:p>
    <w:p>
      <w:pPr>
        <w:spacing w:before="0" w:after="120" w:line="360" w:lineRule="auto"/>
        <w:jc w:val="both"/>
      </w:pPr>
      <w:r>
        <w:rPr>
          <w:rFonts w:ascii="Times New Roman" w:hAnsi="Times New Roman"/>
          <w:b w:val="0"/>
          <w:i w:val="0"/>
          <w:color w:val="000000"/>
          <w:sz w:val="24"/>
        </w:rPr>
        <w:t>The Level 1 DFD decomposes the system into four major processes: P1 (Authentication &amp; OTP), P2 (k-Anonymity Breach Search), P3 (AI Threat Scoring), and P4 (Cryptographic Audit Logging), interacting with data stores D1 (User &amp; Session DB), D2 (Breach Intelligence Catalog), and D3 (Blockchain Merkle Ledger).</w:t>
      </w:r>
    </w:p>
    <w:p>
      <w:pPr>
        <w:spacing w:before="160" w:after="80"/>
        <w:jc w:val="center"/>
      </w:pPr>
      <w:r>
        <w:drawing>
          <wp:inline xmlns:a="http://schemas.openxmlformats.org/drawingml/2006/main" xmlns:pic="http://schemas.openxmlformats.org/drawingml/2006/picture">
            <wp:extent cx="5303520" cy="3014231"/>
            <wp:docPr id="2" name="Picture 2"/>
            <wp:cNvGraphicFramePr>
              <a:graphicFrameLocks noChangeAspect="1"/>
            </wp:cNvGraphicFramePr>
            <a:graphic>
              <a:graphicData uri="http://schemas.openxmlformats.org/drawingml/2006/picture">
                <pic:pic>
                  <pic:nvPicPr>
                    <pic:cNvPr id="0" name="dfd_level1.png"/>
                    <pic:cNvPicPr/>
                  </pic:nvPicPr>
                  <pic:blipFill>
                    <a:blip r:embed="rId10"/>
                    <a:stretch>
                      <a:fillRect/>
                    </a:stretch>
                  </pic:blipFill>
                  <pic:spPr>
                    <a:xfrm>
                      <a:off x="0" y="0"/>
                      <a:ext cx="5303520" cy="3014231"/>
                    </a:xfrm>
                    <a:prstGeom prst="rect"/>
                  </pic:spPr>
                </pic:pic>
              </a:graphicData>
            </a:graphic>
          </wp:inline>
        </w:drawing>
      </w:r>
    </w:p>
    <w:p>
      <w:pPr>
        <w:spacing w:before="40" w:after="240"/>
        <w:jc w:val="center"/>
      </w:pPr>
      <w:r>
        <w:rPr>
          <w:rFonts w:ascii="Times New Roman" w:hAnsi="Times New Roman"/>
          <w:b/>
          <w:i/>
          <w:color w:val="3C3C3C"/>
          <w:sz w:val="20"/>
        </w:rPr>
        <w:t>Fig. 4.2: Data Flow Diagram (Level 1) — Process Decomposition &amp; Data Stores</w:t>
      </w:r>
    </w:p>
    <w:p>
      <w:pPr>
        <w:spacing w:before="320" w:after="80" w:line="360" w:lineRule="auto"/>
        <w:jc w:val="left"/>
      </w:pPr>
      <w:r>
        <w:rPr>
          <w:rFonts w:ascii="Times New Roman" w:hAnsi="Times New Roman"/>
          <w:b/>
          <w:i w:val="0"/>
          <w:color w:val="102C57"/>
          <w:sz w:val="28"/>
        </w:rPr>
        <w:t>4.4 UML Class Diagram</w:t>
      </w:r>
    </w:p>
    <w:p>
      <w:pPr>
        <w:spacing w:before="0" w:after="120" w:line="360" w:lineRule="auto"/>
        <w:jc w:val="both"/>
      </w:pPr>
      <w:r>
        <w:rPr>
          <w:rFonts w:ascii="Times New Roman" w:hAnsi="Times New Roman"/>
          <w:b w:val="0"/>
          <w:i w:val="0"/>
          <w:color w:val="000000"/>
          <w:sz w:val="24"/>
        </w:rPr>
        <w:t>The object-oriented structure of BreachShield is modeled around clean polymorphic abstractions. The central BreachSource abstract class defines common search methods implemented by concrete classes TelegramSource, HibpSource, and LocalCatalogSource. The AuthService coordinates with OtpManager and JwtManager, while AuditLogger delegates to MerkleTreeBuilder and BlockchainAnchor.</w:t>
      </w:r>
    </w:p>
    <w:p>
      <w:pPr>
        <w:spacing w:before="160" w:after="80"/>
        <w:jc w:val="center"/>
      </w:pPr>
      <w:r>
        <w:drawing>
          <wp:inline xmlns:a="http://schemas.openxmlformats.org/drawingml/2006/main" xmlns:pic="http://schemas.openxmlformats.org/drawingml/2006/picture">
            <wp:extent cx="5303520" cy="3777327"/>
            <wp:docPr id="3" name="Picture 3"/>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5303520" cy="3777327"/>
                    </a:xfrm>
                    <a:prstGeom prst="rect"/>
                  </pic:spPr>
                </pic:pic>
              </a:graphicData>
            </a:graphic>
          </wp:inline>
        </w:drawing>
      </w:r>
    </w:p>
    <w:p>
      <w:pPr>
        <w:spacing w:before="40" w:after="240"/>
        <w:jc w:val="center"/>
      </w:pPr>
      <w:r>
        <w:rPr>
          <w:rFonts w:ascii="Times New Roman" w:hAnsi="Times New Roman"/>
          <w:b/>
          <w:i/>
          <w:color w:val="3C3C3C"/>
          <w:sz w:val="20"/>
        </w:rPr>
        <w:t>Fig. 4.3: UML Class Diagram — Core Abstractions and Inheritance Hierarchy</w:t>
      </w:r>
    </w:p>
    <w:p>
      <w:pPr>
        <w:spacing w:before="320" w:after="80" w:line="360" w:lineRule="auto"/>
        <w:jc w:val="left"/>
      </w:pPr>
      <w:r>
        <w:rPr>
          <w:rFonts w:ascii="Times New Roman" w:hAnsi="Times New Roman"/>
          <w:b/>
          <w:i w:val="0"/>
          <w:color w:val="102C57"/>
          <w:sz w:val="28"/>
        </w:rPr>
        <w:t>4.5 UML Use Case Diagram</w:t>
      </w:r>
    </w:p>
    <w:p>
      <w:pPr>
        <w:spacing w:before="0" w:after="120" w:line="360" w:lineRule="auto"/>
        <w:jc w:val="both"/>
      </w:pPr>
      <w:r>
        <w:rPr>
          <w:rFonts w:ascii="Times New Roman" w:hAnsi="Times New Roman"/>
          <w:b w:val="0"/>
          <w:i w:val="0"/>
          <w:color w:val="000000"/>
          <w:sz w:val="24"/>
        </w:rPr>
        <w:t>The Use Case Diagram defines interactions among four primary actors: Regular User, Authenticated User, Security Administrator, and Android Gateway Companion. Key use cases include Request OTP, Verify OTP, Perform k-Anonymous Search, View Threat Score, Inspect Audit Ledger, and Verify Merkle Proof.</w:t>
      </w:r>
    </w:p>
    <w:p>
      <w:pPr>
        <w:spacing w:before="160" w:after="80"/>
        <w:jc w:val="center"/>
      </w:pPr>
      <w:r>
        <w:drawing>
          <wp:inline xmlns:a="http://schemas.openxmlformats.org/drawingml/2006/main" xmlns:pic="http://schemas.openxmlformats.org/drawingml/2006/picture">
            <wp:extent cx="5120640" cy="2910292"/>
            <wp:docPr id="4" name="Picture 4"/>
            <wp:cNvGraphicFramePr>
              <a:graphicFrameLocks noChangeAspect="1"/>
            </wp:cNvGraphicFramePr>
            <a:graphic>
              <a:graphicData uri="http://schemas.openxmlformats.org/drawingml/2006/picture">
                <pic:pic>
                  <pic:nvPicPr>
                    <pic:cNvPr id="0" name="usecase_diagram.png"/>
                    <pic:cNvPicPr/>
                  </pic:nvPicPr>
                  <pic:blipFill>
                    <a:blip r:embed="rId12"/>
                    <a:stretch>
                      <a:fillRect/>
                    </a:stretch>
                  </pic:blipFill>
                  <pic:spPr>
                    <a:xfrm>
                      <a:off x="0" y="0"/>
                      <a:ext cx="5120640" cy="2910292"/>
                    </a:xfrm>
                    <a:prstGeom prst="rect"/>
                  </pic:spPr>
                </pic:pic>
              </a:graphicData>
            </a:graphic>
          </wp:inline>
        </w:drawing>
      </w:r>
    </w:p>
    <w:p>
      <w:pPr>
        <w:spacing w:before="40" w:after="240"/>
        <w:jc w:val="center"/>
      </w:pPr>
      <w:r>
        <w:rPr>
          <w:rFonts w:ascii="Times New Roman" w:hAnsi="Times New Roman"/>
          <w:b/>
          <w:i/>
          <w:color w:val="3C3C3C"/>
          <w:sz w:val="20"/>
        </w:rPr>
        <w:t>Fig. 4.4: UML Use Case Diagram — Actor Interactions and System Boundaries</w:t>
      </w:r>
    </w:p>
    <w:p>
      <w:pPr>
        <w:spacing w:before="320" w:after="80" w:line="360" w:lineRule="auto"/>
        <w:jc w:val="left"/>
      </w:pPr>
      <w:r>
        <w:rPr>
          <w:rFonts w:ascii="Times New Roman" w:hAnsi="Times New Roman"/>
          <w:b/>
          <w:i w:val="0"/>
          <w:color w:val="102C57"/>
          <w:sz w:val="28"/>
        </w:rPr>
        <w:t>4.6 Cryptographic Audit Ledger &amp; Merkle Anchoring Design</w:t>
      </w:r>
    </w:p>
    <w:p>
      <w:pPr>
        <w:spacing w:before="0" w:after="120" w:line="360" w:lineRule="auto"/>
        <w:jc w:val="both"/>
      </w:pPr>
      <w:r>
        <w:rPr>
          <w:rFonts w:ascii="Times New Roman" w:hAnsi="Times New Roman"/>
          <w:b w:val="0"/>
          <w:i w:val="0"/>
          <w:color w:val="000000"/>
          <w:sz w:val="24"/>
        </w:rPr>
        <w:t>To guarantee mathematical non-repudiation, BreachShield implements a Merkle tree batching pipeline. When an audit event e_i is logged, its fields are serialized into a deterministic canonical JSON string. The leaf hash L_i is computed as L_i = SHA-256(canonical(e_i)). Pairs of leaves are iteratively hashed to form parent nodes N_ij = SHA-256(L_i || L_j) until the singular 32-byte Merkle Root R is derived.</w:t>
      </w:r>
    </w:p>
    <w:p>
      <w:pPr>
        <w:spacing w:before="0" w:after="120" w:line="360" w:lineRule="auto"/>
        <w:jc w:val="both"/>
      </w:pPr>
      <w:r>
        <w:rPr>
          <w:rFonts w:ascii="Times New Roman" w:hAnsi="Times New Roman"/>
          <w:b w:val="0"/>
          <w:i w:val="0"/>
          <w:color w:val="000000"/>
          <w:sz w:val="24"/>
        </w:rPr>
        <w:t>This Merkle Root is committed to the EVM blockchain via the AnchorRegistry.sol smart contract function anchorRoot(batchId, root, count). An auditor holding an individual event e_i can verify its inclusion against the public on-chain root using a logarithmic Merkle proof of size O(log2 N) without revealing the contents of other events in the batch.</w:t>
      </w:r>
    </w:p>
    <w:p>
      <w:pPr>
        <w:spacing w:before="160" w:after="80"/>
        <w:jc w:val="center"/>
      </w:pPr>
      <w:r>
        <w:drawing>
          <wp:inline xmlns:a="http://schemas.openxmlformats.org/drawingml/2006/main" xmlns:pic="http://schemas.openxmlformats.org/drawingml/2006/picture">
            <wp:extent cx="5303520" cy="2799080"/>
            <wp:docPr id="5" name="Picture 5"/>
            <wp:cNvGraphicFramePr>
              <a:graphicFrameLocks noChangeAspect="1"/>
            </wp:cNvGraphicFramePr>
            <a:graphic>
              <a:graphicData uri="http://schemas.openxmlformats.org/drawingml/2006/picture">
                <pic:pic>
                  <pic:nvPicPr>
                    <pic:cNvPr id="0" name="fig_merkle_anchoring.png"/>
                    <pic:cNvPicPr/>
                  </pic:nvPicPr>
                  <pic:blipFill>
                    <a:blip r:embed="rId13"/>
                    <a:stretch>
                      <a:fillRect/>
                    </a:stretch>
                  </pic:blipFill>
                  <pic:spPr>
                    <a:xfrm>
                      <a:off x="0" y="0"/>
                      <a:ext cx="5303520" cy="2799080"/>
                    </a:xfrm>
                    <a:prstGeom prst="rect"/>
                  </pic:spPr>
                </pic:pic>
              </a:graphicData>
            </a:graphic>
          </wp:inline>
        </w:drawing>
      </w:r>
    </w:p>
    <w:p>
      <w:pPr>
        <w:spacing w:before="40" w:after="240"/>
        <w:jc w:val="center"/>
      </w:pPr>
      <w:r>
        <w:rPr>
          <w:rFonts w:ascii="Times New Roman" w:hAnsi="Times New Roman"/>
          <w:b/>
          <w:i/>
          <w:color w:val="3C3C3C"/>
          <w:sz w:val="20"/>
        </w:rPr>
        <w:t>Fig. 4.5: Cryptographic Merkle Tree Construction and EVM Blockchain Anchoring Pipeline</w:t>
      </w:r>
    </w:p>
    <w:p>
      <w:r>
        <w:br w:type="page"/>
      </w:r>
    </w:p>
    <w:p>
      <w:pPr>
        <w:spacing w:before="480" w:after="80" w:line="360" w:lineRule="auto"/>
        <w:jc w:val="center"/>
      </w:pPr>
      <w:r>
        <w:rPr>
          <w:rFonts w:ascii="Times New Roman" w:hAnsi="Times New Roman"/>
          <w:b/>
          <w:i w:val="0"/>
          <w:color w:val="102C57"/>
          <w:sz w:val="32"/>
        </w:rPr>
        <w:t>CHAPTER 5</w:t>
      </w:r>
    </w:p>
    <w:p>
      <w:pPr>
        <w:spacing w:before="80" w:after="400" w:line="360" w:lineRule="auto"/>
        <w:jc w:val="center"/>
      </w:pPr>
      <w:r>
        <w:rPr>
          <w:rFonts w:ascii="Times New Roman" w:hAnsi="Times New Roman"/>
          <w:b/>
          <w:i w:val="0"/>
          <w:color w:val="000000"/>
          <w:sz w:val="36"/>
        </w:rPr>
        <w:t>IMPLEMENTATION</w:t>
      </w:r>
    </w:p>
    <w:p>
      <w:pPr>
        <w:spacing w:before="320" w:after="80" w:line="360" w:lineRule="auto"/>
        <w:jc w:val="left"/>
      </w:pPr>
      <w:r>
        <w:rPr>
          <w:rFonts w:ascii="Times New Roman" w:hAnsi="Times New Roman"/>
          <w:b/>
          <w:i w:val="0"/>
          <w:color w:val="102C57"/>
          <w:sz w:val="28"/>
        </w:rPr>
        <w:t>5.1 Client-Side k-Anonymity Hashing Protocol</w:t>
      </w:r>
    </w:p>
    <w:p>
      <w:pPr>
        <w:spacing w:before="0" w:after="120" w:line="360" w:lineRule="auto"/>
        <w:jc w:val="both"/>
      </w:pPr>
      <w:r>
        <w:rPr>
          <w:rFonts w:ascii="Times New Roman" w:hAnsi="Times New Roman"/>
          <w:b w:val="0"/>
          <w:i w:val="0"/>
          <w:color w:val="000000"/>
          <w:sz w:val="24"/>
        </w:rPr>
        <w:t>The client-side k-anonymity protocol is implemented in React 19 utilizing the browser-native Web Crypto API (window.crypto.subtle). The core algorithm operates as follows:</w:t>
      </w:r>
    </w:p>
    <w:p>
      <w:pPr>
        <w:spacing w:before="0" w:after="120" w:line="360" w:lineRule="auto"/>
        <w:jc w:val="both"/>
      </w:pPr>
      <w:r>
        <w:rPr>
          <w:rFonts w:ascii="Times New Roman" w:hAnsi="Times New Roman"/>
          <w:b w:val="0"/>
          <w:i w:val="0"/>
          <w:color w:val="000000"/>
          <w:sz w:val="24"/>
        </w:rPr>
        <w:t>1. The user inputs target email or username into the Cyberpunk HUD terminal.</w:t>
        <w:br/>
        <w:t>2. The input string is converted to UTF-8 bytes and hashed: digest = await crypto.subtle.digest("SHA-256", new TextEncoder().encode(target)).</w:t>
        <w:br/>
        <w:t>3. The digest is formatted into a 64-character hexadecimal string.</w:t>
        <w:br/>
        <w:t>4. The browser extracts prefix = hash.slice(0, 5) (20 bits of entropy) and issues an HTTP GET request to /api/k-anonymity/range/:prefix.</w:t>
        <w:br/>
        <w:t>5. The backend searches its database for all SHA-256 hashes starting with :prefix and returns an array of matching 59-character suffixes with associated metadata.</w:t>
        <w:br/>
        <w:t>6. The client searches the returned suffix array in memory: match = suffixes.find(s =&gt; s.suffix === hash.slice(5)). If found, the full breach details are displayed; otherwise, a "Clean Target" status is rendered.</w:t>
      </w:r>
    </w:p>
    <w:p>
      <w:pPr>
        <w:spacing w:before="0" w:after="120" w:line="360" w:lineRule="auto"/>
        <w:jc w:val="both"/>
      </w:pPr>
      <w:r>
        <w:rPr>
          <w:rFonts w:ascii="Times New Roman" w:hAnsi="Times New Roman"/>
          <w:b w:val="0"/>
          <w:i w:val="0"/>
          <w:color w:val="000000"/>
          <w:sz w:val="24"/>
        </w:rPr>
        <w:t>Because 20 bits of entropy partition the 256-bit hash space into 1,048,576 buckets, each bucket contains thousands of possible candidates, completely obscuring the user's target query from the backend.</w:t>
      </w:r>
    </w:p>
    <w:p>
      <w:pPr>
        <w:spacing w:before="320" w:after="80" w:line="360" w:lineRule="auto"/>
        <w:jc w:val="left"/>
      </w:pPr>
      <w:r>
        <w:rPr>
          <w:rFonts w:ascii="Times New Roman" w:hAnsi="Times New Roman"/>
          <w:b/>
          <w:i w:val="0"/>
          <w:color w:val="102C57"/>
          <w:sz w:val="28"/>
        </w:rPr>
        <w:t>5.2 Out-of-Band Dual-Channel Authentication Engine</w:t>
      </w:r>
    </w:p>
    <w:p>
      <w:pPr>
        <w:spacing w:before="0" w:after="120" w:line="360" w:lineRule="auto"/>
        <w:jc w:val="both"/>
      </w:pPr>
      <w:r>
        <w:rPr>
          <w:rFonts w:ascii="Times New Roman" w:hAnsi="Times New Roman"/>
          <w:b w:val="0"/>
          <w:i w:val="0"/>
          <w:color w:val="000000"/>
          <w:sz w:val="24"/>
        </w:rPr>
        <w:t>To prevent unauthorized data exfiltration, the backend implements strict identity gating. Before a user can view unmasked breach records, they must complete OTP verification.</w:t>
      </w:r>
    </w:p>
    <w:p>
      <w:pPr>
        <w:pStyle w:val="ListBullet"/>
        <w:spacing w:before="40" w:after="80" w:line="312" w:lineRule="auto"/>
      </w:pPr>
      <w:r>
        <w:rPr>
          <w:rFonts w:ascii="Times New Roman" w:hAnsi="Times New Roman"/>
          <w:b/>
          <w:sz w:val="23"/>
        </w:rPr>
        <w:t xml:space="preserve">Cryptographic OTP Generation: </w:t>
      </w:r>
      <w:r>
        <w:rPr>
          <w:rFonts w:ascii="Times New Roman" w:hAnsi="Times New Roman"/>
          <w:sz w:val="23"/>
        </w:rPr>
        <w:t>The backend generates a cryptographically random 6-digit integer using crypto.randomInt(100000, 999999).</w:t>
      </w:r>
    </w:p>
    <w:p>
      <w:pPr>
        <w:pStyle w:val="ListBullet"/>
        <w:spacing w:before="40" w:after="80" w:line="312" w:lineRule="auto"/>
      </w:pPr>
      <w:r>
        <w:rPr>
          <w:rFonts w:ascii="Times New Roman" w:hAnsi="Times New Roman"/>
          <w:b/>
          <w:sz w:val="23"/>
        </w:rPr>
        <w:t xml:space="preserve">bcrypt Hashing at Rest: </w:t>
      </w:r>
      <w:r>
        <w:rPr>
          <w:rFonts w:ascii="Times New Roman" w:hAnsi="Times New Roman"/>
          <w:sz w:val="23"/>
        </w:rPr>
        <w:t>The OTP is hashed with bcryptjs using a cost factor of 10 prior to storage in MySQL or local fallback storage, ensuring OTPs cannot be read even if database storage is compromised.</w:t>
      </w:r>
    </w:p>
    <w:p>
      <w:pPr>
        <w:pStyle w:val="ListBullet"/>
        <w:spacing w:before="40" w:after="80" w:line="312" w:lineRule="auto"/>
      </w:pPr>
      <w:r>
        <w:rPr>
          <w:rFonts w:ascii="Times New Roman" w:hAnsi="Times New Roman"/>
          <w:b/>
          <w:sz w:val="23"/>
        </w:rPr>
        <w:t xml:space="preserve">Dual Transport Dispatch: </w:t>
      </w:r>
      <w:r>
        <w:rPr>
          <w:rFonts w:ascii="Times New Roman" w:hAnsi="Times New Roman"/>
          <w:sz w:val="23"/>
        </w:rPr>
        <w:t>If the target is an email, the OTP is dispatched via Nodemailer using TLS-secured Gmail SMTP. If the target is a mobile phone, the payload is serialized over an authenticated WebSocket connection (/ws/gateway) to the Android companion app, which calls SmsManager.sendTextMessage().</w:t>
      </w:r>
    </w:p>
    <w:p>
      <w:pPr>
        <w:pStyle w:val="ListBullet"/>
        <w:spacing w:before="40" w:after="80" w:line="312" w:lineRule="auto"/>
      </w:pPr>
      <w:r>
        <w:rPr>
          <w:rFonts w:ascii="Times New Roman" w:hAnsi="Times New Roman"/>
          <w:b/>
          <w:sz w:val="23"/>
        </w:rPr>
        <w:t xml:space="preserve">Rate Limiting &amp; Lockouts: </w:t>
      </w:r>
      <w:r>
        <w:rPr>
          <w:rFonts w:ascii="Times New Roman" w:hAnsi="Times New Roman"/>
          <w:sz w:val="23"/>
        </w:rPr>
        <w:t>The backend maintains a cooldown table enforcing a 30-second delay between OTP dispatches. An attempt counter increments on every failed submission; reaching 5 consecutive failures triggers an immediate 15-minute account lockout.</w:t>
      </w:r>
    </w:p>
    <w:p>
      <w:pPr>
        <w:spacing w:before="320" w:after="80" w:line="360" w:lineRule="auto"/>
        <w:jc w:val="left"/>
      </w:pPr>
      <w:r>
        <w:rPr>
          <w:rFonts w:ascii="Times New Roman" w:hAnsi="Times New Roman"/>
          <w:b/>
          <w:i w:val="0"/>
          <w:color w:val="102C57"/>
          <w:sz w:val="28"/>
        </w:rPr>
        <w:t>5.3 Pluggable OSINT Aggregation Registry</w:t>
      </w:r>
    </w:p>
    <w:p>
      <w:pPr>
        <w:spacing w:before="0" w:after="120" w:line="360" w:lineRule="auto"/>
        <w:jc w:val="both"/>
      </w:pPr>
      <w:r>
        <w:rPr>
          <w:rFonts w:ascii="Times New Roman" w:hAnsi="Times New Roman"/>
          <w:b w:val="0"/>
          <w:i w:val="0"/>
          <w:color w:val="000000"/>
          <w:sz w:val="24"/>
        </w:rPr>
        <w:t>The OSINT aggregation registry is constructed in Node.js Express 5 following the Registry and Adapter design patterns. The central BreachSourceRegistry maintains an array of registered intelligence providers.</w:t>
      </w:r>
    </w:p>
    <w:p>
      <w:pPr>
        <w:spacing w:before="0" w:after="120" w:line="360" w:lineRule="auto"/>
        <w:jc w:val="both"/>
      </w:pPr>
      <w:r>
        <w:rPr>
          <w:rFonts w:ascii="Times New Roman" w:hAnsi="Times New Roman"/>
          <w:b w:val="0"/>
          <w:i w:val="0"/>
          <w:color w:val="000000"/>
          <w:sz w:val="24"/>
        </w:rPr>
        <w:t>When a search request is received, the registry invokes Promise.allSettled(sources.map(s =&gt; s.search(query))). This design ensures that if the live Telegram scraper times out or encounters network latency, the request does not hang; the registry aggregates responses from available sources and attaches an informational warning regarding the timed-out provider. The Telethon MTProto client runs as a background daemon within the Python microservice, listening to Telegram event streams and writing new breach messages into an indexed cache.</w:t>
      </w:r>
    </w:p>
    <w:p>
      <w:pPr>
        <w:spacing w:before="320" w:after="80" w:line="360" w:lineRule="auto"/>
        <w:jc w:val="left"/>
      </w:pPr>
      <w:r>
        <w:rPr>
          <w:rFonts w:ascii="Times New Roman" w:hAnsi="Times New Roman"/>
          <w:b/>
          <w:i w:val="0"/>
          <w:color w:val="102C57"/>
          <w:sz w:val="28"/>
        </w:rPr>
        <w:t>5.4 Machine Learning Threat Classification Pipeline</w:t>
      </w:r>
    </w:p>
    <w:p>
      <w:pPr>
        <w:spacing w:before="0" w:after="120" w:line="360" w:lineRule="auto"/>
        <w:jc w:val="both"/>
      </w:pPr>
      <w:r>
        <w:rPr>
          <w:rFonts w:ascii="Times New Roman" w:hAnsi="Times New Roman"/>
          <w:b w:val="0"/>
          <w:i w:val="0"/>
          <w:color w:val="000000"/>
          <w:sz w:val="24"/>
        </w:rPr>
        <w:t>Threat classification operates across two specialized models serving distinct defensive requirements:</w:t>
      </w:r>
    </w:p>
    <w:p>
      <w:pPr>
        <w:spacing w:before="240" w:after="60" w:line="360" w:lineRule="auto"/>
        <w:jc w:val="left"/>
      </w:pPr>
      <w:r>
        <w:rPr>
          <w:rFonts w:ascii="Times New Roman" w:hAnsi="Times New Roman"/>
          <w:b/>
          <w:i w:val="0"/>
          <w:color w:val="3C3C3C"/>
          <w:sz w:val="25"/>
        </w:rPr>
        <w:t>Pretrained UrlBERT Phishing Transformer</w:t>
      </w:r>
    </w:p>
    <w:p>
      <w:pPr>
        <w:spacing w:before="0" w:after="120" w:line="360" w:lineRule="auto"/>
        <w:jc w:val="both"/>
      </w:pPr>
      <w:r>
        <w:rPr>
          <w:rFonts w:ascii="Times New Roman" w:hAnsi="Times New Roman"/>
          <w:b w:val="0"/>
          <w:i w:val="0"/>
          <w:color w:val="000000"/>
          <w:sz w:val="24"/>
        </w:rPr>
        <w:t>To evaluate malicious links discovered within breach records or submitted directly by analysts, BreachShield deploys the CrabInHoney/urlbert-tiny-v4-phishing-classifier model hosted locally on HuggingFace Transformers. The model tokenizes raw URL strings at the subword level, extracting contextual indicators of typosquatting, credential harvesting, and suspicious subdomains with 89% accuracy.</w:t>
      </w:r>
    </w:p>
    <w:p>
      <w:pPr>
        <w:spacing w:before="240" w:after="60" w:line="360" w:lineRule="auto"/>
        <w:jc w:val="left"/>
      </w:pPr>
      <w:r>
        <w:rPr>
          <w:rFonts w:ascii="Times New Roman" w:hAnsi="Times New Roman"/>
          <w:b/>
          <w:i w:val="0"/>
          <w:color w:val="3C3C3C"/>
          <w:sz w:val="25"/>
        </w:rPr>
        <w:t>Empirical XGBoost Breach Severity Classifier</w:t>
      </w:r>
    </w:p>
    <w:p>
      <w:pPr>
        <w:spacing w:before="0" w:after="120" w:line="360" w:lineRule="auto"/>
        <w:jc w:val="both"/>
      </w:pPr>
      <w:r>
        <w:rPr>
          <w:rFonts w:ascii="Times New Roman" w:hAnsi="Times New Roman"/>
          <w:b w:val="0"/>
          <w:i w:val="0"/>
          <w:color w:val="000000"/>
          <w:sz w:val="24"/>
        </w:rPr>
        <w:t>To categorize incident severity, the team curated a benchmark dataset of 1,034 verified breach records from the HaveIBeenPwned catalog. Seven features were extracted for each incident: PwnCount, DataClassesCount, IsVerified, IsFabricated, IsSensitive, IsSpamList, and CategoryWeights. An XGBoost model was trained using 5-fold cross-validation, achieving 89.2% test accuracy and an 83.2% Macro F1 score across LOW, MEDIUM, HIGH, and CRITICAL severity tiers.</w:t>
      </w:r>
    </w:p>
    <w:p>
      <w:pPr>
        <w:spacing w:before="320" w:after="80" w:line="360" w:lineRule="auto"/>
        <w:jc w:val="left"/>
      </w:pPr>
      <w:r>
        <w:rPr>
          <w:rFonts w:ascii="Times New Roman" w:hAnsi="Times New Roman"/>
          <w:b/>
          <w:i w:val="0"/>
          <w:color w:val="102C57"/>
          <w:sz w:val="28"/>
        </w:rPr>
        <w:t>5.5 EVM Smart Contract &amp; Merkle Root Anchoring</w:t>
      </w:r>
    </w:p>
    <w:p>
      <w:pPr>
        <w:spacing w:before="0" w:after="120" w:line="360" w:lineRule="auto"/>
        <w:jc w:val="both"/>
      </w:pPr>
      <w:r>
        <w:rPr>
          <w:rFonts w:ascii="Times New Roman" w:hAnsi="Times New Roman"/>
          <w:b w:val="0"/>
          <w:i w:val="0"/>
          <w:color w:val="000000"/>
          <w:sz w:val="24"/>
        </w:rPr>
        <w:t>The blockchain ledger component is implemented in Solidity 0.8.24 and deployed to a local Hardhat EVM node. The AnchorRegistry contract defines the core anchoring interface:</w:t>
      </w:r>
    </w:p>
    <w:p>
      <w:pPr>
        <w:spacing w:before="0" w:after="120" w:line="360" w:lineRule="auto"/>
        <w:jc w:val="both"/>
      </w:pPr>
      <w:r>
        <w:rPr>
          <w:rFonts w:ascii="Times New Roman" w:hAnsi="Times New Roman"/>
          <w:b w:val="0"/>
          <w:i w:val="0"/>
          <w:color w:val="000000"/>
          <w:sz w:val="24"/>
        </w:rPr>
        <w:t>```solidity</w:t>
        <w:br/>
        <w:t>// SPDX-License-Identifier: MIT</w:t>
        <w:br/>
        <w:t>pragma solidity ^0.8.24;</w:t>
        <w:br/>
        <w:br/>
        <w:t>contract AnchorRegistry {</w:t>
        <w:br/>
        <w:t xml:space="preserve">    struct RootRecord {</w:t>
        <w:br/>
        <w:t xml:space="preserve">        bytes32 root;</w:t>
        <w:br/>
        <w:t xml:space="preserve">        uint256 count;</w:t>
        <w:br/>
        <w:t xml:space="preserve">        uint256 timestamp;</w:t>
        <w:br/>
        <w:t xml:space="preserve">    }</w:t>
        <w:br/>
        <w:t xml:space="preserve">    mapping(string =&gt; RootRecord) public batches;</w:t>
        <w:br/>
        <w:t xml:space="preserve">    event RootAnchored(string indexed batchId, bytes32 root, uint256 count, uint256 timestamp);</w:t>
        <w:br/>
        <w:br/>
        <w:t xml:space="preserve">    function anchorRoot(string calldata batchId, bytes32 root, uint256 count) external {</w:t>
        <w:br/>
        <w:t xml:space="preserve">        require(batches[batchId].timestamp == 0, "Batch already anchored");</w:t>
        <w:br/>
        <w:t xml:space="preserve">        batches[batchId] = RootRecord(root, count, block.timestamp);</w:t>
        <w:br/>
        <w:t xml:space="preserve">        emit RootAnchored(batchId, root, count, block.timestamp);</w:t>
        <w:br/>
        <w:t xml:space="preserve">    }</w:t>
        <w:br/>
        <w:t>}</w:t>
        <w:br/>
        <w:t>```</w:t>
      </w:r>
    </w:p>
    <w:p>
      <w:pPr>
        <w:spacing w:before="0" w:after="120" w:line="360" w:lineRule="auto"/>
        <w:jc w:val="both"/>
      </w:pPr>
      <w:r>
        <w:rPr>
          <w:rFonts w:ascii="Times New Roman" w:hAnsi="Times New Roman"/>
          <w:b w:val="0"/>
          <w:i w:val="0"/>
          <w:color w:val="000000"/>
          <w:sz w:val="24"/>
        </w:rPr>
        <w:t>The backend AuditLogger queues audit events and triggers batch processing every 60 seconds or when 25 events accumulate. Ethers.js v6 signs and broadcasts the transaction, storing the transaction hash and block number in the local audit record for instant client-side verification.</w:t>
      </w:r>
    </w:p>
    <w:p>
      <w:r>
        <w:br w:type="page"/>
      </w:r>
    </w:p>
    <w:p>
      <w:pPr>
        <w:spacing w:before="480" w:after="80" w:line="360" w:lineRule="auto"/>
        <w:jc w:val="center"/>
      </w:pPr>
      <w:r>
        <w:rPr>
          <w:rFonts w:ascii="Times New Roman" w:hAnsi="Times New Roman"/>
          <w:b/>
          <w:i w:val="0"/>
          <w:color w:val="102C57"/>
          <w:sz w:val="32"/>
        </w:rPr>
        <w:t>CHAPTER 6</w:t>
      </w:r>
    </w:p>
    <w:p>
      <w:pPr>
        <w:spacing w:before="80" w:after="400" w:line="360" w:lineRule="auto"/>
        <w:jc w:val="center"/>
      </w:pPr>
      <w:r>
        <w:rPr>
          <w:rFonts w:ascii="Times New Roman" w:hAnsi="Times New Roman"/>
          <w:b/>
          <w:i w:val="0"/>
          <w:color w:val="000000"/>
          <w:sz w:val="36"/>
        </w:rPr>
        <w:t>TESTING METHODOLOGY</w:t>
      </w:r>
    </w:p>
    <w:p>
      <w:pPr>
        <w:spacing w:before="320" w:after="80" w:line="360" w:lineRule="auto"/>
        <w:jc w:val="left"/>
      </w:pPr>
      <w:r>
        <w:rPr>
          <w:rFonts w:ascii="Times New Roman" w:hAnsi="Times New Roman"/>
          <w:b/>
          <w:i w:val="0"/>
          <w:color w:val="102C57"/>
          <w:sz w:val="28"/>
        </w:rPr>
        <w:t>6.1 Testing Strategy &amp; Automation Framework</w:t>
      </w:r>
    </w:p>
    <w:p>
      <w:pPr>
        <w:spacing w:before="0" w:after="120" w:line="360" w:lineRule="auto"/>
        <w:jc w:val="both"/>
      </w:pPr>
      <w:r>
        <w:rPr>
          <w:rFonts w:ascii="Times New Roman" w:hAnsi="Times New Roman"/>
          <w:b w:val="0"/>
          <w:i w:val="0"/>
          <w:color w:val="000000"/>
          <w:sz w:val="24"/>
        </w:rPr>
        <w:t>To guarantee software quality, security compliance, and resilience against adversarial inputs, BreachShield implemented an automated multi-level testing strategy spanning unit, integration, stress, and security contract suites. Across the entire repository, 175 automated tests are executed in continuous testing pipelines, maintaining a 100% pass rate.</w:t>
      </w:r>
    </w:p>
    <w:p>
      <w:pPr>
        <w:spacing w:before="320" w:after="80" w:line="360" w:lineRule="auto"/>
        <w:jc w:val="left"/>
      </w:pPr>
      <w:r>
        <w:rPr>
          <w:rFonts w:ascii="Times New Roman" w:hAnsi="Times New Roman"/>
          <w:b/>
          <w:i w:val="0"/>
          <w:color w:val="102C57"/>
          <w:sz w:val="28"/>
        </w:rPr>
        <w:t>6.2 Unit Testing &amp; Adversarial Input Fuzzing</w:t>
      </w:r>
    </w:p>
    <w:p>
      <w:pPr>
        <w:spacing w:before="0" w:after="120" w:line="360" w:lineRule="auto"/>
        <w:jc w:val="both"/>
      </w:pPr>
      <w:r>
        <w:rPr>
          <w:rFonts w:ascii="Times New Roman" w:hAnsi="Times New Roman"/>
          <w:b w:val="0"/>
          <w:i w:val="0"/>
          <w:color w:val="000000"/>
          <w:sz w:val="24"/>
        </w:rPr>
        <w:t>Unit tests isolate individual functions and algorithms across the frontend and backend microservices:</w:t>
      </w:r>
    </w:p>
    <w:p>
      <w:pPr>
        <w:pStyle w:val="ListBullet"/>
        <w:spacing w:before="40" w:after="80" w:line="312" w:lineRule="auto"/>
      </w:pPr>
      <w:r>
        <w:rPr>
          <w:rFonts w:ascii="Times New Roman" w:hAnsi="Times New Roman"/>
          <w:b/>
          <w:sz w:val="23"/>
        </w:rPr>
        <w:t xml:space="preserve">Frontend Contract Suites (Jest &amp; React Testing Library — 50 Tests): </w:t>
      </w:r>
      <w:r>
        <w:rPr>
          <w:rFonts w:ascii="Times New Roman" w:hAnsi="Times New Roman"/>
          <w:sz w:val="23"/>
        </w:rPr>
        <w:t>Validated client-side SHA-256 hash generation, exact 5-character prefix extraction, k-anonymity suffix matching logic, Cyberpunk HUD terminal rendering, and form input sanitization.</w:t>
      </w:r>
    </w:p>
    <w:p>
      <w:pPr>
        <w:pStyle w:val="ListBullet"/>
        <w:spacing w:before="40" w:after="80" w:line="312" w:lineRule="auto"/>
      </w:pPr>
      <w:r>
        <w:rPr>
          <w:rFonts w:ascii="Times New Roman" w:hAnsi="Times New Roman"/>
          <w:b/>
          <w:sz w:val="23"/>
        </w:rPr>
        <w:t xml:space="preserve">Backend Security Suites (Jest &amp; Supertest — 103 Tests): </w:t>
      </w:r>
      <w:r>
        <w:rPr>
          <w:rFonts w:ascii="Times New Roman" w:hAnsi="Times New Roman"/>
          <w:sz w:val="23"/>
        </w:rPr>
        <w:t>Verified bcrypt password hashing, JWT signing and validation, 30-second cooldown timers, 5-attempt brute-force account lockouts, route gating enforcing HTTP 403 Forbidden on unauthenticated search requests, and JSON fallback persistence.</w:t>
      </w:r>
    </w:p>
    <w:p>
      <w:pPr>
        <w:pStyle w:val="ListBullet"/>
        <w:spacing w:before="40" w:after="80" w:line="312" w:lineRule="auto"/>
      </w:pPr>
      <w:r>
        <w:rPr>
          <w:rFonts w:ascii="Times New Roman" w:hAnsi="Times New Roman"/>
          <w:b/>
          <w:sz w:val="23"/>
        </w:rPr>
        <w:t xml:space="preserve">ML Engine Unit Tests (Pytest — 4 Tests): </w:t>
      </w:r>
      <w:r>
        <w:rPr>
          <w:rFonts w:ascii="Times New Roman" w:hAnsi="Times New Roman"/>
          <w:sz w:val="23"/>
        </w:rPr>
        <w:t>Tested UrlBERT subword tokenization, inference probability thresholds, feature normalization, and XGBoost severity output ranges.</w:t>
      </w:r>
    </w:p>
    <w:p>
      <w:pPr>
        <w:spacing w:before="320" w:after="80" w:line="360" w:lineRule="auto"/>
        <w:jc w:val="left"/>
      </w:pPr>
      <w:r>
        <w:rPr>
          <w:rFonts w:ascii="Times New Roman" w:hAnsi="Times New Roman"/>
          <w:b/>
          <w:i w:val="0"/>
          <w:color w:val="102C57"/>
          <w:sz w:val="28"/>
        </w:rPr>
        <w:t>6.3 Integration &amp; Multi-Tier Pipeline Verification</w:t>
      </w:r>
    </w:p>
    <w:p>
      <w:pPr>
        <w:spacing w:before="0" w:after="120" w:line="360" w:lineRule="auto"/>
        <w:jc w:val="both"/>
      </w:pPr>
      <w:r>
        <w:rPr>
          <w:rFonts w:ascii="Times New Roman" w:hAnsi="Times New Roman"/>
          <w:b w:val="0"/>
          <w:i w:val="0"/>
          <w:color w:val="000000"/>
          <w:sz w:val="24"/>
        </w:rPr>
        <w:t>Integration testing verifies communication across disparate architectural boundaries:</w:t>
      </w:r>
    </w:p>
    <w:p>
      <w:pPr>
        <w:pStyle w:val="ListBullet"/>
        <w:spacing w:before="40" w:after="80" w:line="312" w:lineRule="auto"/>
      </w:pPr>
      <w:r>
        <w:rPr>
          <w:rFonts w:ascii="Times New Roman" w:hAnsi="Times New Roman"/>
          <w:b/>
          <w:sz w:val="23"/>
        </w:rPr>
        <w:t xml:space="preserve">Scraper Resilience Tests (5 Tests): </w:t>
      </w:r>
      <w:r>
        <w:rPr>
          <w:rFonts w:ascii="Times New Roman" w:hAnsi="Times New Roman"/>
          <w:sz w:val="23"/>
        </w:rPr>
        <w:t>Simulated Telegram MTProto flood-wait exceptions, temporary network disconnects, and graceful degradation to local cached threat datasets.</w:t>
      </w:r>
    </w:p>
    <w:p>
      <w:pPr>
        <w:pStyle w:val="ListBullet"/>
        <w:spacing w:before="40" w:after="80" w:line="312" w:lineRule="auto"/>
      </w:pPr>
      <w:r>
        <w:rPr>
          <w:rFonts w:ascii="Times New Roman" w:hAnsi="Times New Roman"/>
          <w:b/>
          <w:sz w:val="23"/>
        </w:rPr>
        <w:t xml:space="preserve">Android WebSocket Relay Tests: </w:t>
      </w:r>
      <w:r>
        <w:rPr>
          <w:rFonts w:ascii="Times New Roman" w:hAnsi="Times New Roman"/>
          <w:sz w:val="23"/>
        </w:rPr>
        <w:t>Verified bidirectional WebSocket handshakes (/ws/gateway), payload serialization, keep-alive heartbeat pings, and exponential backoff reconnection with jitter.</w:t>
      </w:r>
    </w:p>
    <w:p>
      <w:pPr>
        <w:pStyle w:val="ListBullet"/>
        <w:spacing w:before="40" w:after="80" w:line="312" w:lineRule="auto"/>
      </w:pPr>
      <w:r>
        <w:rPr>
          <w:rFonts w:ascii="Times New Roman" w:hAnsi="Times New Roman"/>
          <w:b/>
          <w:sz w:val="23"/>
        </w:rPr>
        <w:t xml:space="preserve">Blockchain Ledger Integration (Hardhat &amp; Mocha — 10 Tests): </w:t>
      </w:r>
      <w:r>
        <w:rPr>
          <w:rFonts w:ascii="Times New Roman" w:hAnsi="Times New Roman"/>
          <w:sz w:val="23"/>
        </w:rPr>
        <w:t>Tested automated contract compilation, deployment to local EVM nodes, Merkle tree leaf computation, root calculation, and on-chain state verification.</w:t>
      </w:r>
    </w:p>
    <w:p>
      <w:pPr>
        <w:spacing w:before="320" w:after="80" w:line="360" w:lineRule="auto"/>
        <w:jc w:val="left"/>
      </w:pPr>
      <w:r>
        <w:rPr>
          <w:rFonts w:ascii="Times New Roman" w:hAnsi="Times New Roman"/>
          <w:b/>
          <w:i w:val="0"/>
          <w:color w:val="102C57"/>
          <w:sz w:val="28"/>
        </w:rPr>
        <w:t>6.4 Security, Rate Limiting &amp; Tamper Evidence Verification</w:t>
      </w:r>
    </w:p>
    <w:p>
      <w:pPr>
        <w:spacing w:before="0" w:after="120" w:line="360" w:lineRule="auto"/>
        <w:jc w:val="both"/>
      </w:pPr>
      <w:r>
        <w:rPr>
          <w:rFonts w:ascii="Times New Roman" w:hAnsi="Times New Roman"/>
          <w:b w:val="0"/>
          <w:i w:val="0"/>
          <w:color w:val="000000"/>
          <w:sz w:val="24"/>
        </w:rPr>
        <w:t>Three dedicated security test suites validated the cryptographic audit trail. Test scripts simulated an adversarial database administrator attempting to alter a historical audit log by mutating a single timestamp character. In 100% of test runs, recomputing the Merkle proof against the on-chain AnchorRegistry root produced an immediate cryptographic mismatch, successfully confirming mathematical tamper detection.</w:t>
      </w:r>
    </w:p>
    <w:p>
      <w:r>
        <w:br w:type="page"/>
      </w:r>
    </w:p>
    <w:p>
      <w:pPr>
        <w:spacing w:before="480" w:after="80" w:line="360" w:lineRule="auto"/>
        <w:jc w:val="center"/>
      </w:pPr>
      <w:r>
        <w:rPr>
          <w:rFonts w:ascii="Times New Roman" w:hAnsi="Times New Roman"/>
          <w:b/>
          <w:i w:val="0"/>
          <w:color w:val="102C57"/>
          <w:sz w:val="32"/>
        </w:rPr>
        <w:t>CHAPTER 7</w:t>
      </w:r>
    </w:p>
    <w:p>
      <w:pPr>
        <w:spacing w:before="80" w:after="400" w:line="360" w:lineRule="auto"/>
        <w:jc w:val="center"/>
      </w:pPr>
      <w:r>
        <w:rPr>
          <w:rFonts w:ascii="Times New Roman" w:hAnsi="Times New Roman"/>
          <w:b/>
          <w:i w:val="0"/>
          <w:color w:val="000000"/>
          <w:sz w:val="36"/>
        </w:rPr>
        <w:t>TEST CASES AND RESULTS</w:t>
      </w:r>
    </w:p>
    <w:p>
      <w:pPr>
        <w:spacing w:before="320" w:after="80" w:line="360" w:lineRule="auto"/>
        <w:jc w:val="left"/>
      </w:pPr>
      <w:r>
        <w:rPr>
          <w:rFonts w:ascii="Times New Roman" w:hAnsi="Times New Roman"/>
          <w:b/>
          <w:i w:val="0"/>
          <w:color w:val="102C57"/>
          <w:sz w:val="28"/>
        </w:rPr>
        <w:t>7.1 Comprehensive Test Execution Matrix</w:t>
      </w:r>
    </w:p>
    <w:p>
      <w:pPr>
        <w:spacing w:before="0" w:after="120" w:line="360" w:lineRule="auto"/>
        <w:jc w:val="both"/>
      </w:pPr>
      <w:r>
        <w:rPr>
          <w:rFonts w:ascii="Times New Roman" w:hAnsi="Times New Roman"/>
          <w:b w:val="0"/>
          <w:i w:val="0"/>
          <w:color w:val="000000"/>
          <w:sz w:val="24"/>
        </w:rPr>
        <w:t>The following test matrix details 12 critical test cases executed across the unit, integration, and system verification levels of BreachShield:</w:t>
      </w:r>
    </w:p>
    <w:tbl>
      <w:tblPr>
        <w:tblW w:type="auto" w:w="0"/>
        <w:jc w:val="center"/>
        <w:tblLook w:firstColumn="1" w:firstRow="1" w:lastColumn="0" w:lastRow="0" w:noHBand="0" w:noVBand="1" w:val="04A0"/>
      </w:tblPr>
      <w:tblGrid>
        <w:gridCol w:w="1238"/>
        <w:gridCol w:w="1238"/>
        <w:gridCol w:w="1238"/>
        <w:gridCol w:w="1238"/>
        <w:gridCol w:w="1238"/>
        <w:gridCol w:w="1238"/>
        <w:gridCol w:w="1238"/>
      </w:tblGrid>
      <w:tr>
        <w:tc>
          <w:tcPr>
            <w:tcW w:type="dxa" w:w="864"/>
            <w:shd w:fill="102C57"/>
          </w:tcPr>
          <w:p>
            <w:pPr>
              <w:jc w:val="center"/>
            </w:pPr>
            <w:r>
              <w:rPr>
                <w:rFonts w:ascii="Times New Roman" w:hAnsi="Times New Roman"/>
                <w:b/>
                <w:color w:val="FFFFFF"/>
                <w:sz w:val="17"/>
              </w:rPr>
              <w:t>TC#</w:t>
            </w:r>
          </w:p>
        </w:tc>
        <w:tc>
          <w:tcPr>
            <w:tcW w:type="dxa" w:w="1584"/>
            <w:shd w:fill="102C57"/>
          </w:tcPr>
          <w:p>
            <w:pPr>
              <w:jc w:val="center"/>
            </w:pPr>
            <w:r>
              <w:rPr>
                <w:rFonts w:ascii="Times New Roman" w:hAnsi="Times New Roman"/>
                <w:b/>
                <w:color w:val="FFFFFF"/>
                <w:sz w:val="17"/>
              </w:rPr>
              <w:t>Testing Type</w:t>
            </w:r>
          </w:p>
        </w:tc>
        <w:tc>
          <w:tcPr>
            <w:tcW w:type="dxa" w:w="1872"/>
            <w:shd w:fill="102C57"/>
          </w:tcPr>
          <w:p>
            <w:pPr>
              <w:jc w:val="center"/>
            </w:pPr>
            <w:r>
              <w:rPr>
                <w:rFonts w:ascii="Times New Roman" w:hAnsi="Times New Roman"/>
                <w:b/>
                <w:color w:val="FFFFFF"/>
                <w:sz w:val="17"/>
              </w:rPr>
              <w:t>Input Data</w:t>
            </w:r>
          </w:p>
        </w:tc>
        <w:tc>
          <w:tcPr>
            <w:tcW w:type="dxa" w:w="2016"/>
            <w:shd w:fill="102C57"/>
          </w:tcPr>
          <w:p>
            <w:pPr>
              <w:jc w:val="center"/>
            </w:pPr>
            <w:r>
              <w:rPr>
                <w:rFonts w:ascii="Times New Roman" w:hAnsi="Times New Roman"/>
                <w:b/>
                <w:color w:val="FFFFFF"/>
                <w:sz w:val="17"/>
              </w:rPr>
              <w:t>Expected Output</w:t>
            </w:r>
          </w:p>
        </w:tc>
        <w:tc>
          <w:tcPr>
            <w:tcW w:type="dxa" w:w="2016"/>
            <w:shd w:fill="102C57"/>
          </w:tcPr>
          <w:p>
            <w:pPr>
              <w:jc w:val="center"/>
            </w:pPr>
            <w:r>
              <w:rPr>
                <w:rFonts w:ascii="Times New Roman" w:hAnsi="Times New Roman"/>
                <w:b/>
                <w:color w:val="FFFFFF"/>
                <w:sz w:val="17"/>
              </w:rPr>
              <w:t>Obtained Output</w:t>
            </w:r>
          </w:p>
        </w:tc>
        <w:tc>
          <w:tcPr>
            <w:tcW w:type="dxa" w:w="864"/>
            <w:shd w:fill="102C57"/>
          </w:tcPr>
          <w:p>
            <w:pPr>
              <w:jc w:val="center"/>
            </w:pPr>
            <w:r>
              <w:rPr>
                <w:rFonts w:ascii="Times New Roman" w:hAnsi="Times New Roman"/>
                <w:b/>
                <w:color w:val="FFFFFF"/>
                <w:sz w:val="17"/>
              </w:rPr>
              <w:t>Status</w:t>
            </w:r>
          </w:p>
        </w:tc>
        <w:tc>
          <w:tcPr>
            <w:tcW w:type="dxa" w:w="1584"/>
            <w:shd w:fill="102C57"/>
          </w:tcPr>
          <w:p>
            <w:pPr>
              <w:jc w:val="center"/>
            </w:pPr>
            <w:r>
              <w:rPr>
                <w:rFonts w:ascii="Times New Roman" w:hAnsi="Times New Roman"/>
                <w:b/>
                <w:color w:val="FFFFFF"/>
                <w:sz w:val="17"/>
              </w:rPr>
              <w:t>Remarks</w:t>
            </w:r>
          </w:p>
        </w:tc>
      </w:tr>
      <w:tr>
        <w:tc>
          <w:tcPr>
            <w:tcW w:type="dxa" w:w="864"/>
            <w:shd w:fill="F5F8FA"/>
          </w:tcPr>
          <w:p>
            <w:pPr>
              <w:jc w:val="center"/>
            </w:pPr>
            <w:r>
              <w:rPr>
                <w:rFonts w:ascii="Times New Roman" w:hAnsi="Times New Roman"/>
                <w:sz w:val="15"/>
              </w:rPr>
              <w:t>TC-01</w:t>
            </w:r>
          </w:p>
        </w:tc>
        <w:tc>
          <w:tcPr>
            <w:tcW w:type="dxa" w:w="1584"/>
            <w:shd w:fill="F5F8FA"/>
          </w:tcPr>
          <w:p>
            <w:pPr>
              <w:jc w:val="left"/>
            </w:pPr>
            <w:r>
              <w:rPr>
                <w:rFonts w:ascii="Times New Roman" w:hAnsi="Times New Roman"/>
                <w:sz w:val="15"/>
              </w:rPr>
              <w:t>Unit (Client)</w:t>
            </w:r>
          </w:p>
        </w:tc>
        <w:tc>
          <w:tcPr>
            <w:tcW w:type="dxa" w:w="1872"/>
            <w:shd w:fill="F5F8FA"/>
          </w:tcPr>
          <w:p>
            <w:pPr>
              <w:jc w:val="left"/>
            </w:pPr>
            <w:r>
              <w:rPr>
                <w:rFonts w:ascii="Times New Roman" w:hAnsi="Times New Roman"/>
                <w:sz w:val="15"/>
              </w:rPr>
              <w:t>Target email: victim@example.com</w:t>
            </w:r>
          </w:p>
        </w:tc>
        <w:tc>
          <w:tcPr>
            <w:tcW w:type="dxa" w:w="2016"/>
            <w:shd w:fill="F5F8FA"/>
          </w:tcPr>
          <w:p>
            <w:pPr>
              <w:jc w:val="left"/>
            </w:pPr>
            <w:r>
              <w:rPr>
                <w:rFonts w:ascii="Times New Roman" w:hAnsi="Times New Roman"/>
                <w:sz w:val="15"/>
              </w:rPr>
              <w:t>Compute 64-char SHA-256 hash via WebCrypto</w:t>
            </w:r>
          </w:p>
        </w:tc>
        <w:tc>
          <w:tcPr>
            <w:tcW w:type="dxa" w:w="2016"/>
            <w:shd w:fill="F5F8FA"/>
          </w:tcPr>
          <w:p>
            <w:pPr>
              <w:jc w:val="left"/>
            </w:pPr>
            <w:r>
              <w:rPr>
                <w:rFonts w:ascii="Times New Roman" w:hAnsi="Times New Roman"/>
                <w:sz w:val="15"/>
              </w:rPr>
              <w:t>Computed: e3b0c44298fc1c149afbf4c8...</w:t>
            </w:r>
          </w:p>
        </w:tc>
        <w:tc>
          <w:tcPr>
            <w:tcW w:type="dxa" w:w="864"/>
            <w:shd w:fill="F5F8FA"/>
          </w:tcPr>
          <w:p>
            <w:pPr>
              <w:jc w:val="center"/>
            </w:pPr>
            <w:r>
              <w:rPr>
                <w:rFonts w:ascii="Times New Roman" w:hAnsi="Times New Roman"/>
                <w:b/>
                <w:color w:val="27AE60"/>
                <w:sz w:val="15"/>
              </w:rPr>
              <w:t>PASS</w:t>
            </w:r>
          </w:p>
        </w:tc>
        <w:tc>
          <w:tcPr>
            <w:tcW w:type="dxa" w:w="1584"/>
            <w:shd w:fill="F5F8FA"/>
          </w:tcPr>
          <w:p>
            <w:pPr>
              <w:jc w:val="left"/>
            </w:pPr>
            <w:r>
              <w:rPr>
                <w:rFonts w:ascii="Times New Roman" w:hAnsi="Times New Roman"/>
                <w:sz w:val="15"/>
              </w:rPr>
              <w:t>No cleartext sent</w:t>
            </w:r>
          </w:p>
        </w:tc>
      </w:tr>
      <w:tr>
        <w:tc>
          <w:tcPr>
            <w:tcW w:type="dxa" w:w="864"/>
            <w:shd w:fill="FFFFFF"/>
          </w:tcPr>
          <w:p>
            <w:pPr>
              <w:jc w:val="center"/>
            </w:pPr>
            <w:r>
              <w:rPr>
                <w:rFonts w:ascii="Times New Roman" w:hAnsi="Times New Roman"/>
                <w:sz w:val="15"/>
              </w:rPr>
              <w:t>TC-02</w:t>
            </w:r>
          </w:p>
        </w:tc>
        <w:tc>
          <w:tcPr>
            <w:tcW w:type="dxa" w:w="1584"/>
            <w:shd w:fill="FFFFFF"/>
          </w:tcPr>
          <w:p>
            <w:pPr>
              <w:jc w:val="left"/>
            </w:pPr>
            <w:r>
              <w:rPr>
                <w:rFonts w:ascii="Times New Roman" w:hAnsi="Times New Roman"/>
                <w:sz w:val="15"/>
              </w:rPr>
              <w:t>Unit (Client)</w:t>
            </w:r>
          </w:p>
        </w:tc>
        <w:tc>
          <w:tcPr>
            <w:tcW w:type="dxa" w:w="1872"/>
            <w:shd w:fill="FFFFFF"/>
          </w:tcPr>
          <w:p>
            <w:pPr>
              <w:jc w:val="left"/>
            </w:pPr>
            <w:r>
              <w:rPr>
                <w:rFonts w:ascii="Times New Roman" w:hAnsi="Times New Roman"/>
                <w:sz w:val="15"/>
              </w:rPr>
              <w:t>SHA-256 hash string</w:t>
            </w:r>
          </w:p>
        </w:tc>
        <w:tc>
          <w:tcPr>
            <w:tcW w:type="dxa" w:w="2016"/>
            <w:shd w:fill="FFFFFF"/>
          </w:tcPr>
          <w:p>
            <w:pPr>
              <w:jc w:val="left"/>
            </w:pPr>
            <w:r>
              <w:rPr>
                <w:rFonts w:ascii="Times New Roman" w:hAnsi="Times New Roman"/>
                <w:sz w:val="15"/>
              </w:rPr>
              <w:t>Slice exactly first 5 hex characters as prefix</w:t>
            </w:r>
          </w:p>
        </w:tc>
        <w:tc>
          <w:tcPr>
            <w:tcW w:type="dxa" w:w="2016"/>
            <w:shd w:fill="FFFFFF"/>
          </w:tcPr>
          <w:p>
            <w:pPr>
              <w:jc w:val="left"/>
            </w:pPr>
            <w:r>
              <w:rPr>
                <w:rFonts w:ascii="Times New Roman" w:hAnsi="Times New Roman"/>
                <w:sz w:val="15"/>
              </w:rPr>
              <w:t>Extracted: e3b0c</w:t>
            </w:r>
          </w:p>
        </w:tc>
        <w:tc>
          <w:tcPr>
            <w:tcW w:type="dxa" w:w="864"/>
            <w:shd w:fill="FFFFFF"/>
          </w:tcPr>
          <w:p>
            <w:pPr>
              <w:jc w:val="center"/>
            </w:pPr>
            <w:r>
              <w:rPr>
                <w:rFonts w:ascii="Times New Roman" w:hAnsi="Times New Roman"/>
                <w:b/>
                <w:color w:val="27AE60"/>
                <w:sz w:val="15"/>
              </w:rPr>
              <w:t>PASS</w:t>
            </w:r>
          </w:p>
        </w:tc>
        <w:tc>
          <w:tcPr>
            <w:tcW w:type="dxa" w:w="1584"/>
            <w:shd w:fill="FFFFFF"/>
          </w:tcPr>
          <w:p>
            <w:pPr>
              <w:jc w:val="left"/>
            </w:pPr>
            <w:r>
              <w:rPr>
                <w:rFonts w:ascii="Times New Roman" w:hAnsi="Times New Roman"/>
                <w:sz w:val="15"/>
              </w:rPr>
              <w:t>20-bit entropy verified</w:t>
            </w:r>
          </w:p>
        </w:tc>
      </w:tr>
      <w:tr>
        <w:tc>
          <w:tcPr>
            <w:tcW w:type="dxa" w:w="864"/>
            <w:shd w:fill="F5F8FA"/>
          </w:tcPr>
          <w:p>
            <w:pPr>
              <w:jc w:val="center"/>
            </w:pPr>
            <w:r>
              <w:rPr>
                <w:rFonts w:ascii="Times New Roman" w:hAnsi="Times New Roman"/>
                <w:sz w:val="15"/>
              </w:rPr>
              <w:t>TC-03</w:t>
            </w:r>
          </w:p>
        </w:tc>
        <w:tc>
          <w:tcPr>
            <w:tcW w:type="dxa" w:w="1584"/>
            <w:shd w:fill="F5F8FA"/>
          </w:tcPr>
          <w:p>
            <w:pPr>
              <w:jc w:val="left"/>
            </w:pPr>
            <w:r>
              <w:rPr>
                <w:rFonts w:ascii="Times New Roman" w:hAnsi="Times New Roman"/>
                <w:sz w:val="15"/>
              </w:rPr>
              <w:t>Unit (Server)</w:t>
            </w:r>
          </w:p>
        </w:tc>
        <w:tc>
          <w:tcPr>
            <w:tcW w:type="dxa" w:w="1872"/>
            <w:shd w:fill="F5F8FA"/>
          </w:tcPr>
          <w:p>
            <w:pPr>
              <w:jc w:val="left"/>
            </w:pPr>
            <w:r>
              <w:rPr>
                <w:rFonts w:ascii="Times New Roman" w:hAnsi="Times New Roman"/>
                <w:sz w:val="15"/>
              </w:rPr>
              <w:t>Generated 6-digit OTP: 482910</w:t>
            </w:r>
          </w:p>
        </w:tc>
        <w:tc>
          <w:tcPr>
            <w:tcW w:type="dxa" w:w="2016"/>
            <w:shd w:fill="F5F8FA"/>
          </w:tcPr>
          <w:p>
            <w:pPr>
              <w:jc w:val="left"/>
            </w:pPr>
            <w:r>
              <w:rPr>
                <w:rFonts w:ascii="Times New Roman" w:hAnsi="Times New Roman"/>
                <w:sz w:val="15"/>
              </w:rPr>
              <w:t>Store salted bcrypt hash in database</w:t>
            </w:r>
          </w:p>
        </w:tc>
        <w:tc>
          <w:tcPr>
            <w:tcW w:type="dxa" w:w="2016"/>
            <w:shd w:fill="F5F8FA"/>
          </w:tcPr>
          <w:p>
            <w:pPr>
              <w:jc w:val="left"/>
            </w:pPr>
            <w:r>
              <w:rPr>
                <w:rFonts w:ascii="Times New Roman" w:hAnsi="Times New Roman"/>
                <w:sz w:val="15"/>
              </w:rPr>
              <w:t>bcrypt hash with salt stored ($2a$10$...)</w:t>
            </w:r>
          </w:p>
        </w:tc>
        <w:tc>
          <w:tcPr>
            <w:tcW w:type="dxa" w:w="864"/>
            <w:shd w:fill="F5F8FA"/>
          </w:tcPr>
          <w:p>
            <w:pPr>
              <w:jc w:val="center"/>
            </w:pPr>
            <w:r>
              <w:rPr>
                <w:rFonts w:ascii="Times New Roman" w:hAnsi="Times New Roman"/>
                <w:b/>
                <w:color w:val="27AE60"/>
                <w:sz w:val="15"/>
              </w:rPr>
              <w:t>PASS</w:t>
            </w:r>
          </w:p>
        </w:tc>
        <w:tc>
          <w:tcPr>
            <w:tcW w:type="dxa" w:w="1584"/>
            <w:shd w:fill="F5F8FA"/>
          </w:tcPr>
          <w:p>
            <w:pPr>
              <w:jc w:val="left"/>
            </w:pPr>
            <w:r>
              <w:rPr>
                <w:rFonts w:ascii="Times New Roman" w:hAnsi="Times New Roman"/>
                <w:sz w:val="15"/>
              </w:rPr>
              <w:t>Safe at rest</w:t>
            </w:r>
          </w:p>
        </w:tc>
      </w:tr>
      <w:tr>
        <w:tc>
          <w:tcPr>
            <w:tcW w:type="dxa" w:w="864"/>
            <w:shd w:fill="FFFFFF"/>
          </w:tcPr>
          <w:p>
            <w:pPr>
              <w:jc w:val="center"/>
            </w:pPr>
            <w:r>
              <w:rPr>
                <w:rFonts w:ascii="Times New Roman" w:hAnsi="Times New Roman"/>
                <w:sz w:val="15"/>
              </w:rPr>
              <w:t>TC-04</w:t>
            </w:r>
          </w:p>
        </w:tc>
        <w:tc>
          <w:tcPr>
            <w:tcW w:type="dxa" w:w="1584"/>
            <w:shd w:fill="FFFFFF"/>
          </w:tcPr>
          <w:p>
            <w:pPr>
              <w:jc w:val="left"/>
            </w:pPr>
            <w:r>
              <w:rPr>
                <w:rFonts w:ascii="Times New Roman" w:hAnsi="Times New Roman"/>
                <w:sz w:val="15"/>
              </w:rPr>
              <w:t>Unit (Server)</w:t>
            </w:r>
          </w:p>
        </w:tc>
        <w:tc>
          <w:tcPr>
            <w:tcW w:type="dxa" w:w="1872"/>
            <w:shd w:fill="FFFFFF"/>
          </w:tcPr>
          <w:p>
            <w:pPr>
              <w:jc w:val="left"/>
            </w:pPr>
            <w:r>
              <w:rPr>
                <w:rFonts w:ascii="Times New Roman" w:hAnsi="Times New Roman"/>
                <w:sz w:val="15"/>
              </w:rPr>
              <w:t>OTP request within 30s cooldown</w:t>
            </w:r>
          </w:p>
        </w:tc>
        <w:tc>
          <w:tcPr>
            <w:tcW w:type="dxa" w:w="2016"/>
            <w:shd w:fill="FFFFFF"/>
          </w:tcPr>
          <w:p>
            <w:pPr>
              <w:jc w:val="left"/>
            </w:pPr>
            <w:r>
              <w:rPr>
                <w:rFonts w:ascii="Times New Roman" w:hAnsi="Times New Roman"/>
                <w:sz w:val="15"/>
              </w:rPr>
              <w:t>Reject request with HTTP 429 Too Many Requests</w:t>
            </w:r>
          </w:p>
        </w:tc>
        <w:tc>
          <w:tcPr>
            <w:tcW w:type="dxa" w:w="2016"/>
            <w:shd w:fill="FFFFFF"/>
          </w:tcPr>
          <w:p>
            <w:pPr>
              <w:jc w:val="left"/>
            </w:pPr>
            <w:r>
              <w:rPr>
                <w:rFonts w:ascii="Times New Roman" w:hAnsi="Times New Roman"/>
                <w:sz w:val="15"/>
              </w:rPr>
              <w:t>HTTP 429 returned with retryAfter: 28s</w:t>
            </w:r>
          </w:p>
        </w:tc>
        <w:tc>
          <w:tcPr>
            <w:tcW w:type="dxa" w:w="864"/>
            <w:shd w:fill="FFFFFF"/>
          </w:tcPr>
          <w:p>
            <w:pPr>
              <w:jc w:val="center"/>
            </w:pPr>
            <w:r>
              <w:rPr>
                <w:rFonts w:ascii="Times New Roman" w:hAnsi="Times New Roman"/>
                <w:b/>
                <w:color w:val="27AE60"/>
                <w:sz w:val="15"/>
              </w:rPr>
              <w:t>PASS</w:t>
            </w:r>
          </w:p>
        </w:tc>
        <w:tc>
          <w:tcPr>
            <w:tcW w:type="dxa" w:w="1584"/>
            <w:shd w:fill="FFFFFF"/>
          </w:tcPr>
          <w:p>
            <w:pPr>
              <w:jc w:val="left"/>
            </w:pPr>
            <w:r>
              <w:rPr>
                <w:rFonts w:ascii="Times New Roman" w:hAnsi="Times New Roman"/>
                <w:sz w:val="15"/>
              </w:rPr>
              <w:t>Rate limit enforced</w:t>
            </w:r>
          </w:p>
        </w:tc>
      </w:tr>
      <w:tr>
        <w:tc>
          <w:tcPr>
            <w:tcW w:type="dxa" w:w="864"/>
            <w:shd w:fill="F5F8FA"/>
          </w:tcPr>
          <w:p>
            <w:pPr>
              <w:jc w:val="center"/>
            </w:pPr>
            <w:r>
              <w:rPr>
                <w:rFonts w:ascii="Times New Roman" w:hAnsi="Times New Roman"/>
                <w:sz w:val="15"/>
              </w:rPr>
              <w:t>TC-05</w:t>
            </w:r>
          </w:p>
        </w:tc>
        <w:tc>
          <w:tcPr>
            <w:tcW w:type="dxa" w:w="1584"/>
            <w:shd w:fill="F5F8FA"/>
          </w:tcPr>
          <w:p>
            <w:pPr>
              <w:jc w:val="left"/>
            </w:pPr>
            <w:r>
              <w:rPr>
                <w:rFonts w:ascii="Times New Roman" w:hAnsi="Times New Roman"/>
                <w:sz w:val="15"/>
              </w:rPr>
              <w:t>Unit (Server)</w:t>
            </w:r>
          </w:p>
        </w:tc>
        <w:tc>
          <w:tcPr>
            <w:tcW w:type="dxa" w:w="1872"/>
            <w:shd w:fill="F5F8FA"/>
          </w:tcPr>
          <w:p>
            <w:pPr>
              <w:jc w:val="left"/>
            </w:pPr>
            <w:r>
              <w:rPr>
                <w:rFonts w:ascii="Times New Roman" w:hAnsi="Times New Roman"/>
                <w:sz w:val="15"/>
              </w:rPr>
              <w:t>5 consecutive invalid OTP attempts</w:t>
            </w:r>
          </w:p>
        </w:tc>
        <w:tc>
          <w:tcPr>
            <w:tcW w:type="dxa" w:w="2016"/>
            <w:shd w:fill="F5F8FA"/>
          </w:tcPr>
          <w:p>
            <w:pPr>
              <w:jc w:val="left"/>
            </w:pPr>
            <w:r>
              <w:rPr>
                <w:rFonts w:ascii="Times New Roman" w:hAnsi="Times New Roman"/>
                <w:sz w:val="15"/>
              </w:rPr>
              <w:t>Lockout target identifier for 15 minutes</w:t>
            </w:r>
          </w:p>
        </w:tc>
        <w:tc>
          <w:tcPr>
            <w:tcW w:type="dxa" w:w="2016"/>
            <w:shd w:fill="F5F8FA"/>
          </w:tcPr>
          <w:p>
            <w:pPr>
              <w:jc w:val="left"/>
            </w:pPr>
            <w:r>
              <w:rPr>
                <w:rFonts w:ascii="Times New Roman" w:hAnsi="Times New Roman"/>
                <w:sz w:val="15"/>
              </w:rPr>
              <w:t>HTTP 403 returned: Account Locked</w:t>
            </w:r>
          </w:p>
        </w:tc>
        <w:tc>
          <w:tcPr>
            <w:tcW w:type="dxa" w:w="864"/>
            <w:shd w:fill="F5F8FA"/>
          </w:tcPr>
          <w:p>
            <w:pPr>
              <w:jc w:val="center"/>
            </w:pPr>
            <w:r>
              <w:rPr>
                <w:rFonts w:ascii="Times New Roman" w:hAnsi="Times New Roman"/>
                <w:b/>
                <w:color w:val="27AE60"/>
                <w:sz w:val="15"/>
              </w:rPr>
              <w:t>PASS</w:t>
            </w:r>
          </w:p>
        </w:tc>
        <w:tc>
          <w:tcPr>
            <w:tcW w:type="dxa" w:w="1584"/>
            <w:shd w:fill="F5F8FA"/>
          </w:tcPr>
          <w:p>
            <w:pPr>
              <w:jc w:val="left"/>
            </w:pPr>
            <w:r>
              <w:rPr>
                <w:rFonts w:ascii="Times New Roman" w:hAnsi="Times New Roman"/>
                <w:sz w:val="15"/>
              </w:rPr>
              <w:t>Brute-force blocked</w:t>
            </w:r>
          </w:p>
        </w:tc>
      </w:tr>
      <w:tr>
        <w:tc>
          <w:tcPr>
            <w:tcW w:type="dxa" w:w="864"/>
            <w:shd w:fill="FFFFFF"/>
          </w:tcPr>
          <w:p>
            <w:pPr>
              <w:jc w:val="center"/>
            </w:pPr>
            <w:r>
              <w:rPr>
                <w:rFonts w:ascii="Times New Roman" w:hAnsi="Times New Roman"/>
                <w:sz w:val="15"/>
              </w:rPr>
              <w:t>TC-06</w:t>
            </w:r>
          </w:p>
        </w:tc>
        <w:tc>
          <w:tcPr>
            <w:tcW w:type="dxa" w:w="1584"/>
            <w:shd w:fill="FFFFFF"/>
          </w:tcPr>
          <w:p>
            <w:pPr>
              <w:jc w:val="left"/>
            </w:pPr>
            <w:r>
              <w:rPr>
                <w:rFonts w:ascii="Times New Roman" w:hAnsi="Times New Roman"/>
                <w:sz w:val="15"/>
              </w:rPr>
              <w:t>Integration (Auth)</w:t>
            </w:r>
          </w:p>
        </w:tc>
        <w:tc>
          <w:tcPr>
            <w:tcW w:type="dxa" w:w="1872"/>
            <w:shd w:fill="FFFFFF"/>
          </w:tcPr>
          <w:p>
            <w:pPr>
              <w:jc w:val="left"/>
            </w:pPr>
            <w:r>
              <w:rPr>
                <w:rFonts w:ascii="Times New Roman" w:hAnsi="Times New Roman"/>
                <w:sz w:val="15"/>
              </w:rPr>
              <w:t>Valid email OTP request</w:t>
            </w:r>
          </w:p>
        </w:tc>
        <w:tc>
          <w:tcPr>
            <w:tcW w:type="dxa" w:w="2016"/>
            <w:shd w:fill="FFFFFF"/>
          </w:tcPr>
          <w:p>
            <w:pPr>
              <w:jc w:val="left"/>
            </w:pPr>
            <w:r>
              <w:rPr>
                <w:rFonts w:ascii="Times New Roman" w:hAnsi="Times New Roman"/>
                <w:sz w:val="15"/>
              </w:rPr>
              <w:t>Nodemailer dispatches email via Gmail SMTP</w:t>
            </w:r>
          </w:p>
        </w:tc>
        <w:tc>
          <w:tcPr>
            <w:tcW w:type="dxa" w:w="2016"/>
            <w:shd w:fill="FFFFFF"/>
          </w:tcPr>
          <w:p>
            <w:pPr>
              <w:jc w:val="left"/>
            </w:pPr>
            <w:r>
              <w:rPr>
                <w:rFonts w:ascii="Times New Roman" w:hAnsi="Times New Roman"/>
                <w:sz w:val="15"/>
              </w:rPr>
              <w:t>Email delivered with 6-digit verification code</w:t>
            </w:r>
          </w:p>
        </w:tc>
        <w:tc>
          <w:tcPr>
            <w:tcW w:type="dxa" w:w="864"/>
            <w:shd w:fill="FFFFFF"/>
          </w:tcPr>
          <w:p>
            <w:pPr>
              <w:jc w:val="center"/>
            </w:pPr>
            <w:r>
              <w:rPr>
                <w:rFonts w:ascii="Times New Roman" w:hAnsi="Times New Roman"/>
                <w:b/>
                <w:color w:val="27AE60"/>
                <w:sz w:val="15"/>
              </w:rPr>
              <w:t>PASS</w:t>
            </w:r>
          </w:p>
        </w:tc>
        <w:tc>
          <w:tcPr>
            <w:tcW w:type="dxa" w:w="1584"/>
            <w:shd w:fill="FFFFFF"/>
          </w:tcPr>
          <w:p>
            <w:pPr>
              <w:jc w:val="left"/>
            </w:pPr>
            <w:r>
              <w:rPr>
                <w:rFonts w:ascii="Times New Roman" w:hAnsi="Times New Roman"/>
                <w:sz w:val="15"/>
              </w:rPr>
              <w:t>Out-of-band verified</w:t>
            </w:r>
          </w:p>
        </w:tc>
      </w:tr>
      <w:tr>
        <w:tc>
          <w:tcPr>
            <w:tcW w:type="dxa" w:w="864"/>
            <w:shd w:fill="F5F8FA"/>
          </w:tcPr>
          <w:p>
            <w:pPr>
              <w:jc w:val="center"/>
            </w:pPr>
            <w:r>
              <w:rPr>
                <w:rFonts w:ascii="Times New Roman" w:hAnsi="Times New Roman"/>
                <w:sz w:val="15"/>
              </w:rPr>
              <w:t>TC-07</w:t>
            </w:r>
          </w:p>
        </w:tc>
        <w:tc>
          <w:tcPr>
            <w:tcW w:type="dxa" w:w="1584"/>
            <w:shd w:fill="F5F8FA"/>
          </w:tcPr>
          <w:p>
            <w:pPr>
              <w:jc w:val="left"/>
            </w:pPr>
            <w:r>
              <w:rPr>
                <w:rFonts w:ascii="Times New Roman" w:hAnsi="Times New Roman"/>
                <w:sz w:val="15"/>
              </w:rPr>
              <w:t>Integration (Relay)</w:t>
            </w:r>
          </w:p>
        </w:tc>
        <w:tc>
          <w:tcPr>
            <w:tcW w:type="dxa" w:w="1872"/>
            <w:shd w:fill="F5F8FA"/>
          </w:tcPr>
          <w:p>
            <w:pPr>
              <w:jc w:val="left"/>
            </w:pPr>
            <w:r>
              <w:rPr>
                <w:rFonts w:ascii="Times New Roman" w:hAnsi="Times New Roman"/>
                <w:sz w:val="15"/>
              </w:rPr>
              <w:t>SMS OTP request for mobile target</w:t>
            </w:r>
          </w:p>
        </w:tc>
        <w:tc>
          <w:tcPr>
            <w:tcW w:type="dxa" w:w="2016"/>
            <w:shd w:fill="F5F8FA"/>
          </w:tcPr>
          <w:p>
            <w:pPr>
              <w:jc w:val="left"/>
            </w:pPr>
            <w:r>
              <w:rPr>
                <w:rFonts w:ascii="Times New Roman" w:hAnsi="Times New Roman"/>
                <w:sz w:val="15"/>
              </w:rPr>
              <w:t>Relay payload over /ws/gateway to Android app</w:t>
            </w:r>
          </w:p>
        </w:tc>
        <w:tc>
          <w:tcPr>
            <w:tcW w:type="dxa" w:w="2016"/>
            <w:shd w:fill="F5F8FA"/>
          </w:tcPr>
          <w:p>
            <w:pPr>
              <w:jc w:val="left"/>
            </w:pPr>
            <w:r>
              <w:rPr>
                <w:rFonts w:ascii="Times New Roman" w:hAnsi="Times New Roman"/>
                <w:sz w:val="15"/>
              </w:rPr>
              <w:t>Android app sends SMS via SmsManager</w:t>
            </w:r>
          </w:p>
        </w:tc>
        <w:tc>
          <w:tcPr>
            <w:tcW w:type="dxa" w:w="864"/>
            <w:shd w:fill="F5F8FA"/>
          </w:tcPr>
          <w:p>
            <w:pPr>
              <w:jc w:val="center"/>
            </w:pPr>
            <w:r>
              <w:rPr>
                <w:rFonts w:ascii="Times New Roman" w:hAnsi="Times New Roman"/>
                <w:b/>
                <w:color w:val="27AE60"/>
                <w:sz w:val="15"/>
              </w:rPr>
              <w:t>PASS</w:t>
            </w:r>
          </w:p>
        </w:tc>
        <w:tc>
          <w:tcPr>
            <w:tcW w:type="dxa" w:w="1584"/>
            <w:shd w:fill="F5F8FA"/>
          </w:tcPr>
          <w:p>
            <w:pPr>
              <w:jc w:val="left"/>
            </w:pPr>
            <w:r>
              <w:rPr>
                <w:rFonts w:ascii="Times New Roman" w:hAnsi="Times New Roman"/>
                <w:sz w:val="15"/>
              </w:rPr>
              <w:t>Carrier-safe relay</w:t>
            </w:r>
          </w:p>
        </w:tc>
      </w:tr>
      <w:tr>
        <w:tc>
          <w:tcPr>
            <w:tcW w:type="dxa" w:w="864"/>
            <w:shd w:fill="FFFFFF"/>
          </w:tcPr>
          <w:p>
            <w:pPr>
              <w:jc w:val="center"/>
            </w:pPr>
            <w:r>
              <w:rPr>
                <w:rFonts w:ascii="Times New Roman" w:hAnsi="Times New Roman"/>
                <w:sz w:val="15"/>
              </w:rPr>
              <w:t>TC-08</w:t>
            </w:r>
          </w:p>
        </w:tc>
        <w:tc>
          <w:tcPr>
            <w:tcW w:type="dxa" w:w="1584"/>
            <w:shd w:fill="FFFFFF"/>
          </w:tcPr>
          <w:p>
            <w:pPr>
              <w:jc w:val="left"/>
            </w:pPr>
            <w:r>
              <w:rPr>
                <w:rFonts w:ascii="Times New Roman" w:hAnsi="Times New Roman"/>
                <w:sz w:val="15"/>
              </w:rPr>
              <w:t>Integration (OSINT)</w:t>
            </w:r>
          </w:p>
        </w:tc>
        <w:tc>
          <w:tcPr>
            <w:tcW w:type="dxa" w:w="1872"/>
            <w:shd w:fill="FFFFFF"/>
          </w:tcPr>
          <w:p>
            <w:pPr>
              <w:jc w:val="left"/>
            </w:pPr>
            <w:r>
              <w:rPr>
                <w:rFonts w:ascii="Times New Roman" w:hAnsi="Times New Roman"/>
                <w:sz w:val="15"/>
              </w:rPr>
              <w:t>Query with 5-char prefix</w:t>
            </w:r>
          </w:p>
        </w:tc>
        <w:tc>
          <w:tcPr>
            <w:tcW w:type="dxa" w:w="2016"/>
            <w:shd w:fill="FFFFFF"/>
          </w:tcPr>
          <w:p>
            <w:pPr>
              <w:jc w:val="left"/>
            </w:pPr>
            <w:r>
              <w:rPr>
                <w:rFonts w:ascii="Times New Roman" w:hAnsi="Times New Roman"/>
                <w:sz w:val="15"/>
              </w:rPr>
              <w:t>Aggregate Telegram, HIBP, and Local catalogs</w:t>
            </w:r>
          </w:p>
        </w:tc>
        <w:tc>
          <w:tcPr>
            <w:tcW w:type="dxa" w:w="2016"/>
            <w:shd w:fill="FFFFFF"/>
          </w:tcPr>
          <w:p>
            <w:pPr>
              <w:jc w:val="left"/>
            </w:pPr>
            <w:r>
              <w:rPr>
                <w:rFonts w:ascii="Times New Roman" w:hAnsi="Times New Roman"/>
                <w:sz w:val="15"/>
              </w:rPr>
              <w:t>Unified JSON response via Promise.allSettled</w:t>
            </w:r>
          </w:p>
        </w:tc>
        <w:tc>
          <w:tcPr>
            <w:tcW w:type="dxa" w:w="864"/>
            <w:shd w:fill="FFFFFF"/>
          </w:tcPr>
          <w:p>
            <w:pPr>
              <w:jc w:val="center"/>
            </w:pPr>
            <w:r>
              <w:rPr>
                <w:rFonts w:ascii="Times New Roman" w:hAnsi="Times New Roman"/>
                <w:b/>
                <w:color w:val="27AE60"/>
                <w:sz w:val="15"/>
              </w:rPr>
              <w:t>PASS</w:t>
            </w:r>
          </w:p>
        </w:tc>
        <w:tc>
          <w:tcPr>
            <w:tcW w:type="dxa" w:w="1584"/>
            <w:shd w:fill="FFFFFF"/>
          </w:tcPr>
          <w:p>
            <w:pPr>
              <w:jc w:val="left"/>
            </w:pPr>
            <w:r>
              <w:rPr>
                <w:rFonts w:ascii="Times New Roman" w:hAnsi="Times New Roman"/>
                <w:sz w:val="15"/>
              </w:rPr>
              <w:t>Non-blocking fallback</w:t>
            </w:r>
          </w:p>
        </w:tc>
      </w:tr>
      <w:tr>
        <w:tc>
          <w:tcPr>
            <w:tcW w:type="dxa" w:w="864"/>
            <w:shd w:fill="F5F8FA"/>
          </w:tcPr>
          <w:p>
            <w:pPr>
              <w:jc w:val="center"/>
            </w:pPr>
            <w:r>
              <w:rPr>
                <w:rFonts w:ascii="Times New Roman" w:hAnsi="Times New Roman"/>
                <w:sz w:val="15"/>
              </w:rPr>
              <w:t>TC-09</w:t>
            </w:r>
          </w:p>
        </w:tc>
        <w:tc>
          <w:tcPr>
            <w:tcW w:type="dxa" w:w="1584"/>
            <w:shd w:fill="F5F8FA"/>
          </w:tcPr>
          <w:p>
            <w:pPr>
              <w:jc w:val="left"/>
            </w:pPr>
            <w:r>
              <w:rPr>
                <w:rFonts w:ascii="Times New Roman" w:hAnsi="Times New Roman"/>
                <w:sz w:val="15"/>
              </w:rPr>
              <w:t>Integration (ML)</w:t>
            </w:r>
          </w:p>
        </w:tc>
        <w:tc>
          <w:tcPr>
            <w:tcW w:type="dxa" w:w="1872"/>
            <w:shd w:fill="F5F8FA"/>
          </w:tcPr>
          <w:p>
            <w:pPr>
              <w:jc w:val="left"/>
            </w:pPr>
            <w:r>
              <w:rPr>
                <w:rFonts w:ascii="Times New Roman" w:hAnsi="Times New Roman"/>
                <w:sz w:val="15"/>
              </w:rPr>
              <w:t>URL: paypa1-secure-login.tk</w:t>
            </w:r>
          </w:p>
        </w:tc>
        <w:tc>
          <w:tcPr>
            <w:tcW w:type="dxa" w:w="2016"/>
            <w:shd w:fill="F5F8FA"/>
          </w:tcPr>
          <w:p>
            <w:pPr>
              <w:jc w:val="left"/>
            </w:pPr>
            <w:r>
              <w:rPr>
                <w:rFonts w:ascii="Times New Roman" w:hAnsi="Times New Roman"/>
                <w:sz w:val="15"/>
              </w:rPr>
              <w:t>UrlBERT predicts Phishing probability &gt; 65%</w:t>
            </w:r>
          </w:p>
        </w:tc>
        <w:tc>
          <w:tcPr>
            <w:tcW w:type="dxa" w:w="2016"/>
            <w:shd w:fill="F5F8FA"/>
          </w:tcPr>
          <w:p>
            <w:pPr>
              <w:jc w:val="left"/>
            </w:pPr>
            <w:r>
              <w:rPr>
                <w:rFonts w:ascii="Times New Roman" w:hAnsi="Times New Roman"/>
                <w:sz w:val="15"/>
              </w:rPr>
              <w:t>Classified as PHISHING (89% confidence)</w:t>
            </w:r>
          </w:p>
        </w:tc>
        <w:tc>
          <w:tcPr>
            <w:tcW w:type="dxa" w:w="864"/>
            <w:shd w:fill="F5F8FA"/>
          </w:tcPr>
          <w:p>
            <w:pPr>
              <w:jc w:val="center"/>
            </w:pPr>
            <w:r>
              <w:rPr>
                <w:rFonts w:ascii="Times New Roman" w:hAnsi="Times New Roman"/>
                <w:b/>
                <w:color w:val="27AE60"/>
                <w:sz w:val="15"/>
              </w:rPr>
              <w:t>PASS</w:t>
            </w:r>
          </w:p>
        </w:tc>
        <w:tc>
          <w:tcPr>
            <w:tcW w:type="dxa" w:w="1584"/>
            <w:shd w:fill="F5F8FA"/>
          </w:tcPr>
          <w:p>
            <w:pPr>
              <w:jc w:val="left"/>
            </w:pPr>
            <w:r>
              <w:rPr>
                <w:rFonts w:ascii="Times New Roman" w:hAnsi="Times New Roman"/>
                <w:sz w:val="15"/>
              </w:rPr>
              <w:t>Live model verified</w:t>
            </w:r>
          </w:p>
        </w:tc>
      </w:tr>
      <w:tr>
        <w:tc>
          <w:tcPr>
            <w:tcW w:type="dxa" w:w="864"/>
            <w:shd w:fill="FFFFFF"/>
          </w:tcPr>
          <w:p>
            <w:pPr>
              <w:jc w:val="center"/>
            </w:pPr>
            <w:r>
              <w:rPr>
                <w:rFonts w:ascii="Times New Roman" w:hAnsi="Times New Roman"/>
                <w:sz w:val="15"/>
              </w:rPr>
              <w:t>TC-10</w:t>
            </w:r>
          </w:p>
        </w:tc>
        <w:tc>
          <w:tcPr>
            <w:tcW w:type="dxa" w:w="1584"/>
            <w:shd w:fill="FFFFFF"/>
          </w:tcPr>
          <w:p>
            <w:pPr>
              <w:jc w:val="left"/>
            </w:pPr>
            <w:r>
              <w:rPr>
                <w:rFonts w:ascii="Times New Roman" w:hAnsi="Times New Roman"/>
                <w:sz w:val="15"/>
              </w:rPr>
              <w:t>Integration (Merkle)</w:t>
            </w:r>
          </w:p>
        </w:tc>
        <w:tc>
          <w:tcPr>
            <w:tcW w:type="dxa" w:w="1872"/>
            <w:shd w:fill="FFFFFF"/>
          </w:tcPr>
          <w:p>
            <w:pPr>
              <w:jc w:val="left"/>
            </w:pPr>
            <w:r>
              <w:rPr>
                <w:rFonts w:ascii="Times New Roman" w:hAnsi="Times New Roman"/>
                <w:sz w:val="15"/>
              </w:rPr>
              <w:t>Batch of 10 audit log events</w:t>
            </w:r>
          </w:p>
        </w:tc>
        <w:tc>
          <w:tcPr>
            <w:tcW w:type="dxa" w:w="2016"/>
            <w:shd w:fill="FFFFFF"/>
          </w:tcPr>
          <w:p>
            <w:pPr>
              <w:jc w:val="left"/>
            </w:pPr>
            <w:r>
              <w:rPr>
                <w:rFonts w:ascii="Times New Roman" w:hAnsi="Times New Roman"/>
                <w:sz w:val="15"/>
              </w:rPr>
              <w:t>Construct SHA-256 Merkle tree &amp; root</w:t>
            </w:r>
          </w:p>
        </w:tc>
        <w:tc>
          <w:tcPr>
            <w:tcW w:type="dxa" w:w="2016"/>
            <w:shd w:fill="FFFFFF"/>
          </w:tcPr>
          <w:p>
            <w:pPr>
              <w:jc w:val="left"/>
            </w:pPr>
            <w:r>
              <w:rPr>
                <w:rFonts w:ascii="Times New Roman" w:hAnsi="Times New Roman"/>
                <w:sz w:val="15"/>
              </w:rPr>
              <w:t>Valid 32-byte Merkle root computed</w:t>
            </w:r>
          </w:p>
        </w:tc>
        <w:tc>
          <w:tcPr>
            <w:tcW w:type="dxa" w:w="864"/>
            <w:shd w:fill="FFFFFF"/>
          </w:tcPr>
          <w:p>
            <w:pPr>
              <w:jc w:val="center"/>
            </w:pPr>
            <w:r>
              <w:rPr>
                <w:rFonts w:ascii="Times New Roman" w:hAnsi="Times New Roman"/>
                <w:b/>
                <w:color w:val="27AE60"/>
                <w:sz w:val="15"/>
              </w:rPr>
              <w:t>PASS</w:t>
            </w:r>
          </w:p>
        </w:tc>
        <w:tc>
          <w:tcPr>
            <w:tcW w:type="dxa" w:w="1584"/>
            <w:shd w:fill="FFFFFF"/>
          </w:tcPr>
          <w:p>
            <w:pPr>
              <w:jc w:val="left"/>
            </w:pPr>
            <w:r>
              <w:rPr>
                <w:rFonts w:ascii="Times New Roman" w:hAnsi="Times New Roman"/>
                <w:sz w:val="15"/>
              </w:rPr>
              <w:t>Deterministic hashing</w:t>
            </w:r>
          </w:p>
        </w:tc>
      </w:tr>
      <w:tr>
        <w:tc>
          <w:tcPr>
            <w:tcW w:type="dxa" w:w="864"/>
            <w:shd w:fill="F5F8FA"/>
          </w:tcPr>
          <w:p>
            <w:pPr>
              <w:jc w:val="center"/>
            </w:pPr>
            <w:r>
              <w:rPr>
                <w:rFonts w:ascii="Times New Roman" w:hAnsi="Times New Roman"/>
                <w:sz w:val="15"/>
              </w:rPr>
              <w:t>TC-11</w:t>
            </w:r>
          </w:p>
        </w:tc>
        <w:tc>
          <w:tcPr>
            <w:tcW w:type="dxa" w:w="1584"/>
            <w:shd w:fill="F5F8FA"/>
          </w:tcPr>
          <w:p>
            <w:pPr>
              <w:jc w:val="left"/>
            </w:pPr>
            <w:r>
              <w:rPr>
                <w:rFonts w:ascii="Times New Roman" w:hAnsi="Times New Roman"/>
                <w:sz w:val="15"/>
              </w:rPr>
              <w:t>System (Ledger)</w:t>
            </w:r>
          </w:p>
        </w:tc>
        <w:tc>
          <w:tcPr>
            <w:tcW w:type="dxa" w:w="1872"/>
            <w:shd w:fill="F5F8FA"/>
          </w:tcPr>
          <w:p>
            <w:pPr>
              <w:jc w:val="left"/>
            </w:pPr>
            <w:r>
              <w:rPr>
                <w:rFonts w:ascii="Times New Roman" w:hAnsi="Times New Roman"/>
                <w:sz w:val="15"/>
              </w:rPr>
              <w:t>Anchor Merkle root to Hardhat</w:t>
            </w:r>
          </w:p>
        </w:tc>
        <w:tc>
          <w:tcPr>
            <w:tcW w:type="dxa" w:w="2016"/>
            <w:shd w:fill="F5F8FA"/>
          </w:tcPr>
          <w:p>
            <w:pPr>
              <w:jc w:val="left"/>
            </w:pPr>
            <w:r>
              <w:rPr>
                <w:rFonts w:ascii="Times New Roman" w:hAnsi="Times New Roman"/>
                <w:sz w:val="15"/>
              </w:rPr>
              <w:t>AnchorRegistry.sol commits anchorRoot tx</w:t>
            </w:r>
          </w:p>
        </w:tc>
        <w:tc>
          <w:tcPr>
            <w:tcW w:type="dxa" w:w="2016"/>
            <w:shd w:fill="F5F8FA"/>
          </w:tcPr>
          <w:p>
            <w:pPr>
              <w:jc w:val="left"/>
            </w:pPr>
            <w:r>
              <w:rPr>
                <w:rFonts w:ascii="Times New Roman" w:hAnsi="Times New Roman"/>
                <w:sz w:val="15"/>
              </w:rPr>
              <w:t>EVM transaction mined with block receipt</w:t>
            </w:r>
          </w:p>
        </w:tc>
        <w:tc>
          <w:tcPr>
            <w:tcW w:type="dxa" w:w="864"/>
            <w:shd w:fill="F5F8FA"/>
          </w:tcPr>
          <w:p>
            <w:pPr>
              <w:jc w:val="center"/>
            </w:pPr>
            <w:r>
              <w:rPr>
                <w:rFonts w:ascii="Times New Roman" w:hAnsi="Times New Roman"/>
                <w:b/>
                <w:color w:val="27AE60"/>
                <w:sz w:val="15"/>
              </w:rPr>
              <w:t>PASS</w:t>
            </w:r>
          </w:p>
        </w:tc>
        <w:tc>
          <w:tcPr>
            <w:tcW w:type="dxa" w:w="1584"/>
            <w:shd w:fill="F5F8FA"/>
          </w:tcPr>
          <w:p>
            <w:pPr>
              <w:jc w:val="left"/>
            </w:pPr>
            <w:r>
              <w:rPr>
                <w:rFonts w:ascii="Times New Roman" w:hAnsi="Times New Roman"/>
                <w:sz w:val="15"/>
              </w:rPr>
              <w:t>On-chain immutability</w:t>
            </w:r>
          </w:p>
        </w:tc>
      </w:tr>
      <w:tr>
        <w:tc>
          <w:tcPr>
            <w:tcW w:type="dxa" w:w="864"/>
            <w:shd w:fill="FFFFFF"/>
          </w:tcPr>
          <w:p>
            <w:pPr>
              <w:jc w:val="center"/>
            </w:pPr>
            <w:r>
              <w:rPr>
                <w:rFonts w:ascii="Times New Roman" w:hAnsi="Times New Roman"/>
                <w:sz w:val="15"/>
              </w:rPr>
              <w:t>TC-12</w:t>
            </w:r>
          </w:p>
        </w:tc>
        <w:tc>
          <w:tcPr>
            <w:tcW w:type="dxa" w:w="1584"/>
            <w:shd w:fill="FFFFFF"/>
          </w:tcPr>
          <w:p>
            <w:pPr>
              <w:jc w:val="left"/>
            </w:pPr>
            <w:r>
              <w:rPr>
                <w:rFonts w:ascii="Times New Roman" w:hAnsi="Times New Roman"/>
                <w:sz w:val="15"/>
              </w:rPr>
              <w:t>System (Audit)</w:t>
            </w:r>
          </w:p>
        </w:tc>
        <w:tc>
          <w:tcPr>
            <w:tcW w:type="dxa" w:w="1872"/>
            <w:shd w:fill="FFFFFF"/>
          </w:tcPr>
          <w:p>
            <w:pPr>
              <w:jc w:val="left"/>
            </w:pPr>
            <w:r>
              <w:rPr>
                <w:rFonts w:ascii="Times New Roman" w:hAnsi="Times New Roman"/>
                <w:sz w:val="15"/>
              </w:rPr>
              <w:t>Mutate 1 byte in anchored audit log</w:t>
            </w:r>
          </w:p>
        </w:tc>
        <w:tc>
          <w:tcPr>
            <w:tcW w:type="dxa" w:w="2016"/>
            <w:shd w:fill="FFFFFF"/>
          </w:tcPr>
          <w:p>
            <w:pPr>
              <w:jc w:val="left"/>
            </w:pPr>
            <w:r>
              <w:rPr>
                <w:rFonts w:ascii="Times New Roman" w:hAnsi="Times New Roman"/>
                <w:sz w:val="15"/>
              </w:rPr>
              <w:t>Merkle proof verification must fail</w:t>
            </w:r>
          </w:p>
        </w:tc>
        <w:tc>
          <w:tcPr>
            <w:tcW w:type="dxa" w:w="2016"/>
            <w:shd w:fill="FFFFFF"/>
          </w:tcPr>
          <w:p>
            <w:pPr>
              <w:jc w:val="left"/>
            </w:pPr>
            <w:r>
              <w:rPr>
                <w:rFonts w:ascii="Times New Roman" w:hAnsi="Times New Roman"/>
                <w:sz w:val="15"/>
              </w:rPr>
              <w:t>Cryptographic mismatch detected &amp; logged</w:t>
            </w:r>
          </w:p>
        </w:tc>
        <w:tc>
          <w:tcPr>
            <w:tcW w:type="dxa" w:w="864"/>
            <w:shd w:fill="FFFFFF"/>
          </w:tcPr>
          <w:p>
            <w:pPr>
              <w:jc w:val="center"/>
            </w:pPr>
            <w:r>
              <w:rPr>
                <w:rFonts w:ascii="Times New Roman" w:hAnsi="Times New Roman"/>
                <w:b/>
                <w:color w:val="27AE60"/>
                <w:sz w:val="15"/>
              </w:rPr>
              <w:t>PASS</w:t>
            </w:r>
          </w:p>
        </w:tc>
        <w:tc>
          <w:tcPr>
            <w:tcW w:type="dxa" w:w="1584"/>
            <w:shd w:fill="FFFFFF"/>
          </w:tcPr>
          <w:p>
            <w:pPr>
              <w:jc w:val="left"/>
            </w:pPr>
            <w:r>
              <w:rPr>
                <w:rFonts w:ascii="Times New Roman" w:hAnsi="Times New Roman"/>
                <w:sz w:val="15"/>
              </w:rPr>
              <w:t>Tamper evidence validated</w:t>
            </w:r>
          </w:p>
        </w:tc>
      </w:tr>
    </w:tbl>
    <w:p>
      <w:pPr>
        <w:spacing w:before="200" w:after="80" w:line="360" w:lineRule="auto"/>
        <w:jc w:val="left"/>
      </w:pPr>
    </w:p>
    <w:p>
      <w:pPr>
        <w:spacing w:before="320" w:after="80" w:line="360" w:lineRule="auto"/>
        <w:jc w:val="left"/>
      </w:pPr>
      <w:r>
        <w:rPr>
          <w:rFonts w:ascii="Times New Roman" w:hAnsi="Times New Roman"/>
          <w:b/>
          <w:i w:val="0"/>
          <w:color w:val="102C57"/>
          <w:sz w:val="28"/>
        </w:rPr>
        <w:t>7.2 Empirical ML Benchmark Performance Analysis</w:t>
      </w:r>
    </w:p>
    <w:p>
      <w:pPr>
        <w:spacing w:before="0" w:after="120" w:line="360" w:lineRule="auto"/>
        <w:jc w:val="both"/>
      </w:pPr>
      <w:r>
        <w:rPr>
          <w:rFonts w:ascii="Times New Roman" w:hAnsi="Times New Roman"/>
          <w:b w:val="0"/>
          <w:i w:val="0"/>
          <w:color w:val="000000"/>
          <w:sz w:val="24"/>
        </w:rPr>
        <w:t>To rigorously evaluate machine learning threat classification, five distinct models were trained and benchmarked on a verified dataset of 1,034 breach records sourced from HaveIBeenPwned. The models evaluated were a Naive Zero-Rule Baseline, BiLSTM-RNN, Transformer Encoder, 1D Convolutional Neural Network (CNN), and Gradient-Boosted Decision Trees (XGBoost).</w:t>
      </w:r>
    </w:p>
    <w:tbl>
      <w:tblPr>
        <w:tblW w:type="auto" w:w="0"/>
        <w:jc w:val="center"/>
        <w:tblLook w:firstColumn="1" w:firstRow="1" w:lastColumn="0" w:lastRow="0" w:noHBand="0" w:noVBand="1" w:val="04A0"/>
      </w:tblPr>
      <w:tblGrid>
        <w:gridCol w:w="1734"/>
        <w:gridCol w:w="1734"/>
        <w:gridCol w:w="1734"/>
        <w:gridCol w:w="1734"/>
        <w:gridCol w:w="1734"/>
      </w:tblGrid>
      <w:tr>
        <w:tc>
          <w:tcPr>
            <w:tcW w:type="dxa" w:w="2880"/>
            <w:shd w:fill="102C57"/>
          </w:tcPr>
          <w:p>
            <w:pPr>
              <w:jc w:val="center"/>
            </w:pPr>
            <w:r>
              <w:rPr>
                <w:rFonts w:ascii="Times New Roman" w:hAnsi="Times New Roman"/>
                <w:b/>
                <w:color w:val="FFFFFF"/>
                <w:sz w:val="18"/>
              </w:rPr>
              <w:t>Architecture / Model</w:t>
            </w:r>
          </w:p>
        </w:tc>
        <w:tc>
          <w:tcPr>
            <w:tcW w:type="dxa" w:w="1728"/>
            <w:shd w:fill="102C57"/>
          </w:tcPr>
          <w:p>
            <w:pPr>
              <w:jc w:val="center"/>
            </w:pPr>
            <w:r>
              <w:rPr>
                <w:rFonts w:ascii="Times New Roman" w:hAnsi="Times New Roman"/>
                <w:b/>
                <w:color w:val="FFFFFF"/>
                <w:sz w:val="18"/>
              </w:rPr>
              <w:t>Accuracy (%)</w:t>
            </w:r>
          </w:p>
        </w:tc>
        <w:tc>
          <w:tcPr>
            <w:tcW w:type="dxa" w:w="1728"/>
            <w:shd w:fill="102C57"/>
          </w:tcPr>
          <w:p>
            <w:pPr>
              <w:jc w:val="center"/>
            </w:pPr>
            <w:r>
              <w:rPr>
                <w:rFonts w:ascii="Times New Roman" w:hAnsi="Times New Roman"/>
                <w:b/>
                <w:color w:val="FFFFFF"/>
                <w:sz w:val="18"/>
              </w:rPr>
              <w:t>Macro F1 (%)</w:t>
            </w:r>
          </w:p>
        </w:tc>
        <w:tc>
          <w:tcPr>
            <w:tcW w:type="dxa" w:w="1728"/>
            <w:shd w:fill="102C57"/>
          </w:tcPr>
          <w:p>
            <w:pPr>
              <w:jc w:val="center"/>
            </w:pPr>
            <w:r>
              <w:rPr>
                <w:rFonts w:ascii="Times New Roman" w:hAnsi="Times New Roman"/>
                <w:b/>
                <w:color w:val="FFFFFF"/>
                <w:sz w:val="18"/>
              </w:rPr>
              <w:t>Weighted F1 (%)</w:t>
            </w:r>
          </w:p>
        </w:tc>
        <w:tc>
          <w:tcPr>
            <w:tcW w:type="dxa" w:w="2016"/>
            <w:shd w:fill="102C57"/>
          </w:tcPr>
          <w:p>
            <w:pPr>
              <w:jc w:val="center"/>
            </w:pPr>
            <w:r>
              <w:rPr>
                <w:rFonts w:ascii="Times New Roman" w:hAnsi="Times New Roman"/>
                <w:b/>
                <w:color w:val="FFFFFF"/>
                <w:sz w:val="18"/>
              </w:rPr>
              <w:t>Inference Latency</w:t>
            </w:r>
          </w:p>
        </w:tc>
      </w:tr>
      <w:tr>
        <w:tc>
          <w:tcPr>
            <w:tcW w:type="dxa" w:w="2880"/>
            <w:shd w:fill="F9FAFB"/>
          </w:tcPr>
          <w:p>
            <w:pPr>
              <w:jc w:val="left"/>
            </w:pPr>
            <w:r>
              <w:rPr>
                <w:rFonts w:ascii="Times New Roman" w:hAnsi="Times New Roman"/>
                <w:sz w:val="17"/>
              </w:rPr>
              <w:t>Naive Majority Baseline</w:t>
            </w:r>
          </w:p>
        </w:tc>
        <w:tc>
          <w:tcPr>
            <w:tcW w:type="dxa" w:w="1728"/>
            <w:shd w:fill="F9FAFB"/>
          </w:tcPr>
          <w:p>
            <w:pPr>
              <w:jc w:val="center"/>
            </w:pPr>
            <w:r>
              <w:rPr>
                <w:rFonts w:ascii="Times New Roman" w:hAnsi="Times New Roman"/>
                <w:sz w:val="17"/>
              </w:rPr>
              <w:t>47.1%</w:t>
            </w:r>
          </w:p>
        </w:tc>
        <w:tc>
          <w:tcPr>
            <w:tcW w:type="dxa" w:w="1728"/>
            <w:shd w:fill="F9FAFB"/>
          </w:tcPr>
          <w:p>
            <w:pPr>
              <w:jc w:val="center"/>
            </w:pPr>
            <w:r>
              <w:rPr>
                <w:rFonts w:ascii="Times New Roman" w:hAnsi="Times New Roman"/>
                <w:sz w:val="17"/>
              </w:rPr>
              <w:t>16.0%</w:t>
            </w:r>
          </w:p>
        </w:tc>
        <w:tc>
          <w:tcPr>
            <w:tcW w:type="dxa" w:w="1728"/>
            <w:shd w:fill="F9FAFB"/>
          </w:tcPr>
          <w:p>
            <w:pPr>
              <w:jc w:val="center"/>
            </w:pPr>
            <w:r>
              <w:rPr>
                <w:rFonts w:ascii="Times New Roman" w:hAnsi="Times New Roman"/>
                <w:sz w:val="17"/>
              </w:rPr>
              <w:t>30.2%</w:t>
            </w:r>
          </w:p>
        </w:tc>
        <w:tc>
          <w:tcPr>
            <w:tcW w:type="dxa" w:w="2016"/>
            <w:shd w:fill="F9FAFB"/>
          </w:tcPr>
          <w:p>
            <w:pPr>
              <w:jc w:val="center"/>
            </w:pPr>
            <w:r>
              <w:rPr>
                <w:rFonts w:ascii="Times New Roman" w:hAnsi="Times New Roman"/>
                <w:sz w:val="17"/>
              </w:rPr>
              <w:t>&lt; 1 ms</w:t>
            </w:r>
          </w:p>
        </w:tc>
      </w:tr>
      <w:tr>
        <w:tc>
          <w:tcPr>
            <w:tcW w:type="dxa" w:w="2880"/>
            <w:shd w:fill="FFFFFF"/>
          </w:tcPr>
          <w:p>
            <w:pPr>
              <w:jc w:val="left"/>
            </w:pPr>
            <w:r>
              <w:rPr>
                <w:rFonts w:ascii="Times New Roman" w:hAnsi="Times New Roman"/>
                <w:sz w:val="17"/>
              </w:rPr>
              <w:t>BiLSTM-RNN</w:t>
            </w:r>
          </w:p>
        </w:tc>
        <w:tc>
          <w:tcPr>
            <w:tcW w:type="dxa" w:w="1728"/>
            <w:shd w:fill="FFFFFF"/>
          </w:tcPr>
          <w:p>
            <w:pPr>
              <w:jc w:val="center"/>
            </w:pPr>
            <w:r>
              <w:rPr>
                <w:rFonts w:ascii="Times New Roman" w:hAnsi="Times New Roman"/>
                <w:sz w:val="17"/>
              </w:rPr>
              <w:t>44.6%</w:t>
            </w:r>
          </w:p>
        </w:tc>
        <w:tc>
          <w:tcPr>
            <w:tcW w:type="dxa" w:w="1728"/>
            <w:shd w:fill="FFFFFF"/>
          </w:tcPr>
          <w:p>
            <w:pPr>
              <w:jc w:val="center"/>
            </w:pPr>
            <w:r>
              <w:rPr>
                <w:rFonts w:ascii="Times New Roman" w:hAnsi="Times New Roman"/>
                <w:sz w:val="17"/>
              </w:rPr>
              <w:t>34.0%</w:t>
            </w:r>
          </w:p>
        </w:tc>
        <w:tc>
          <w:tcPr>
            <w:tcW w:type="dxa" w:w="1728"/>
            <w:shd w:fill="FFFFFF"/>
          </w:tcPr>
          <w:p>
            <w:pPr>
              <w:jc w:val="center"/>
            </w:pPr>
            <w:r>
              <w:rPr>
                <w:rFonts w:ascii="Times New Roman" w:hAnsi="Times New Roman"/>
                <w:sz w:val="17"/>
              </w:rPr>
              <w:t>46.8%</w:t>
            </w:r>
          </w:p>
        </w:tc>
        <w:tc>
          <w:tcPr>
            <w:tcW w:type="dxa" w:w="2016"/>
            <w:shd w:fill="FFFFFF"/>
          </w:tcPr>
          <w:p>
            <w:pPr>
              <w:jc w:val="center"/>
            </w:pPr>
            <w:r>
              <w:rPr>
                <w:rFonts w:ascii="Times New Roman" w:hAnsi="Times New Roman"/>
                <w:sz w:val="17"/>
              </w:rPr>
              <w:t>18.4 ms</w:t>
            </w:r>
          </w:p>
        </w:tc>
      </w:tr>
      <w:tr>
        <w:tc>
          <w:tcPr>
            <w:tcW w:type="dxa" w:w="2880"/>
            <w:shd w:fill="F9FAFB"/>
          </w:tcPr>
          <w:p>
            <w:pPr>
              <w:jc w:val="left"/>
            </w:pPr>
            <w:r>
              <w:rPr>
                <w:rFonts w:ascii="Times New Roman" w:hAnsi="Times New Roman"/>
                <w:sz w:val="17"/>
              </w:rPr>
              <w:t>Transformer Encoder</w:t>
            </w:r>
          </w:p>
        </w:tc>
        <w:tc>
          <w:tcPr>
            <w:tcW w:type="dxa" w:w="1728"/>
            <w:shd w:fill="F9FAFB"/>
          </w:tcPr>
          <w:p>
            <w:pPr>
              <w:jc w:val="center"/>
            </w:pPr>
            <w:r>
              <w:rPr>
                <w:rFonts w:ascii="Times New Roman" w:hAnsi="Times New Roman"/>
                <w:sz w:val="17"/>
              </w:rPr>
              <w:t>48.4%</w:t>
            </w:r>
          </w:p>
        </w:tc>
        <w:tc>
          <w:tcPr>
            <w:tcW w:type="dxa" w:w="1728"/>
            <w:shd w:fill="F9FAFB"/>
          </w:tcPr>
          <w:p>
            <w:pPr>
              <w:jc w:val="center"/>
            </w:pPr>
            <w:r>
              <w:rPr>
                <w:rFonts w:ascii="Times New Roman" w:hAnsi="Times New Roman"/>
                <w:sz w:val="17"/>
              </w:rPr>
              <w:t>42.9%</w:t>
            </w:r>
          </w:p>
        </w:tc>
        <w:tc>
          <w:tcPr>
            <w:tcW w:type="dxa" w:w="1728"/>
            <w:shd w:fill="F9FAFB"/>
          </w:tcPr>
          <w:p>
            <w:pPr>
              <w:jc w:val="center"/>
            </w:pPr>
            <w:r>
              <w:rPr>
                <w:rFonts w:ascii="Times New Roman" w:hAnsi="Times New Roman"/>
                <w:sz w:val="17"/>
              </w:rPr>
              <w:t>50.8%</w:t>
            </w:r>
          </w:p>
        </w:tc>
        <w:tc>
          <w:tcPr>
            <w:tcW w:type="dxa" w:w="2016"/>
            <w:shd w:fill="F9FAFB"/>
          </w:tcPr>
          <w:p>
            <w:pPr>
              <w:jc w:val="center"/>
            </w:pPr>
            <w:r>
              <w:rPr>
                <w:rFonts w:ascii="Times New Roman" w:hAnsi="Times New Roman"/>
                <w:sz w:val="17"/>
              </w:rPr>
              <w:t>24.6 ms</w:t>
            </w:r>
          </w:p>
        </w:tc>
      </w:tr>
      <w:tr>
        <w:tc>
          <w:tcPr>
            <w:tcW w:type="dxa" w:w="2880"/>
            <w:shd w:fill="FFFFFF"/>
          </w:tcPr>
          <w:p>
            <w:pPr>
              <w:jc w:val="left"/>
            </w:pPr>
            <w:r>
              <w:rPr>
                <w:rFonts w:ascii="Times New Roman" w:hAnsi="Times New Roman"/>
                <w:sz w:val="17"/>
              </w:rPr>
              <w:t>1D-CNN</w:t>
            </w:r>
          </w:p>
        </w:tc>
        <w:tc>
          <w:tcPr>
            <w:tcW w:type="dxa" w:w="1728"/>
            <w:shd w:fill="FFFFFF"/>
          </w:tcPr>
          <w:p>
            <w:pPr>
              <w:jc w:val="center"/>
            </w:pPr>
            <w:r>
              <w:rPr>
                <w:rFonts w:ascii="Times New Roman" w:hAnsi="Times New Roman"/>
                <w:sz w:val="17"/>
              </w:rPr>
              <w:t>66.2%</w:t>
            </w:r>
          </w:p>
        </w:tc>
        <w:tc>
          <w:tcPr>
            <w:tcW w:type="dxa" w:w="1728"/>
            <w:shd w:fill="FFFFFF"/>
          </w:tcPr>
          <w:p>
            <w:pPr>
              <w:jc w:val="center"/>
            </w:pPr>
            <w:r>
              <w:rPr>
                <w:rFonts w:ascii="Times New Roman" w:hAnsi="Times New Roman"/>
                <w:sz w:val="17"/>
              </w:rPr>
              <w:t>57.2%</w:t>
            </w:r>
          </w:p>
        </w:tc>
        <w:tc>
          <w:tcPr>
            <w:tcW w:type="dxa" w:w="1728"/>
            <w:shd w:fill="FFFFFF"/>
          </w:tcPr>
          <w:p>
            <w:pPr>
              <w:jc w:val="center"/>
            </w:pPr>
            <w:r>
              <w:rPr>
                <w:rFonts w:ascii="Times New Roman" w:hAnsi="Times New Roman"/>
                <w:sz w:val="17"/>
              </w:rPr>
              <w:t>65.7%</w:t>
            </w:r>
          </w:p>
        </w:tc>
        <w:tc>
          <w:tcPr>
            <w:tcW w:type="dxa" w:w="2016"/>
            <w:shd w:fill="FFFFFF"/>
          </w:tcPr>
          <w:p>
            <w:pPr>
              <w:jc w:val="center"/>
            </w:pPr>
            <w:r>
              <w:rPr>
                <w:rFonts w:ascii="Times New Roman" w:hAnsi="Times New Roman"/>
                <w:sz w:val="17"/>
              </w:rPr>
              <w:t>7.2 ms</w:t>
            </w:r>
          </w:p>
        </w:tc>
      </w:tr>
      <w:tr>
        <w:tc>
          <w:tcPr>
            <w:tcW w:type="dxa" w:w="2880"/>
            <w:shd w:fill="EBF5FB"/>
          </w:tcPr>
          <w:p>
            <w:pPr>
              <w:jc w:val="left"/>
            </w:pPr>
            <w:r>
              <w:rPr>
                <w:rFonts w:ascii="Times New Roman" w:hAnsi="Times New Roman"/>
                <w:b/>
                <w:sz w:val="17"/>
              </w:rPr>
              <w:t>XGBoost (BreachShield)</w:t>
            </w:r>
          </w:p>
        </w:tc>
        <w:tc>
          <w:tcPr>
            <w:tcW w:type="dxa" w:w="1728"/>
            <w:shd w:fill="EBF5FB"/>
          </w:tcPr>
          <w:p>
            <w:pPr>
              <w:jc w:val="center"/>
            </w:pPr>
            <w:r>
              <w:rPr>
                <w:rFonts w:ascii="Times New Roman" w:hAnsi="Times New Roman"/>
                <w:b/>
                <w:color w:val="102C57"/>
                <w:sz w:val="17"/>
              </w:rPr>
              <w:t>89.2%</w:t>
            </w:r>
          </w:p>
        </w:tc>
        <w:tc>
          <w:tcPr>
            <w:tcW w:type="dxa" w:w="1728"/>
            <w:shd w:fill="EBF5FB"/>
          </w:tcPr>
          <w:p>
            <w:pPr>
              <w:jc w:val="center"/>
            </w:pPr>
            <w:r>
              <w:rPr>
                <w:rFonts w:ascii="Times New Roman" w:hAnsi="Times New Roman"/>
                <w:b/>
                <w:color w:val="102C57"/>
                <w:sz w:val="17"/>
              </w:rPr>
              <w:t>83.2%</w:t>
            </w:r>
          </w:p>
        </w:tc>
        <w:tc>
          <w:tcPr>
            <w:tcW w:type="dxa" w:w="1728"/>
            <w:shd w:fill="EBF5FB"/>
          </w:tcPr>
          <w:p>
            <w:pPr>
              <w:jc w:val="center"/>
            </w:pPr>
            <w:r>
              <w:rPr>
                <w:rFonts w:ascii="Times New Roman" w:hAnsi="Times New Roman"/>
                <w:b/>
                <w:color w:val="102C57"/>
                <w:sz w:val="17"/>
              </w:rPr>
              <w:t>89.4%</w:t>
            </w:r>
          </w:p>
        </w:tc>
        <w:tc>
          <w:tcPr>
            <w:tcW w:type="dxa" w:w="2016"/>
            <w:shd w:fill="EBF5FB"/>
          </w:tcPr>
          <w:p>
            <w:pPr>
              <w:jc w:val="center"/>
            </w:pPr>
            <w:r>
              <w:rPr>
                <w:rFonts w:ascii="Times New Roman" w:hAnsi="Times New Roman"/>
                <w:b/>
                <w:color w:val="102C57"/>
                <w:sz w:val="17"/>
              </w:rPr>
              <w:t>1.4 ms</w:t>
            </w:r>
          </w:p>
        </w:tc>
      </w:tr>
    </w:tbl>
    <w:p>
      <w:pPr>
        <w:spacing w:before="160" w:after="80" w:line="360" w:lineRule="auto"/>
        <w:jc w:val="left"/>
      </w:pPr>
    </w:p>
    <w:p>
      <w:pPr>
        <w:spacing w:before="160" w:after="80"/>
        <w:jc w:val="center"/>
      </w:pPr>
      <w:r>
        <w:drawing>
          <wp:inline xmlns:a="http://schemas.openxmlformats.org/drawingml/2006/main" xmlns:pic="http://schemas.openxmlformats.org/drawingml/2006/picture">
            <wp:extent cx="5303520" cy="2963732"/>
            <wp:docPr id="6" name="Picture 6"/>
            <wp:cNvGraphicFramePr>
              <a:graphicFrameLocks noChangeAspect="1"/>
            </wp:cNvGraphicFramePr>
            <a:graphic>
              <a:graphicData uri="http://schemas.openxmlformats.org/drawingml/2006/picture">
                <pic:pic>
                  <pic:nvPicPr>
                    <pic:cNvPr id="0" name="fig_model_comparison.png"/>
                    <pic:cNvPicPr/>
                  </pic:nvPicPr>
                  <pic:blipFill>
                    <a:blip r:embed="rId14"/>
                    <a:stretch>
                      <a:fillRect/>
                    </a:stretch>
                  </pic:blipFill>
                  <pic:spPr>
                    <a:xfrm>
                      <a:off x="0" y="0"/>
                      <a:ext cx="5303520" cy="2963732"/>
                    </a:xfrm>
                    <a:prstGeom prst="rect"/>
                  </pic:spPr>
                </pic:pic>
              </a:graphicData>
            </a:graphic>
          </wp:inline>
        </w:drawing>
      </w:r>
    </w:p>
    <w:p>
      <w:pPr>
        <w:spacing w:before="40" w:after="240"/>
        <w:jc w:val="center"/>
      </w:pPr>
      <w:r>
        <w:rPr>
          <w:rFonts w:ascii="Times New Roman" w:hAnsi="Times New Roman"/>
          <w:b/>
          <w:i/>
          <w:color w:val="3C3C3C"/>
          <w:sz w:val="20"/>
        </w:rPr>
        <w:t>Fig. 7.1: Comparative Benchmark Across Classification Architectures</w:t>
      </w:r>
    </w:p>
    <w:p>
      <w:pPr>
        <w:spacing w:before="320" w:after="80" w:line="360" w:lineRule="auto"/>
        <w:jc w:val="left"/>
      </w:pPr>
      <w:r>
        <w:rPr>
          <w:rFonts w:ascii="Times New Roman" w:hAnsi="Times New Roman"/>
          <w:b/>
          <w:i w:val="0"/>
          <w:color w:val="102C57"/>
          <w:sz w:val="28"/>
        </w:rPr>
        <w:t>7.3 Per-Class Severity Classification Evaluation</w:t>
      </w:r>
    </w:p>
    <w:p>
      <w:pPr>
        <w:spacing w:before="0" w:after="120" w:line="360" w:lineRule="auto"/>
        <w:jc w:val="both"/>
      </w:pPr>
      <w:r>
        <w:rPr>
          <w:rFonts w:ascii="Times New Roman" w:hAnsi="Times New Roman"/>
          <w:b w:val="0"/>
          <w:i w:val="0"/>
          <w:color w:val="000000"/>
          <w:sz w:val="24"/>
        </w:rPr>
        <w:t>Because cybersecurity threat datasets are heavily imbalanced toward common lower-severity incidents, analyzing per-class F1-scores is crucial to prevent biased conclusions. The per-class evaluation for the XGBoost model demonstrates robust detection across all tiers:</w:t>
      </w:r>
    </w:p>
    <w:tbl>
      <w:tblPr>
        <w:tblW w:type="auto" w:w="0"/>
        <w:jc w:val="center"/>
        <w:tblLook w:firstColumn="1" w:firstRow="1" w:lastColumn="0" w:lastRow="0" w:noHBand="0" w:noVBand="1" w:val="04A0"/>
      </w:tblPr>
      <w:tblGrid>
        <w:gridCol w:w="1734"/>
        <w:gridCol w:w="1734"/>
        <w:gridCol w:w="1734"/>
        <w:gridCol w:w="1734"/>
        <w:gridCol w:w="1734"/>
      </w:tblGrid>
      <w:tr>
        <w:tc>
          <w:tcPr>
            <w:tcW w:type="dxa" w:w="2592"/>
            <w:shd w:fill="102C57"/>
          </w:tcPr>
          <w:p>
            <w:pPr>
              <w:jc w:val="center"/>
            </w:pPr>
            <w:r>
              <w:rPr>
                <w:rFonts w:ascii="Times New Roman" w:hAnsi="Times New Roman"/>
                <w:b/>
                <w:color w:val="FFFFFF"/>
                <w:sz w:val="18"/>
              </w:rPr>
              <w:t>Severity Tier</w:t>
            </w:r>
          </w:p>
        </w:tc>
        <w:tc>
          <w:tcPr>
            <w:tcW w:type="dxa" w:w="1728"/>
            <w:shd w:fill="102C57"/>
          </w:tcPr>
          <w:p>
            <w:pPr>
              <w:jc w:val="center"/>
            </w:pPr>
            <w:r>
              <w:rPr>
                <w:rFonts w:ascii="Times New Roman" w:hAnsi="Times New Roman"/>
                <w:b/>
                <w:color w:val="FFFFFF"/>
                <w:sz w:val="18"/>
              </w:rPr>
              <w:t>Precision (%)</w:t>
            </w:r>
          </w:p>
        </w:tc>
        <w:tc>
          <w:tcPr>
            <w:tcW w:type="dxa" w:w="1728"/>
            <w:shd w:fill="102C57"/>
          </w:tcPr>
          <w:p>
            <w:pPr>
              <w:jc w:val="center"/>
            </w:pPr>
            <w:r>
              <w:rPr>
                <w:rFonts w:ascii="Times New Roman" w:hAnsi="Times New Roman"/>
                <w:b/>
                <w:color w:val="FFFFFF"/>
                <w:sz w:val="18"/>
              </w:rPr>
              <w:t>Recall (%)</w:t>
            </w:r>
          </w:p>
        </w:tc>
        <w:tc>
          <w:tcPr>
            <w:tcW w:type="dxa" w:w="1728"/>
            <w:shd w:fill="102C57"/>
          </w:tcPr>
          <w:p>
            <w:pPr>
              <w:jc w:val="center"/>
            </w:pPr>
            <w:r>
              <w:rPr>
                <w:rFonts w:ascii="Times New Roman" w:hAnsi="Times New Roman"/>
                <w:b/>
                <w:color w:val="FFFFFF"/>
                <w:sz w:val="18"/>
              </w:rPr>
              <w:t>F1-Score (%)</w:t>
            </w:r>
          </w:p>
        </w:tc>
        <w:tc>
          <w:tcPr>
            <w:tcW w:type="dxa" w:w="2304"/>
            <w:shd w:fill="102C57"/>
          </w:tcPr>
          <w:p>
            <w:pPr>
              <w:jc w:val="center"/>
            </w:pPr>
            <w:r>
              <w:rPr>
                <w:rFonts w:ascii="Times New Roman" w:hAnsi="Times New Roman"/>
                <w:b/>
                <w:color w:val="FFFFFF"/>
                <w:sz w:val="18"/>
              </w:rPr>
              <w:t>Support (Records)</w:t>
            </w:r>
          </w:p>
        </w:tc>
      </w:tr>
      <w:tr>
        <w:tc>
          <w:tcPr>
            <w:tcW w:type="dxa" w:w="2592"/>
            <w:shd w:fill="F9FAFB"/>
          </w:tcPr>
          <w:p>
            <w:pPr>
              <w:jc w:val="left"/>
            </w:pPr>
            <w:r>
              <w:rPr>
                <w:rFonts w:ascii="Times New Roman" w:hAnsi="Times New Roman"/>
                <w:sz w:val="17"/>
              </w:rPr>
              <w:t>LOW</w:t>
            </w:r>
          </w:p>
        </w:tc>
        <w:tc>
          <w:tcPr>
            <w:tcW w:type="dxa" w:w="1728"/>
            <w:shd w:fill="F9FAFB"/>
          </w:tcPr>
          <w:p>
            <w:pPr>
              <w:jc w:val="center"/>
            </w:pPr>
            <w:r>
              <w:rPr>
                <w:rFonts w:ascii="Times New Roman" w:hAnsi="Times New Roman"/>
                <w:sz w:val="17"/>
              </w:rPr>
              <w:t>78.3%</w:t>
            </w:r>
          </w:p>
        </w:tc>
        <w:tc>
          <w:tcPr>
            <w:tcW w:type="dxa" w:w="1728"/>
            <w:shd w:fill="F9FAFB"/>
          </w:tcPr>
          <w:p>
            <w:pPr>
              <w:jc w:val="center"/>
            </w:pPr>
            <w:r>
              <w:rPr>
                <w:rFonts w:ascii="Times New Roman" w:hAnsi="Times New Roman"/>
                <w:sz w:val="17"/>
              </w:rPr>
              <w:t>66.7%</w:t>
            </w:r>
          </w:p>
        </w:tc>
        <w:tc>
          <w:tcPr>
            <w:tcW w:type="dxa" w:w="1728"/>
            <w:shd w:fill="F9FAFB"/>
          </w:tcPr>
          <w:p>
            <w:pPr>
              <w:jc w:val="center"/>
            </w:pPr>
            <w:r>
              <w:rPr>
                <w:rFonts w:ascii="Times New Roman" w:hAnsi="Times New Roman"/>
                <w:sz w:val="17"/>
              </w:rPr>
              <w:t>72.0%</w:t>
            </w:r>
          </w:p>
        </w:tc>
        <w:tc>
          <w:tcPr>
            <w:tcW w:type="dxa" w:w="2304"/>
            <w:shd w:fill="F9FAFB"/>
          </w:tcPr>
          <w:p>
            <w:pPr>
              <w:jc w:val="center"/>
            </w:pPr>
            <w:r>
              <w:rPr>
                <w:rFonts w:ascii="Times New Roman" w:hAnsi="Times New Roman"/>
                <w:sz w:val="17"/>
              </w:rPr>
              <w:t>54</w:t>
            </w:r>
          </w:p>
        </w:tc>
      </w:tr>
      <w:tr>
        <w:tc>
          <w:tcPr>
            <w:tcW w:type="dxa" w:w="2592"/>
            <w:shd w:fill="FFFFFF"/>
          </w:tcPr>
          <w:p>
            <w:pPr>
              <w:jc w:val="left"/>
            </w:pPr>
            <w:r>
              <w:rPr>
                <w:rFonts w:ascii="Times New Roman" w:hAnsi="Times New Roman"/>
                <w:sz w:val="17"/>
              </w:rPr>
              <w:t>MEDIUM</w:t>
            </w:r>
          </w:p>
        </w:tc>
        <w:tc>
          <w:tcPr>
            <w:tcW w:type="dxa" w:w="1728"/>
            <w:shd w:fill="FFFFFF"/>
          </w:tcPr>
          <w:p>
            <w:pPr>
              <w:jc w:val="center"/>
            </w:pPr>
            <w:r>
              <w:rPr>
                <w:rFonts w:ascii="Times New Roman" w:hAnsi="Times New Roman"/>
                <w:sz w:val="17"/>
              </w:rPr>
              <w:t>89.5%</w:t>
            </w:r>
          </w:p>
        </w:tc>
        <w:tc>
          <w:tcPr>
            <w:tcW w:type="dxa" w:w="1728"/>
            <w:shd w:fill="FFFFFF"/>
          </w:tcPr>
          <w:p>
            <w:pPr>
              <w:jc w:val="center"/>
            </w:pPr>
            <w:r>
              <w:rPr>
                <w:rFonts w:ascii="Times New Roman" w:hAnsi="Times New Roman"/>
                <w:sz w:val="17"/>
              </w:rPr>
              <w:t>93.2%</w:t>
            </w:r>
          </w:p>
        </w:tc>
        <w:tc>
          <w:tcPr>
            <w:tcW w:type="dxa" w:w="1728"/>
            <w:shd w:fill="FFFFFF"/>
          </w:tcPr>
          <w:p>
            <w:pPr>
              <w:jc w:val="center"/>
            </w:pPr>
            <w:r>
              <w:rPr>
                <w:rFonts w:ascii="Times New Roman" w:hAnsi="Times New Roman"/>
                <w:sz w:val="17"/>
              </w:rPr>
              <w:t>91.3%</w:t>
            </w:r>
          </w:p>
        </w:tc>
        <w:tc>
          <w:tcPr>
            <w:tcW w:type="dxa" w:w="2304"/>
            <w:shd w:fill="FFFFFF"/>
          </w:tcPr>
          <w:p>
            <w:pPr>
              <w:jc w:val="center"/>
            </w:pPr>
            <w:r>
              <w:rPr>
                <w:rFonts w:ascii="Times New Roman" w:hAnsi="Times New Roman"/>
                <w:sz w:val="17"/>
              </w:rPr>
              <w:t>98</w:t>
            </w:r>
          </w:p>
        </w:tc>
      </w:tr>
      <w:tr>
        <w:tc>
          <w:tcPr>
            <w:tcW w:type="dxa" w:w="2592"/>
            <w:shd w:fill="F9FAFB"/>
          </w:tcPr>
          <w:p>
            <w:pPr>
              <w:jc w:val="left"/>
            </w:pPr>
            <w:r>
              <w:rPr>
                <w:rFonts w:ascii="Times New Roman" w:hAnsi="Times New Roman"/>
                <w:sz w:val="17"/>
              </w:rPr>
              <w:t>HIGH</w:t>
            </w:r>
          </w:p>
        </w:tc>
        <w:tc>
          <w:tcPr>
            <w:tcW w:type="dxa" w:w="1728"/>
            <w:shd w:fill="F9FAFB"/>
          </w:tcPr>
          <w:p>
            <w:pPr>
              <w:jc w:val="center"/>
            </w:pPr>
            <w:r>
              <w:rPr>
                <w:rFonts w:ascii="Times New Roman" w:hAnsi="Times New Roman"/>
                <w:sz w:val="17"/>
              </w:rPr>
              <w:t>92.4%</w:t>
            </w:r>
          </w:p>
        </w:tc>
        <w:tc>
          <w:tcPr>
            <w:tcW w:type="dxa" w:w="1728"/>
            <w:shd w:fill="F9FAFB"/>
          </w:tcPr>
          <w:p>
            <w:pPr>
              <w:jc w:val="center"/>
            </w:pPr>
            <w:r>
              <w:rPr>
                <w:rFonts w:ascii="Times New Roman" w:hAnsi="Times New Roman"/>
                <w:sz w:val="17"/>
              </w:rPr>
              <w:t>91.2%</w:t>
            </w:r>
          </w:p>
        </w:tc>
        <w:tc>
          <w:tcPr>
            <w:tcW w:type="dxa" w:w="1728"/>
            <w:shd w:fill="F9FAFB"/>
          </w:tcPr>
          <w:p>
            <w:pPr>
              <w:jc w:val="center"/>
            </w:pPr>
            <w:r>
              <w:rPr>
                <w:rFonts w:ascii="Times New Roman" w:hAnsi="Times New Roman"/>
                <w:sz w:val="17"/>
              </w:rPr>
              <w:t>91.8%</w:t>
            </w:r>
          </w:p>
        </w:tc>
        <w:tc>
          <w:tcPr>
            <w:tcW w:type="dxa" w:w="2304"/>
            <w:shd w:fill="F9FAFB"/>
          </w:tcPr>
          <w:p>
            <w:pPr>
              <w:jc w:val="center"/>
            </w:pPr>
            <w:r>
              <w:rPr>
                <w:rFonts w:ascii="Times New Roman" w:hAnsi="Times New Roman"/>
                <w:sz w:val="17"/>
              </w:rPr>
              <w:t>46</w:t>
            </w:r>
          </w:p>
        </w:tc>
      </w:tr>
      <w:tr>
        <w:tc>
          <w:tcPr>
            <w:tcW w:type="dxa" w:w="2592"/>
            <w:shd w:fill="FFFFFF"/>
          </w:tcPr>
          <w:p>
            <w:pPr>
              <w:jc w:val="left"/>
            </w:pPr>
            <w:r>
              <w:rPr>
                <w:rFonts w:ascii="Times New Roman" w:hAnsi="Times New Roman"/>
                <w:sz w:val="17"/>
              </w:rPr>
              <w:t>CRITICAL</w:t>
            </w:r>
          </w:p>
        </w:tc>
        <w:tc>
          <w:tcPr>
            <w:tcW w:type="dxa" w:w="1728"/>
            <w:shd w:fill="FFFFFF"/>
          </w:tcPr>
          <w:p>
            <w:pPr>
              <w:jc w:val="center"/>
            </w:pPr>
            <w:r>
              <w:rPr>
                <w:rFonts w:ascii="Times New Roman" w:hAnsi="Times New Roman"/>
                <w:sz w:val="17"/>
              </w:rPr>
              <w:t>87.5%</w:t>
            </w:r>
          </w:p>
        </w:tc>
        <w:tc>
          <w:tcPr>
            <w:tcW w:type="dxa" w:w="1728"/>
            <w:shd w:fill="FFFFFF"/>
          </w:tcPr>
          <w:p>
            <w:pPr>
              <w:jc w:val="center"/>
            </w:pPr>
            <w:r>
              <w:rPr>
                <w:rFonts w:ascii="Times New Roman" w:hAnsi="Times New Roman"/>
                <w:sz w:val="17"/>
              </w:rPr>
              <w:t>70.0%</w:t>
            </w:r>
          </w:p>
        </w:tc>
        <w:tc>
          <w:tcPr>
            <w:tcW w:type="dxa" w:w="1728"/>
            <w:shd w:fill="FFFFFF"/>
          </w:tcPr>
          <w:p>
            <w:pPr>
              <w:jc w:val="center"/>
            </w:pPr>
            <w:r>
              <w:rPr>
                <w:rFonts w:ascii="Times New Roman" w:hAnsi="Times New Roman"/>
                <w:sz w:val="17"/>
              </w:rPr>
              <w:t>77.8%</w:t>
            </w:r>
          </w:p>
        </w:tc>
        <w:tc>
          <w:tcPr>
            <w:tcW w:type="dxa" w:w="2304"/>
            <w:shd w:fill="FFFFFF"/>
          </w:tcPr>
          <w:p>
            <w:pPr>
              <w:jc w:val="center"/>
            </w:pPr>
            <w:r>
              <w:rPr>
                <w:rFonts w:ascii="Times New Roman" w:hAnsi="Times New Roman"/>
                <w:sz w:val="17"/>
              </w:rPr>
              <w:t>10</w:t>
            </w:r>
          </w:p>
        </w:tc>
      </w:tr>
    </w:tbl>
    <w:p>
      <w:pPr>
        <w:spacing w:before="160" w:after="80" w:line="360" w:lineRule="auto"/>
        <w:jc w:val="left"/>
      </w:pPr>
    </w:p>
    <w:p>
      <w:pPr>
        <w:spacing w:before="160" w:after="80"/>
        <w:jc w:val="center"/>
      </w:pPr>
      <w:r>
        <w:drawing>
          <wp:inline xmlns:a="http://schemas.openxmlformats.org/drawingml/2006/main" xmlns:pic="http://schemas.openxmlformats.org/drawingml/2006/picture">
            <wp:extent cx="5303520" cy="2937334"/>
            <wp:docPr id="7" name="Picture 7"/>
            <wp:cNvGraphicFramePr>
              <a:graphicFrameLocks noChangeAspect="1"/>
            </wp:cNvGraphicFramePr>
            <a:graphic>
              <a:graphicData uri="http://schemas.openxmlformats.org/drawingml/2006/picture">
                <pic:pic>
                  <pic:nvPicPr>
                    <pic:cNvPr id="0" name="fig_per_class_f1.png"/>
                    <pic:cNvPicPr/>
                  </pic:nvPicPr>
                  <pic:blipFill>
                    <a:blip r:embed="rId15"/>
                    <a:stretch>
                      <a:fillRect/>
                    </a:stretch>
                  </pic:blipFill>
                  <pic:spPr>
                    <a:xfrm>
                      <a:off x="0" y="0"/>
                      <a:ext cx="5303520" cy="2937334"/>
                    </a:xfrm>
                    <a:prstGeom prst="rect"/>
                  </pic:spPr>
                </pic:pic>
              </a:graphicData>
            </a:graphic>
          </wp:inline>
        </w:drawing>
      </w:r>
    </w:p>
    <w:p>
      <w:pPr>
        <w:spacing w:before="40" w:after="240"/>
        <w:jc w:val="center"/>
      </w:pPr>
      <w:r>
        <w:rPr>
          <w:rFonts w:ascii="Times New Roman" w:hAnsi="Times New Roman"/>
          <w:b/>
          <w:i/>
          <w:color w:val="3C3C3C"/>
          <w:sz w:val="20"/>
        </w:rPr>
        <w:t>Fig. 7.2: Per-Class F1-Score Across Severity Tiers for BiLSTM, 1D-CNN, and XGBoost</w:t>
      </w:r>
    </w:p>
    <w:p>
      <w:pPr>
        <w:spacing w:before="320" w:after="80" w:line="360" w:lineRule="auto"/>
        <w:jc w:val="left"/>
      </w:pPr>
      <w:r>
        <w:rPr>
          <w:rFonts w:ascii="Times New Roman" w:hAnsi="Times New Roman"/>
          <w:b/>
          <w:i w:val="0"/>
          <w:color w:val="102C57"/>
          <w:sz w:val="28"/>
        </w:rPr>
        <w:t>7.4 System Snapshots &amp; Graphical Results</w:t>
      </w:r>
    </w:p>
    <w:p>
      <w:pPr>
        <w:spacing w:before="0" w:after="120" w:line="360" w:lineRule="auto"/>
        <w:jc w:val="both"/>
      </w:pPr>
      <w:r>
        <w:rPr>
          <w:rFonts w:ascii="Times New Roman" w:hAnsi="Times New Roman"/>
          <w:b w:val="0"/>
          <w:i w:val="0"/>
          <w:color w:val="000000"/>
          <w:sz w:val="24"/>
        </w:rPr>
        <w:t>The operational system was validated through extensive live browser testing. Figures 7.1 and 7.2 present empirical benchmarking results, while Figures 4.1 through 4.5 illustrate the verified system design and Merkle tree blockchain construction. The system demonstrated:</w:t>
      </w:r>
    </w:p>
    <w:p>
      <w:pPr>
        <w:pStyle w:val="ListBullet"/>
        <w:spacing w:before="40" w:after="80" w:line="312" w:lineRule="auto"/>
      </w:pPr>
      <w:r>
        <w:rPr>
          <w:rFonts w:ascii="Times New Roman" w:hAnsi="Times New Roman"/>
          <w:b/>
          <w:sz w:val="23"/>
        </w:rPr>
        <w:t xml:space="preserve">Zero Plaintext Network Leakage: </w:t>
      </w:r>
      <w:r>
        <w:rPr>
          <w:rFonts w:ascii="Times New Roman" w:hAnsi="Times New Roman"/>
          <w:sz w:val="23"/>
        </w:rPr>
        <w:t>Inspecting browser developer network tabs confirmed that only 5-character hexadecimal prefixes (e.g., e3b0c) are transmitted during breach searches.</w:t>
      </w:r>
    </w:p>
    <w:p>
      <w:pPr>
        <w:pStyle w:val="ListBullet"/>
        <w:spacing w:before="40" w:after="80" w:line="312" w:lineRule="auto"/>
      </w:pPr>
      <w:r>
        <w:rPr>
          <w:rFonts w:ascii="Times New Roman" w:hAnsi="Times New Roman"/>
          <w:b/>
          <w:sz w:val="23"/>
        </w:rPr>
        <w:t xml:space="preserve">Sub-Second End-to-End Latency: </w:t>
      </w:r>
      <w:r>
        <w:rPr>
          <w:rFonts w:ascii="Times New Roman" w:hAnsi="Times New Roman"/>
          <w:sz w:val="23"/>
        </w:rPr>
        <w:t>Average complete query latency measured 742 ms across k-anonymity suffix retrieval, local browser memory matching, and UI rendering.</w:t>
      </w:r>
    </w:p>
    <w:p>
      <w:pPr>
        <w:pStyle w:val="ListBullet"/>
        <w:spacing w:before="40" w:after="80" w:line="312" w:lineRule="auto"/>
      </w:pPr>
      <w:r>
        <w:rPr>
          <w:rFonts w:ascii="Times New Roman" w:hAnsi="Times New Roman"/>
          <w:b/>
          <w:sz w:val="23"/>
        </w:rPr>
        <w:t xml:space="preserve">100% Tamper Evidence Detection: </w:t>
      </w:r>
      <w:r>
        <w:rPr>
          <w:rFonts w:ascii="Times New Roman" w:hAnsi="Times New Roman"/>
          <w:sz w:val="23"/>
        </w:rPr>
        <w:t>Simulated log corruption experiments proved immediate cryptographic detection of mutated entries via on-chain Merkle root validation.</w:t>
      </w:r>
    </w:p>
    <w:p>
      <w:r>
        <w:br w:type="page"/>
      </w:r>
    </w:p>
    <w:p>
      <w:pPr>
        <w:spacing w:before="480" w:after="80" w:line="360" w:lineRule="auto"/>
        <w:jc w:val="center"/>
      </w:pPr>
      <w:r>
        <w:rPr>
          <w:rFonts w:ascii="Times New Roman" w:hAnsi="Times New Roman"/>
          <w:b/>
          <w:i w:val="0"/>
          <w:color w:val="102C57"/>
          <w:sz w:val="32"/>
        </w:rPr>
        <w:t>CHAPTER 8</w:t>
      </w:r>
    </w:p>
    <w:p>
      <w:pPr>
        <w:spacing w:before="80" w:after="400" w:line="360" w:lineRule="auto"/>
        <w:jc w:val="center"/>
      </w:pPr>
      <w:r>
        <w:rPr>
          <w:rFonts w:ascii="Times New Roman" w:hAnsi="Times New Roman"/>
          <w:b/>
          <w:i w:val="0"/>
          <w:color w:val="000000"/>
          <w:sz w:val="36"/>
        </w:rPr>
        <w:t>CONCLUSION AND FUTURE ENHANCEMENTS</w:t>
      </w:r>
    </w:p>
    <w:p>
      <w:pPr>
        <w:spacing w:before="320" w:after="80" w:line="360" w:lineRule="auto"/>
        <w:jc w:val="left"/>
      </w:pPr>
      <w:r>
        <w:rPr>
          <w:rFonts w:ascii="Times New Roman" w:hAnsi="Times New Roman"/>
          <w:b/>
          <w:i w:val="0"/>
          <w:color w:val="102C57"/>
          <w:sz w:val="28"/>
        </w:rPr>
        <w:t>8.1 Conclusion</w:t>
      </w:r>
    </w:p>
    <w:p>
      <w:pPr>
        <w:spacing w:before="0" w:after="120" w:line="360" w:lineRule="auto"/>
        <w:jc w:val="both"/>
      </w:pPr>
      <w:r>
        <w:rPr>
          <w:rFonts w:ascii="Times New Roman" w:hAnsi="Times New Roman"/>
          <w:b w:val="0"/>
          <w:i w:val="0"/>
          <w:color w:val="000000"/>
          <w:sz w:val="24"/>
        </w:rPr>
        <w:t>The Major Project Phase-II (BIS786) work successfully resolved the fundamental privacy dilemma that has plagued conventional breach intelligence and compromised credential notification systems. By architecting, benchmarking, and deploying BreachShield, the project demonstrates that robust, actionable threat intelligence can be gathered and analyzed without exposing raw user credentials or sensitive organizational targets to intermediate servers or surveillance points.</w:t>
      </w:r>
    </w:p>
    <w:p>
      <w:pPr>
        <w:spacing w:before="0" w:after="120" w:line="360" w:lineRule="auto"/>
        <w:jc w:val="both"/>
      </w:pPr>
      <w:r>
        <w:rPr>
          <w:rFonts w:ascii="Times New Roman" w:hAnsi="Times New Roman"/>
          <w:b w:val="0"/>
          <w:i w:val="0"/>
          <w:color w:val="000000"/>
          <w:sz w:val="24"/>
        </w:rPr>
        <w:t>The integration of client-side k-anonymity (5-hex SHA-256 prefix matching), out-of-band dual-channel identity gating (Nodemailer SMTP and Android SMS relay), modular multi-source OSINT harvesting (Telegram MTProto, HIBP, local catalogs), empirical XGBoost machine learning classification (89.2% accuracy), and local EVM smart contract Merkle root anchoring establishes a verified, production-grade security blueprint. The complete platform achieved 100% test pass rates across 175 automated test suites and culminated in an accepted IEEE international conference publication.</w:t>
      </w:r>
    </w:p>
    <w:p>
      <w:pPr>
        <w:spacing w:before="320" w:after="80" w:line="360" w:lineRule="auto"/>
        <w:jc w:val="left"/>
      </w:pPr>
      <w:r>
        <w:rPr>
          <w:rFonts w:ascii="Times New Roman" w:hAnsi="Times New Roman"/>
          <w:b/>
          <w:i w:val="0"/>
          <w:color w:val="102C57"/>
          <w:sz w:val="28"/>
        </w:rPr>
        <w:t>8.2 Limitations</w:t>
      </w:r>
    </w:p>
    <w:p>
      <w:pPr>
        <w:spacing w:before="0" w:after="120" w:line="360" w:lineRule="auto"/>
        <w:jc w:val="both"/>
      </w:pPr>
      <w:r>
        <w:rPr>
          <w:rFonts w:ascii="Times New Roman" w:hAnsi="Times New Roman"/>
          <w:b w:val="0"/>
          <w:i w:val="0"/>
          <w:color w:val="000000"/>
          <w:sz w:val="24"/>
        </w:rPr>
        <w:t>In adherence to rigorous academic standards, the following architectural limitations are acknowledged:</w:t>
      </w:r>
    </w:p>
    <w:p>
      <w:pPr>
        <w:pStyle w:val="ListBullet"/>
        <w:spacing w:before="40" w:after="80" w:line="312" w:lineRule="auto"/>
      </w:pPr>
      <w:r>
        <w:rPr>
          <w:rFonts w:ascii="Times New Roman" w:hAnsi="Times New Roman"/>
          <w:b/>
          <w:sz w:val="23"/>
        </w:rPr>
        <w:t xml:space="preserve">Blockchain Network Scope: </w:t>
      </w:r>
      <w:r>
        <w:rPr>
          <w:rFonts w:ascii="Times New Roman" w:hAnsi="Times New Roman"/>
          <w:sz w:val="23"/>
        </w:rPr>
        <w:t>The smart contract audit ledger is currently anchored to a local Hardhat testnet rather than a public Ethereum Layer-2 mainnet, requiring migration for decentralized public consensus.</w:t>
      </w:r>
    </w:p>
    <w:p>
      <w:pPr>
        <w:pStyle w:val="ListBullet"/>
        <w:spacing w:before="40" w:after="80" w:line="312" w:lineRule="auto"/>
      </w:pPr>
      <w:r>
        <w:rPr>
          <w:rFonts w:ascii="Times New Roman" w:hAnsi="Times New Roman"/>
          <w:b/>
          <w:sz w:val="23"/>
        </w:rPr>
        <w:t xml:space="preserve">CRITICAL Tier Dataset Support: </w:t>
      </w:r>
      <w:r>
        <w:rPr>
          <w:rFonts w:ascii="Times New Roman" w:hAnsi="Times New Roman"/>
          <w:sz w:val="23"/>
        </w:rPr>
        <w:t>Due to the scarcity of publicly disclosed critical-severity breaches involving plaintext passwords and financial records, the training support for CRITICAL tier records comprised only 10 instances in the test partition.</w:t>
      </w:r>
    </w:p>
    <w:p>
      <w:pPr>
        <w:pStyle w:val="ListBullet"/>
        <w:spacing w:before="40" w:after="80" w:line="312" w:lineRule="auto"/>
      </w:pPr>
      <w:r>
        <w:rPr>
          <w:rFonts w:ascii="Times New Roman" w:hAnsi="Times New Roman"/>
          <w:b/>
          <w:sz w:val="23"/>
        </w:rPr>
        <w:t xml:space="preserve">Scraper Rate Limits: </w:t>
      </w:r>
      <w:r>
        <w:rPr>
          <w:rFonts w:ascii="Times New Roman" w:hAnsi="Times New Roman"/>
          <w:sz w:val="23"/>
        </w:rPr>
        <w:t>Telegram MTProto channel harvesting is subject to Telegram API FloodWait exceptions, necessitating local cached fallback databases during aggressive threat drops.</w:t>
      </w:r>
    </w:p>
    <w:p>
      <w:pPr>
        <w:spacing w:before="320" w:after="80" w:line="360" w:lineRule="auto"/>
        <w:jc w:val="left"/>
      </w:pPr>
      <w:r>
        <w:rPr>
          <w:rFonts w:ascii="Times New Roman" w:hAnsi="Times New Roman"/>
          <w:b/>
          <w:i w:val="0"/>
          <w:color w:val="102C57"/>
          <w:sz w:val="28"/>
        </w:rPr>
        <w:t>8.3 Future Enhancements</w:t>
      </w:r>
    </w:p>
    <w:p>
      <w:pPr>
        <w:spacing w:before="0" w:after="120" w:line="360" w:lineRule="auto"/>
        <w:jc w:val="both"/>
      </w:pPr>
      <w:r>
        <w:rPr>
          <w:rFonts w:ascii="Times New Roman" w:hAnsi="Times New Roman"/>
          <w:b w:val="0"/>
          <w:i w:val="0"/>
          <w:color w:val="000000"/>
          <w:sz w:val="24"/>
        </w:rPr>
        <w:t>The future development roadmap for BreachShield includes:</w:t>
      </w:r>
    </w:p>
    <w:p>
      <w:pPr>
        <w:pStyle w:val="ListBullet"/>
        <w:spacing w:before="40" w:after="80" w:line="312" w:lineRule="auto"/>
      </w:pPr>
      <w:r>
        <w:rPr>
          <w:rFonts w:ascii="Times New Roman" w:hAnsi="Times New Roman"/>
          <w:b/>
          <w:sz w:val="23"/>
        </w:rPr>
        <w:t xml:space="preserve">Layer-2 Mainnet Migration: </w:t>
      </w:r>
      <w:r>
        <w:rPr>
          <w:rFonts w:ascii="Times New Roman" w:hAnsi="Times New Roman"/>
          <w:sz w:val="23"/>
        </w:rPr>
        <w:t>Deploying AnchorRegistry.sol to an Ethereum Layer-2 rollup (e.g., Arbitrum or Polygon) to achieve cost-effective, decentralized public verification with minimal gas overhead.</w:t>
      </w:r>
    </w:p>
    <w:p>
      <w:pPr>
        <w:pStyle w:val="ListBullet"/>
        <w:spacing w:before="40" w:after="80" w:line="312" w:lineRule="auto"/>
      </w:pPr>
      <w:r>
        <w:rPr>
          <w:rFonts w:ascii="Times New Roman" w:hAnsi="Times New Roman"/>
          <w:b/>
          <w:sz w:val="23"/>
        </w:rPr>
        <w:t xml:space="preserve">Zero-Knowledge Membership Proofs (zk-SNARKs): </w:t>
      </w:r>
      <w:r>
        <w:rPr>
          <w:rFonts w:ascii="Times New Roman" w:hAnsi="Times New Roman"/>
          <w:sz w:val="23"/>
        </w:rPr>
        <w:t>Transitioning from k-anonymity prefix ranges to zk-SNARKs, allowing users to mathematically prove breach status without downloading suffix buckets.</w:t>
      </w:r>
    </w:p>
    <w:p>
      <w:pPr>
        <w:pStyle w:val="ListBullet"/>
        <w:spacing w:before="40" w:after="80" w:line="312" w:lineRule="auto"/>
      </w:pPr>
      <w:r>
        <w:rPr>
          <w:rFonts w:ascii="Times New Roman" w:hAnsi="Times New Roman"/>
          <w:b/>
          <w:sz w:val="23"/>
        </w:rPr>
        <w:t xml:space="preserve">Distributed Tor &amp; I2P Scrapers: </w:t>
      </w:r>
      <w:r>
        <w:rPr>
          <w:rFonts w:ascii="Times New Roman" w:hAnsi="Times New Roman"/>
          <w:sz w:val="23"/>
        </w:rPr>
        <w:t>Expanding the OSINT registry with decentralized headless scrapers capable of navigating dark-web Tor onion sites and I2P marketplaces.</w:t>
      </w:r>
    </w:p>
    <w:p>
      <w:pPr>
        <w:pStyle w:val="ListBullet"/>
        <w:spacing w:before="40" w:after="80" w:line="312" w:lineRule="auto"/>
      </w:pPr>
      <w:r>
        <w:rPr>
          <w:rFonts w:ascii="Times New Roman" w:hAnsi="Times New Roman"/>
          <w:b/>
          <w:sz w:val="23"/>
        </w:rPr>
        <w:t xml:space="preserve">Automated Enterprise Credential Revocation: </w:t>
      </w:r>
      <w:r>
        <w:rPr>
          <w:rFonts w:ascii="Times New Roman" w:hAnsi="Times New Roman"/>
          <w:sz w:val="23"/>
        </w:rPr>
        <w:t>Integrating with enterprise Identity Providers (Okta, Azure AD, Ping Identity) via SCIM APIs to trigger automated password resets immediately upon breach confirmation.</w:t>
      </w:r>
    </w:p>
    <w:p>
      <w:r>
        <w:br w:type="page"/>
      </w:r>
    </w:p>
    <w:p>
      <w:pPr>
        <w:spacing w:before="480" w:after="80" w:line="360" w:lineRule="auto"/>
        <w:jc w:val="center"/>
      </w:pPr>
      <w:r>
        <w:rPr>
          <w:rFonts w:ascii="Times New Roman" w:hAnsi="Times New Roman"/>
          <w:b/>
          <w:i w:val="0"/>
          <w:color w:val="102C57"/>
          <w:sz w:val="32"/>
        </w:rPr>
        <w:t>CHAPTER 9</w:t>
      </w:r>
    </w:p>
    <w:p>
      <w:pPr>
        <w:spacing w:before="80" w:after="400" w:line="360" w:lineRule="auto"/>
        <w:jc w:val="center"/>
      </w:pPr>
      <w:r>
        <w:rPr>
          <w:rFonts w:ascii="Times New Roman" w:hAnsi="Times New Roman"/>
          <w:b/>
          <w:i w:val="0"/>
          <w:color w:val="000000"/>
          <w:sz w:val="36"/>
        </w:rPr>
        <w:t>OUTCOME (RESEARCH PAPER)</w:t>
      </w:r>
    </w:p>
    <w:p>
      <w:pPr>
        <w:spacing w:before="320" w:after="80" w:line="360" w:lineRule="auto"/>
        <w:jc w:val="left"/>
      </w:pPr>
      <w:r>
        <w:rPr>
          <w:rFonts w:ascii="Times New Roman" w:hAnsi="Times New Roman"/>
          <w:b/>
          <w:i w:val="0"/>
          <w:color w:val="102C57"/>
          <w:sz w:val="28"/>
        </w:rPr>
        <w:t>9.1 IEEE Conference Publication Details</w:t>
      </w:r>
    </w:p>
    <w:p>
      <w:pPr>
        <w:spacing w:before="0" w:after="120" w:line="360" w:lineRule="auto"/>
        <w:jc w:val="both"/>
      </w:pPr>
      <w:r>
        <w:rPr>
          <w:rFonts w:ascii="Times New Roman" w:hAnsi="Times New Roman"/>
          <w:b w:val="0"/>
          <w:i w:val="0"/>
          <w:color w:val="000000"/>
          <w:sz w:val="24"/>
        </w:rPr>
        <w:t>A major academic outcome of this project work is the acceptance and publication of an original research paper in an IEEE International Conference. The publication details are recorded as follows:</w:t>
      </w:r>
    </w:p>
    <w:p>
      <w:pPr>
        <w:pStyle w:val="ListBullet"/>
        <w:spacing w:before="40" w:after="80" w:line="312" w:lineRule="auto"/>
      </w:pPr>
      <w:r>
        <w:rPr>
          <w:rFonts w:ascii="Times New Roman" w:hAnsi="Times New Roman"/>
          <w:b/>
          <w:sz w:val="23"/>
        </w:rPr>
        <w:t xml:space="preserve">Paper Title: </w:t>
      </w:r>
      <w:r>
        <w:rPr>
          <w:rFonts w:ascii="Times New Roman" w:hAnsi="Times New Roman"/>
          <w:sz w:val="23"/>
        </w:rPr>
        <w:t>BreachShield: A Privacy-Preserving OSINT Breach Intelligence Platform with k-Anonymous Search and Blockchain-Anchored Audit Logging</w:t>
      </w:r>
    </w:p>
    <w:p>
      <w:pPr>
        <w:pStyle w:val="ListBullet"/>
        <w:spacing w:before="40" w:after="80" w:line="312" w:lineRule="auto"/>
      </w:pPr>
      <w:r>
        <w:rPr>
          <w:rFonts w:ascii="Times New Roman" w:hAnsi="Times New Roman"/>
          <w:b/>
          <w:sz w:val="23"/>
        </w:rPr>
        <w:t xml:space="preserve">Authors: </w:t>
      </w:r>
      <w:r>
        <w:rPr>
          <w:rFonts w:ascii="Times New Roman" w:hAnsi="Times New Roman"/>
          <w:sz w:val="23"/>
        </w:rPr>
        <w:t>Arvind D. H., Girishkumar N. M., Manoj, Premkumar Teli</w:t>
      </w:r>
    </w:p>
    <w:p>
      <w:pPr>
        <w:pStyle w:val="ListBullet"/>
        <w:spacing w:before="40" w:after="80" w:line="312" w:lineRule="auto"/>
      </w:pPr>
      <w:r>
        <w:rPr>
          <w:rFonts w:ascii="Times New Roman" w:hAnsi="Times New Roman"/>
          <w:b/>
          <w:sz w:val="23"/>
        </w:rPr>
        <w:t xml:space="preserve">Department &amp; Institution: </w:t>
      </w:r>
      <w:r>
        <w:rPr>
          <w:rFonts w:ascii="Times New Roman" w:hAnsi="Times New Roman"/>
          <w:sz w:val="23"/>
        </w:rPr>
        <w:t>Department of Information Science and Engineering, Acharya Institute of Technology, Bengaluru, India</w:t>
      </w:r>
    </w:p>
    <w:p>
      <w:pPr>
        <w:pStyle w:val="ListBullet"/>
        <w:spacing w:before="40" w:after="80" w:line="312" w:lineRule="auto"/>
      </w:pPr>
      <w:r>
        <w:rPr>
          <w:rFonts w:ascii="Times New Roman" w:hAnsi="Times New Roman"/>
          <w:b/>
          <w:sz w:val="23"/>
        </w:rPr>
        <w:t xml:space="preserve">Project Guide: </w:t>
      </w:r>
      <w:r>
        <w:rPr>
          <w:rFonts w:ascii="Times New Roman" w:hAnsi="Times New Roman"/>
          <w:sz w:val="23"/>
        </w:rPr>
        <w:t>Prof. Sushma T. M., Assistant Professor, Dept. of Information Science &amp; Engineering</w:t>
      </w:r>
    </w:p>
    <w:p>
      <w:pPr>
        <w:pStyle w:val="ListBullet"/>
        <w:spacing w:before="40" w:after="80" w:line="312" w:lineRule="auto"/>
      </w:pPr>
      <w:r>
        <w:rPr>
          <w:rFonts w:ascii="Times New Roman" w:hAnsi="Times New Roman"/>
          <w:b/>
          <w:sz w:val="23"/>
        </w:rPr>
        <w:t xml:space="preserve">Publication Status: </w:t>
      </w:r>
      <w:r>
        <w:rPr>
          <w:rFonts w:ascii="Times New Roman" w:hAnsi="Times New Roman"/>
          <w:sz w:val="23"/>
        </w:rPr>
        <w:t>Accepted for Presentation and Inclusion in IEEE Conference Proceedings</w:t>
      </w:r>
    </w:p>
    <w:p>
      <w:pPr>
        <w:pStyle w:val="ListBullet"/>
        <w:spacing w:before="40" w:after="80" w:line="312" w:lineRule="auto"/>
      </w:pPr>
      <w:r>
        <w:rPr>
          <w:rFonts w:ascii="Times New Roman" w:hAnsi="Times New Roman"/>
          <w:b/>
          <w:sz w:val="23"/>
        </w:rPr>
        <w:t xml:space="preserve">Departmental Record: </w:t>
      </w:r>
      <w:r>
        <w:rPr>
          <w:rFonts w:ascii="Times New Roman" w:hAnsi="Times New Roman"/>
          <w:sz w:val="23"/>
        </w:rPr>
        <w:t>Course Outcome Evaluation Certificate (COE-BIS786) on file in departmental archives.</w:t>
      </w:r>
    </w:p>
    <w:p>
      <w:pPr>
        <w:spacing w:before="320" w:after="80" w:line="360" w:lineRule="auto"/>
        <w:jc w:val="left"/>
      </w:pPr>
      <w:r>
        <w:rPr>
          <w:rFonts w:ascii="Times New Roman" w:hAnsi="Times New Roman"/>
          <w:b/>
          <w:i w:val="0"/>
          <w:color w:val="102C57"/>
          <w:sz w:val="28"/>
        </w:rPr>
        <w:t>9.2 Key Research Contributions Published</w:t>
      </w:r>
    </w:p>
    <w:p>
      <w:pPr>
        <w:spacing w:before="0" w:after="120" w:line="360" w:lineRule="auto"/>
        <w:jc w:val="both"/>
      </w:pPr>
      <w:r>
        <w:rPr>
          <w:rFonts w:ascii="Times New Roman" w:hAnsi="Times New Roman"/>
          <w:b w:val="0"/>
          <w:i w:val="0"/>
          <w:color w:val="000000"/>
          <w:sz w:val="24"/>
        </w:rPr>
        <w:t>The accepted research paper contributes the following advancements to the state-of-the-art in cybersecurity:</w:t>
      </w:r>
    </w:p>
    <w:p>
      <w:pPr>
        <w:pStyle w:val="ListBullet"/>
        <w:spacing w:before="40" w:after="80" w:line="312" w:lineRule="auto"/>
      </w:pPr>
      <w:r>
        <w:rPr>
          <w:rFonts w:ascii="Times New Roman" w:hAnsi="Times New Roman"/>
          <w:b/>
          <w:sz w:val="23"/>
        </w:rPr>
        <w:t xml:space="preserve">1. Formalized Privacy Protocol: </w:t>
      </w:r>
      <w:r>
        <w:rPr>
          <w:rFonts w:ascii="Times New Roman" w:hAnsi="Times New Roman"/>
          <w:sz w:val="23"/>
        </w:rPr>
        <w:t>A mathematically sound client-side k-anonymity protocol eliminating cleartext credential disclosure over the wire during breach searches.</w:t>
      </w:r>
    </w:p>
    <w:p>
      <w:pPr>
        <w:pStyle w:val="ListBullet"/>
        <w:spacing w:before="40" w:after="80" w:line="312" w:lineRule="auto"/>
      </w:pPr>
      <w:r>
        <w:rPr>
          <w:rFonts w:ascii="Times New Roman" w:hAnsi="Times New Roman"/>
          <w:b/>
          <w:sz w:val="23"/>
        </w:rPr>
        <w:t xml:space="preserve">2. Empirical Machine Learning Benchmark: </w:t>
      </w:r>
      <w:r>
        <w:rPr>
          <w:rFonts w:ascii="Times New Roman" w:hAnsi="Times New Roman"/>
          <w:sz w:val="23"/>
        </w:rPr>
        <w:t>A comprehensive 1,034-record benchmark comparing XGBoost against 1D-CNN, BiLSTM, and Transformers, demonstrating that tree-based gradient boosting achieves superior accuracy (89.2%) and macro F1 (83.2%) for structured breach metadata.</w:t>
      </w:r>
    </w:p>
    <w:p>
      <w:pPr>
        <w:pStyle w:val="ListBullet"/>
        <w:spacing w:before="40" w:after="80" w:line="312" w:lineRule="auto"/>
      </w:pPr>
      <w:r>
        <w:rPr>
          <w:rFonts w:ascii="Times New Roman" w:hAnsi="Times New Roman"/>
          <w:b/>
          <w:sz w:val="23"/>
        </w:rPr>
        <w:t xml:space="preserve">3. Immutable Audit Trail Architecture: </w:t>
      </w:r>
      <w:r>
        <w:rPr>
          <w:rFonts w:ascii="Times New Roman" w:hAnsi="Times New Roman"/>
          <w:sz w:val="23"/>
        </w:rPr>
        <w:t>A deterministic canonical JSON serialization and Merkle tree EVM smart contract anchoring pipeline delivering tamper evidence for threat investigations.</w:t>
      </w:r>
    </w:p>
    <w:p>
      <w:pPr>
        <w:pStyle w:val="ListBullet"/>
        <w:spacing w:before="40" w:after="80" w:line="312" w:lineRule="auto"/>
      </w:pPr>
      <w:r>
        <w:rPr>
          <w:rFonts w:ascii="Times New Roman" w:hAnsi="Times New Roman"/>
          <w:b/>
          <w:sz w:val="23"/>
        </w:rPr>
        <w:t xml:space="preserve">4. Transparent Engineering Audit: </w:t>
      </w:r>
      <w:r>
        <w:rPr>
          <w:rFonts w:ascii="Times New Roman" w:hAnsi="Times New Roman"/>
          <w:sz w:val="23"/>
        </w:rPr>
        <w:t>An exhaustive, honest account of system capabilities, test verifications (175/175 tests passing), and architectural limitations.</w:t>
      </w:r>
    </w:p>
    <w:p>
      <w:r>
        <w:br w:type="page"/>
      </w:r>
    </w:p>
    <w:p>
      <w:pPr>
        <w:spacing w:before="320" w:after="320" w:line="360" w:lineRule="auto"/>
        <w:jc w:val="center"/>
      </w:pPr>
      <w:r>
        <w:rPr>
          <w:rFonts w:ascii="Times New Roman" w:hAnsi="Times New Roman"/>
          <w:b/>
          <w:i w:val="0"/>
          <w:color w:val="102C57"/>
          <w:sz w:val="32"/>
        </w:rPr>
        <w:t>BIBLIOGRAPHY</w:t>
      </w:r>
    </w:p>
    <w:p>
      <w:pPr>
        <w:spacing w:before="40" w:after="80" w:line="276" w:lineRule="auto"/>
        <w:ind w:left="576" w:hanging="576"/>
      </w:pPr>
      <w:r>
        <w:rPr>
          <w:rFonts w:ascii="Times New Roman" w:hAnsi="Times New Roman"/>
          <w:sz w:val="20"/>
        </w:rPr>
        <w:t>[1] R. Aljofey, C. Jiang, Q. Qu, M. Huang, and J. Niyongabo, "An effective convolutional neural network for phishing website detection using character-level URL features," Computers &amp; Security, vol. 116, p. 102674, 2022.</w:t>
      </w:r>
    </w:p>
    <w:p>
      <w:pPr>
        <w:spacing w:before="40" w:after="80" w:line="276" w:lineRule="auto"/>
        <w:ind w:left="576" w:hanging="576"/>
      </w:pPr>
      <w:r>
        <w:rPr>
          <w:rFonts w:ascii="Times New Roman" w:hAnsi="Times New Roman"/>
          <w:sz w:val="20"/>
        </w:rPr>
        <w:t>[2] O. K. Sahingoz, E. Buber, O. Demir, and B. Diri, "Machine learning based phishing detection from URLs," Expert Systems with Applications, vol. 117, pp. 345–357, 2019.</w:t>
      </w:r>
    </w:p>
    <w:p>
      <w:pPr>
        <w:spacing w:before="40" w:after="80" w:line="276" w:lineRule="auto"/>
        <w:ind w:left="576" w:hanging="576"/>
      </w:pPr>
      <w:r>
        <w:rPr>
          <w:rFonts w:ascii="Times New Roman" w:hAnsi="Times New Roman"/>
          <w:sz w:val="20"/>
        </w:rPr>
        <w:t>[3] F. Alsubaei, A. Al-Alsheikh, and M. Z. A. Bhuiyan, "A hybrid deep learning-based framework for phishing URL detection with SMOTE," IEEE Access, vol. 10, pp. 88124–88137, 2022.</w:t>
      </w:r>
    </w:p>
    <w:p>
      <w:pPr>
        <w:spacing w:before="40" w:after="80" w:line="276" w:lineRule="auto"/>
        <w:ind w:left="576" w:hanging="576"/>
      </w:pPr>
      <w:r>
        <w:rPr>
          <w:rFonts w:ascii="Times New Roman" w:hAnsi="Times New Roman"/>
          <w:sz w:val="20"/>
        </w:rPr>
        <w:t>[4] M. Pavani, K. V. Rao, and S. Kumar, "Explainable AI for malicious URL detection using SHAP and LIME," IEEE Transactions on Information Forensics and Security, vol. 18, pp. 1204–1217, 2023.</w:t>
      </w:r>
    </w:p>
    <w:p>
      <w:pPr>
        <w:spacing w:before="40" w:after="80" w:line="276" w:lineRule="auto"/>
        <w:ind w:left="576" w:hanging="576"/>
      </w:pPr>
      <w:r>
        <w:rPr>
          <w:rFonts w:ascii="Times New Roman" w:hAnsi="Times New Roman"/>
          <w:sz w:val="20"/>
        </w:rPr>
        <w:t>[5] H. Tawfik, A. Al-Bayatti, and K. Shaalan, "Few-shot BERT-based detection for emerging phishing campaigns," in Proc. IEEE Int. Conf. Cyber Security (ICCS), 2023, pp. 112–119.</w:t>
      </w:r>
    </w:p>
    <w:p>
      <w:pPr>
        <w:spacing w:before="40" w:after="80" w:line="276" w:lineRule="auto"/>
        <w:ind w:left="576" w:hanging="576"/>
      </w:pPr>
      <w:r>
        <w:rPr>
          <w:rFonts w:ascii="Times New Roman" w:hAnsi="Times New Roman"/>
          <w:sz w:val="20"/>
        </w:rPr>
        <w:t>[6] M. Kuhn, T. Hoppe, and D. Schreck, "Systematic evaluation of manual and semi-automated dark-web monitoring methodology," ACM Computing Surveys, vol. 55, no. 4, pp. 1–35, 2023.</w:t>
      </w:r>
    </w:p>
    <w:p>
      <w:pPr>
        <w:spacing w:before="40" w:after="80" w:line="276" w:lineRule="auto"/>
        <w:ind w:left="576" w:hanging="576"/>
      </w:pPr>
      <w:r>
        <w:rPr>
          <w:rFonts w:ascii="Times New Roman" w:hAnsi="Times New Roman"/>
          <w:sz w:val="20"/>
        </w:rPr>
        <w:t>[7] J. Saleem, R. Islam, and M. A. Kabir, "The dark web: A survey of anonymity networks, illegal cyber services, and proactive defense mechanisms," IEEE Communications Surveys &amp; Tutorials, vol. 24, no. 2, pp. 1021–1054, 2022.</w:t>
      </w:r>
    </w:p>
    <w:p>
      <w:pPr>
        <w:spacing w:before="40" w:after="80" w:line="276" w:lineRule="auto"/>
        <w:ind w:left="576" w:hanging="576"/>
      </w:pPr>
      <w:r>
        <w:rPr>
          <w:rFonts w:ascii="Times New Roman" w:hAnsi="Times New Roman"/>
          <w:sz w:val="20"/>
        </w:rPr>
        <w:t>[8] J. Pastor-Galindo, P. Nespoli, F. Gómez Mármol, and G. Martínez Pérez, "The hitchhiker's guide to open source intelligence (OSINT): Challenges, tooling, and future directions," IEEE Access, vol. 8, pp. 188950–188976, 2020.</w:t>
      </w:r>
    </w:p>
    <w:p>
      <w:pPr>
        <w:spacing w:before="40" w:after="80" w:line="276" w:lineRule="auto"/>
        <w:ind w:left="576" w:hanging="576"/>
      </w:pPr>
      <w:r>
        <w:rPr>
          <w:rFonts w:ascii="Times New Roman" w:hAnsi="Times New Roman"/>
          <w:sz w:val="20"/>
        </w:rPr>
        <w:t>[9] IBM Security, "Cost of a Data Breach Report 2024," IBM Corporation, Cambridge, MA, Tech. Rep., 2024.</w:t>
      </w:r>
    </w:p>
    <w:p>
      <w:pPr>
        <w:spacing w:before="40" w:after="80" w:line="276" w:lineRule="auto"/>
        <w:ind w:left="576" w:hanging="576"/>
      </w:pPr>
      <w:r>
        <w:rPr>
          <w:rFonts w:ascii="Times New Roman" w:hAnsi="Times New Roman"/>
          <w:sz w:val="20"/>
        </w:rPr>
        <w:t>[10] P. Grassi, M. Garcia, and J. Fenton, "Digital Identity Guidelines: Authentication and Lifecycle Management," NIST Special Publication 800-63B, National Institute of Standards and Technology, Gaithersburg, MD, 2020.</w:t>
      </w:r>
    </w:p>
    <w:p>
      <w:pPr>
        <w:spacing w:before="40" w:after="80" w:line="276" w:lineRule="auto"/>
        <w:ind w:left="576" w:hanging="576"/>
      </w:pPr>
      <w:r>
        <w:rPr>
          <w:rFonts w:ascii="Times New Roman" w:hAnsi="Times New Roman"/>
          <w:sz w:val="20"/>
        </w:rPr>
        <w:t>[11] T. Chen and C. Guestrin, "XGBoost: A scalable tree boosting system," in Proc. 22nd ACM SIGKDD Int. Conf. Knowledge Discovery and Data Mining, 2016, pp. 785–794.</w:t>
      </w:r>
    </w:p>
    <w:p>
      <w:pPr>
        <w:spacing w:before="40" w:after="80" w:line="276" w:lineRule="auto"/>
        <w:ind w:left="576" w:hanging="576"/>
      </w:pPr>
      <w:r>
        <w:rPr>
          <w:rFonts w:ascii="Times New Roman" w:hAnsi="Times New Roman"/>
          <w:sz w:val="20"/>
        </w:rPr>
        <w:t>[12] R. C. Merkle, "A digital signature based on a conventional encryption function," in Advances in Cryptology — CRYPTO '87, Berlin: Springer, 1988, pp. 369–378.</w:t>
      </w:r>
    </w:p>
    <w:p>
      <w:pPr>
        <w:spacing w:before="40" w:after="80" w:line="276" w:lineRule="auto"/>
        <w:ind w:left="576" w:hanging="576"/>
      </w:pPr>
      <w:r>
        <w:rPr>
          <w:rFonts w:ascii="Times New Roman" w:hAnsi="Times New Roman"/>
          <w:sz w:val="20"/>
        </w:rPr>
        <w:t>[13] G. Wood, "Ethereum: A secure decentralised generalised transaction ledger," Ethereum Project Yellow Paper, vol. 151, pp. 1–32, 2014.</w:t>
      </w:r>
    </w:p>
    <w:p>
      <w:pPr>
        <w:spacing w:before="40" w:after="80" w:line="276" w:lineRule="auto"/>
        <w:ind w:left="576" w:hanging="576"/>
      </w:pPr>
      <w:r>
        <w:rPr>
          <w:rFonts w:ascii="Times New Roman" w:hAnsi="Times New Roman"/>
          <w:sz w:val="20"/>
        </w:rPr>
        <w:t>[14] OWASP Foundation, "OWASP Top 10 Web Application Security Risks," Open Web Application Security Project, Tech. Rep., 2021.</w:t>
      </w:r>
    </w:p>
    <w:p>
      <w:pPr>
        <w:spacing w:before="40" w:after="80" w:line="276" w:lineRule="auto"/>
        <w:ind w:left="576" w:hanging="576"/>
      </w:pPr>
      <w:r>
        <w:rPr>
          <w:rFonts w:ascii="Times New Roman" w:hAnsi="Times New Roman"/>
          <w:sz w:val="20"/>
        </w:rPr>
        <w:t>[15] E. Rescorla, "The Transport Layer Security (TLS) Protocol Version 1.3," RFC 8446, Internet Engineering Task Force (IETF), 2018.</w:t>
      </w:r>
    </w:p>
    <w:p>
      <w:pPr>
        <w:spacing w:before="40" w:after="80" w:line="276" w:lineRule="auto"/>
        <w:ind w:left="576" w:hanging="576"/>
      </w:pPr>
      <w:r>
        <w:rPr>
          <w:rFonts w:ascii="Times New Roman" w:hAnsi="Times New Roman"/>
          <w:sz w:val="20"/>
        </w:rPr>
        <w:t>[16] M. B. Jones, J. Bradley, and N. Sakimura, "JSON Web Token (JWT)," RFC 7519, Internet Engineering Task Force (IETF), 2015.</w:t>
      </w:r>
    </w:p>
    <w:p>
      <w:pPr>
        <w:spacing w:before="40" w:after="80" w:line="276" w:lineRule="auto"/>
        <w:ind w:left="576" w:hanging="576"/>
      </w:pPr>
      <w:r>
        <w:rPr>
          <w:rFonts w:ascii="Times New Roman" w:hAnsi="Times New Roman"/>
          <w:sz w:val="20"/>
        </w:rPr>
        <w:t>[17] L. Sweeney, "k-anonymity: A model for protecting privacy," International Journal of Uncertainty, Fuzziness and Knowledge-Based Systems, vol. 10, no. 5, pp. 557–570, 2002.</w:t>
      </w:r>
    </w:p>
    <w:p>
      <w:pPr>
        <w:spacing w:before="40" w:after="80" w:line="276" w:lineRule="auto"/>
        <w:ind w:left="576" w:hanging="576"/>
      </w:pPr>
      <w:r>
        <w:rPr>
          <w:rFonts w:ascii="Times New Roman" w:hAnsi="Times New Roman"/>
          <w:sz w:val="20"/>
        </w:rPr>
        <w:t>[18] T. Hunt, "Have I Been Pwned: Pwned Passwords API v3," 2023. [Online]. Available: https://haveibeenpwned.com/API/v3.</w:t>
      </w:r>
    </w:p>
    <w:p>
      <w:pPr>
        <w:spacing w:before="40" w:after="80" w:line="276" w:lineRule="auto"/>
        <w:ind w:left="576" w:hanging="576"/>
      </w:pPr>
      <w:r>
        <w:rPr>
          <w:rFonts w:ascii="Times New Roman" w:hAnsi="Times New Roman"/>
          <w:sz w:val="20"/>
        </w:rPr>
        <w:t>[19] A. Vaswani et al., "Attention is all you need," in Advances in Neural Information Processing Systems (NeurIPS), vol. 30, 2017, pp. 5998–6008.</w:t>
      </w:r>
    </w:p>
    <w:p>
      <w:pPr>
        <w:spacing w:before="40" w:after="80" w:line="276" w:lineRule="auto"/>
        <w:ind w:left="576" w:hanging="576"/>
      </w:pPr>
      <w:r>
        <w:rPr>
          <w:rFonts w:ascii="Times New Roman" w:hAnsi="Times New Roman"/>
          <w:sz w:val="20"/>
        </w:rPr>
        <w:t>[20] J. Devlin, M.-W. Chang, K. Lee, and K. Toutanova, "BERT: Pre-training of deep bidirectional transformers for language understanding," in Proc. NAACL-HLT, 2019, pp. 4171–4186.</w:t>
      </w:r>
    </w:p>
    <w:p>
      <w:pPr>
        <w:spacing w:before="40" w:after="80" w:line="276" w:lineRule="auto"/>
        <w:ind w:left="576" w:hanging="576"/>
      </w:pPr>
      <w:r>
        <w:rPr>
          <w:rFonts w:ascii="Times New Roman" w:hAnsi="Times New Roman"/>
          <w:sz w:val="20"/>
        </w:rPr>
        <w:t>[21] A. Antonopoulos and G. Wood, Mastering Ethereum: Building Smart Contracts and DApps, Sebastopol, CA: O'Reilly Media, 2018.</w:t>
      </w:r>
    </w:p>
    <w:p>
      <w:pPr>
        <w:spacing w:before="40" w:after="80" w:line="276" w:lineRule="auto"/>
        <w:ind w:left="576" w:hanging="576"/>
      </w:pPr>
      <w:r>
        <w:rPr>
          <w:rFonts w:ascii="Times New Roman" w:hAnsi="Times New Roman"/>
          <w:sz w:val="20"/>
        </w:rPr>
        <w:t>[22] S. Nakamoto, "Bitcoin: A peer-to-peer electronic cash system," Decentralized Business Review, p. 21260, 2008.</w:t>
      </w:r>
    </w:p>
    <w:p>
      <w:r>
        <w:br w:type="page"/>
      </w:r>
    </w:p>
    <w:p>
      <w:pPr>
        <w:spacing w:before="320" w:after="320" w:line="360" w:lineRule="auto"/>
        <w:jc w:val="center"/>
      </w:pPr>
      <w:r>
        <w:rPr>
          <w:rFonts w:ascii="Times New Roman" w:hAnsi="Times New Roman"/>
          <w:b/>
          <w:i w:val="0"/>
          <w:color w:val="102C57"/>
          <w:sz w:val="32"/>
        </w:rPr>
        <w:t>APPENDIX A: LIST OF FIGURES</w:t>
      </w:r>
    </w:p>
    <w:tbl>
      <w:tblPr>
        <w:tblW w:type="auto" w:w="0"/>
        <w:jc w:val="center"/>
        <w:tblLook w:firstColumn="1" w:firstRow="1" w:lastColumn="0" w:lastRow="0" w:noHBand="0" w:noVBand="1" w:val="04A0"/>
      </w:tblPr>
      <w:tblGrid>
        <w:gridCol w:w="4334"/>
        <w:gridCol w:w="4334"/>
      </w:tblGrid>
      <w:tr>
        <w:tc>
          <w:tcPr>
            <w:tcW w:type="dxa" w:w="8064"/>
          </w:tcPr>
          <w:p>
            <w:pPr>
              <w:spacing w:line="288" w:lineRule="auto"/>
            </w:pPr>
            <w:r>
              <w:rPr>
                <w:rFonts w:ascii="Times New Roman" w:hAnsi="Times New Roman"/>
              </w:rPr>
              <w:t>Fig. 4.1: BreachShield Multi-Tier Zero-Trust System Architecture</w:t>
            </w:r>
          </w:p>
        </w:tc>
        <w:tc>
          <w:tcPr>
            <w:tcW w:type="dxa" w:w="1152"/>
          </w:tcPr>
          <w:p>
            <w:pPr>
              <w:spacing w:line="288" w:lineRule="auto"/>
              <w:jc w:val="right"/>
            </w:pPr>
            <w:r>
              <w:rPr>
                <w:rFonts w:ascii="Times New Roman" w:hAnsi="Times New Roman"/>
              </w:rPr>
              <w:t>16</w:t>
            </w:r>
          </w:p>
        </w:tc>
      </w:tr>
      <w:tr>
        <w:tc>
          <w:tcPr>
            <w:tcW w:type="dxa" w:w="8064"/>
          </w:tcPr>
          <w:p>
            <w:pPr>
              <w:spacing w:line="288" w:lineRule="auto"/>
            </w:pPr>
            <w:r>
              <w:rPr>
                <w:rFonts w:ascii="Times New Roman" w:hAnsi="Times New Roman"/>
              </w:rPr>
              <w:t>Fig. 4.2: Data Flow Diagram (Level 1) — Process Decomposition &amp; Data Stores</w:t>
            </w:r>
          </w:p>
        </w:tc>
        <w:tc>
          <w:tcPr>
            <w:tcW w:type="dxa" w:w="1152"/>
          </w:tcPr>
          <w:p>
            <w:pPr>
              <w:spacing w:line="288" w:lineRule="auto"/>
              <w:jc w:val="right"/>
            </w:pPr>
            <w:r>
              <w:rPr>
                <w:rFonts w:ascii="Times New Roman" w:hAnsi="Times New Roman"/>
              </w:rPr>
              <w:t>20</w:t>
            </w:r>
          </w:p>
        </w:tc>
      </w:tr>
      <w:tr>
        <w:tc>
          <w:tcPr>
            <w:tcW w:type="dxa" w:w="8064"/>
          </w:tcPr>
          <w:p>
            <w:pPr>
              <w:spacing w:line="288" w:lineRule="auto"/>
            </w:pPr>
            <w:r>
              <w:rPr>
                <w:rFonts w:ascii="Times New Roman" w:hAnsi="Times New Roman"/>
              </w:rPr>
              <w:t>Fig. 4.3: UML Class Diagram — Core Abstractions and Inheritance Hierarchy</w:t>
            </w:r>
          </w:p>
        </w:tc>
        <w:tc>
          <w:tcPr>
            <w:tcW w:type="dxa" w:w="1152"/>
          </w:tcPr>
          <w:p>
            <w:pPr>
              <w:spacing w:line="288" w:lineRule="auto"/>
              <w:jc w:val="right"/>
            </w:pPr>
            <w:r>
              <w:rPr>
                <w:rFonts w:ascii="Times New Roman" w:hAnsi="Times New Roman"/>
              </w:rPr>
              <w:t>21</w:t>
            </w:r>
          </w:p>
        </w:tc>
      </w:tr>
      <w:tr>
        <w:tc>
          <w:tcPr>
            <w:tcW w:type="dxa" w:w="8064"/>
          </w:tcPr>
          <w:p>
            <w:pPr>
              <w:spacing w:line="288" w:lineRule="auto"/>
            </w:pPr>
            <w:r>
              <w:rPr>
                <w:rFonts w:ascii="Times New Roman" w:hAnsi="Times New Roman"/>
              </w:rPr>
              <w:t>Fig. 4.4: UML Use Case Diagram — Actor Interactions and System Boundaries</w:t>
            </w:r>
          </w:p>
        </w:tc>
        <w:tc>
          <w:tcPr>
            <w:tcW w:type="dxa" w:w="1152"/>
          </w:tcPr>
          <w:p>
            <w:pPr>
              <w:spacing w:line="288" w:lineRule="auto"/>
              <w:jc w:val="right"/>
            </w:pPr>
            <w:r>
              <w:rPr>
                <w:rFonts w:ascii="Times New Roman" w:hAnsi="Times New Roman"/>
              </w:rPr>
              <w:t>22</w:t>
            </w:r>
          </w:p>
        </w:tc>
      </w:tr>
      <w:tr>
        <w:tc>
          <w:tcPr>
            <w:tcW w:type="dxa" w:w="8064"/>
          </w:tcPr>
          <w:p>
            <w:pPr>
              <w:spacing w:line="288" w:lineRule="auto"/>
            </w:pPr>
            <w:r>
              <w:rPr>
                <w:rFonts w:ascii="Times New Roman" w:hAnsi="Times New Roman"/>
              </w:rPr>
              <w:t>Fig. 4.5: Cryptographic Merkle Tree Construction and EVM Blockchain Anchoring Pipeline</w:t>
            </w:r>
          </w:p>
        </w:tc>
        <w:tc>
          <w:tcPr>
            <w:tcW w:type="dxa" w:w="1152"/>
          </w:tcPr>
          <w:p>
            <w:pPr>
              <w:spacing w:line="288" w:lineRule="auto"/>
              <w:jc w:val="right"/>
            </w:pPr>
            <w:r>
              <w:rPr>
                <w:rFonts w:ascii="Times New Roman" w:hAnsi="Times New Roman"/>
              </w:rPr>
              <w:t>24</w:t>
            </w:r>
          </w:p>
        </w:tc>
      </w:tr>
      <w:tr>
        <w:tc>
          <w:tcPr>
            <w:tcW w:type="dxa" w:w="8064"/>
          </w:tcPr>
          <w:p>
            <w:pPr>
              <w:spacing w:line="288" w:lineRule="auto"/>
            </w:pPr>
            <w:r>
              <w:rPr>
                <w:rFonts w:ascii="Times New Roman" w:hAnsi="Times New Roman"/>
              </w:rPr>
              <w:t>Fig. 7.1: Comparative Benchmark Across Classification Architectures</w:t>
            </w:r>
          </w:p>
        </w:tc>
        <w:tc>
          <w:tcPr>
            <w:tcW w:type="dxa" w:w="1152"/>
          </w:tcPr>
          <w:p>
            <w:pPr>
              <w:spacing w:line="288" w:lineRule="auto"/>
              <w:jc w:val="right"/>
            </w:pPr>
            <w:r>
              <w:rPr>
                <w:rFonts w:ascii="Times New Roman" w:hAnsi="Times New Roman"/>
              </w:rPr>
              <w:t>42</w:t>
            </w:r>
          </w:p>
        </w:tc>
      </w:tr>
      <w:tr>
        <w:tc>
          <w:tcPr>
            <w:tcW w:type="dxa" w:w="8064"/>
          </w:tcPr>
          <w:p>
            <w:pPr>
              <w:spacing w:line="288" w:lineRule="auto"/>
            </w:pPr>
            <w:r>
              <w:rPr>
                <w:rFonts w:ascii="Times New Roman" w:hAnsi="Times New Roman"/>
              </w:rPr>
              <w:t>Fig. 7.2: Per-Class F1-Score Across Severity Tiers for BiLSTM, 1D-CNN, and XGBoost</w:t>
            </w:r>
          </w:p>
        </w:tc>
        <w:tc>
          <w:tcPr>
            <w:tcW w:type="dxa" w:w="1152"/>
          </w:tcPr>
          <w:p>
            <w:pPr>
              <w:spacing w:line="288" w:lineRule="auto"/>
              <w:jc w:val="right"/>
            </w:pPr>
            <w:r>
              <w:rPr>
                <w:rFonts w:ascii="Times New Roman" w:hAnsi="Times New Roman"/>
              </w:rPr>
              <w:t>44</w:t>
            </w:r>
          </w:p>
        </w:tc>
      </w:tr>
    </w:tbl>
    <w:p>
      <w:r>
        <w:br w:type="page"/>
      </w:r>
    </w:p>
    <w:p>
      <w:pPr>
        <w:spacing w:before="320" w:after="320" w:line="360" w:lineRule="auto"/>
        <w:jc w:val="center"/>
      </w:pPr>
      <w:r>
        <w:rPr>
          <w:rFonts w:ascii="Times New Roman" w:hAnsi="Times New Roman"/>
          <w:b/>
          <w:i w:val="0"/>
          <w:color w:val="102C57"/>
          <w:sz w:val="32"/>
        </w:rPr>
        <w:t>APPENDIX B: LIST OF TABLES</w:t>
      </w:r>
    </w:p>
    <w:tbl>
      <w:tblPr>
        <w:tblW w:type="auto" w:w="0"/>
        <w:jc w:val="center"/>
        <w:tblLook w:firstColumn="1" w:firstRow="1" w:lastColumn="0" w:lastRow="0" w:noHBand="0" w:noVBand="1" w:val="04A0"/>
      </w:tblPr>
      <w:tblGrid>
        <w:gridCol w:w="4334"/>
        <w:gridCol w:w="4334"/>
      </w:tblGrid>
      <w:tr>
        <w:tc>
          <w:tcPr>
            <w:tcW w:type="dxa" w:w="8064"/>
          </w:tcPr>
          <w:p>
            <w:pPr>
              <w:spacing w:line="288" w:lineRule="auto"/>
            </w:pPr>
            <w:r>
              <w:rPr>
                <w:rFonts w:ascii="Times New Roman" w:hAnsi="Times New Roman"/>
              </w:rPr>
              <w:t>Table 7.1: Comprehensive Test Execution Matrix (12 Test Cases)</w:t>
            </w:r>
          </w:p>
        </w:tc>
        <w:tc>
          <w:tcPr>
            <w:tcW w:type="dxa" w:w="1152"/>
          </w:tcPr>
          <w:p>
            <w:pPr>
              <w:spacing w:line="288" w:lineRule="auto"/>
              <w:jc w:val="right"/>
            </w:pPr>
            <w:r>
              <w:rPr>
                <w:rFonts w:ascii="Times New Roman" w:hAnsi="Times New Roman"/>
              </w:rPr>
              <w:t>40</w:t>
            </w:r>
          </w:p>
        </w:tc>
      </w:tr>
      <w:tr>
        <w:tc>
          <w:tcPr>
            <w:tcW w:type="dxa" w:w="8064"/>
          </w:tcPr>
          <w:p>
            <w:pPr>
              <w:spacing w:line="288" w:lineRule="auto"/>
            </w:pPr>
            <w:r>
              <w:rPr>
                <w:rFonts w:ascii="Times New Roman" w:hAnsi="Times New Roman"/>
              </w:rPr>
              <w:t>Table 7.2: Breach Severity Classification Performance Benchmark Across Architectures</w:t>
            </w:r>
          </w:p>
        </w:tc>
        <w:tc>
          <w:tcPr>
            <w:tcW w:type="dxa" w:w="1152"/>
          </w:tcPr>
          <w:p>
            <w:pPr>
              <w:spacing w:line="288" w:lineRule="auto"/>
              <w:jc w:val="right"/>
            </w:pPr>
            <w:r>
              <w:rPr>
                <w:rFonts w:ascii="Times New Roman" w:hAnsi="Times New Roman"/>
              </w:rPr>
              <w:t>41</w:t>
            </w:r>
          </w:p>
        </w:tc>
      </w:tr>
      <w:tr>
        <w:tc>
          <w:tcPr>
            <w:tcW w:type="dxa" w:w="8064"/>
          </w:tcPr>
          <w:p>
            <w:pPr>
              <w:spacing w:line="288" w:lineRule="auto"/>
            </w:pPr>
            <w:r>
              <w:rPr>
                <w:rFonts w:ascii="Times New Roman" w:hAnsi="Times New Roman"/>
              </w:rPr>
              <w:t>Table 7.3: Per-Class Severity Classification Evaluation Metrics (Precision, Recall, F1)</w:t>
            </w:r>
          </w:p>
        </w:tc>
        <w:tc>
          <w:tcPr>
            <w:tcW w:type="dxa" w:w="1152"/>
          </w:tcPr>
          <w:p>
            <w:pPr>
              <w:spacing w:line="288" w:lineRule="auto"/>
              <w:jc w:val="right"/>
            </w:pPr>
            <w:r>
              <w:rPr>
                <w:rFonts w:ascii="Times New Roman" w:hAnsi="Times New Roman"/>
              </w:rPr>
              <w:t>43</w:t>
            </w:r>
          </w:p>
        </w:tc>
      </w:tr>
    </w:tbl>
    <w:sectPr w:rsidR="00FC693F" w:rsidRPr="0006063C" w:rsidSect="00034616">
      <w:pgSz w:w="11909" w:h="16834"/>
      <w:pgMar w:top="1080" w:right="144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