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w373oemy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scl83h3xo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Project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"Detect Anomalous Transactions in Unstructured Financial Records"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gytb2djlg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Dataset Description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consists of </w:t>
      </w:r>
      <w:r w:rsidDel="00000000" w:rsidR="00000000" w:rsidRPr="00000000">
        <w:rPr>
          <w:b w:val="1"/>
          <w:rtl w:val="0"/>
        </w:rPr>
        <w:t xml:space="preserve">raw transaction logs</w:t>
      </w:r>
      <w:r w:rsidDel="00000000" w:rsidR="00000000" w:rsidRPr="00000000">
        <w:rPr>
          <w:rtl w:val="0"/>
        </w:rPr>
        <w:t xml:space="preserve"> with minimal structure. Each row is a log entry from a financial system or a user-facing event log. Example formats: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"log":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"2023-05-14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14:05:31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1023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£500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Liverpool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Samsung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Galaxy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53.4084,-2.9916"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26mpqd4wo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jlbpmyahce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Understanding &amp; Parsing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vegijbdf9h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Feature Engineering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nknptz63f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Anomaly Detection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one or more: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Rule-based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(e.g., amount &gt; X + new location → suspicious)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/ clustering</w:t>
      </w:r>
      <w:r w:rsidDel="00000000" w:rsidR="00000000" w:rsidRPr="00000000">
        <w:rPr>
          <w:rtl w:val="0"/>
        </w:rPr>
        <w:t xml:space="preserve"> (e.g., DBSCAN, Isolation Forest)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Sequence modeling</w:t>
      </w:r>
      <w:r w:rsidDel="00000000" w:rsidR="00000000" w:rsidRPr="00000000">
        <w:rPr>
          <w:rtl w:val="0"/>
        </w:rPr>
        <w:t xml:space="preserve"> (if temporal sequences are valuable)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+ autoencoders</w:t>
      </w:r>
      <w:r w:rsidDel="00000000" w:rsidR="00000000" w:rsidRPr="00000000">
        <w:rPr>
          <w:rtl w:val="0"/>
        </w:rPr>
        <w:t xml:space="preserve"> (textual descriptions vectorized)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v83a55orrl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Evaluation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labeled anomalies are available: precision, recall, etc.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 top-N anomalies with explanations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clusters or outliers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manual validation plan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9icxkohym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Interpretability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what makes an event anomalous (e.g., rare device+location pair)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confidence scores if possible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8w7gulu8j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💾 Deliverables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(in Jupyter notebook or script)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Parser module for extracting structured features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Notebook visualizations of detected anomalies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 with: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Parsing logic explanation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Modeling approach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Findings &amp; business impact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web demo (Streamlit, Flask) or CLI to parse and flag logs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lacfofi1b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Evaluation Rubric</w:t>
      </w:r>
    </w:p>
    <w:tbl>
      <w:tblPr>
        <w:tblStyle w:val="Table1"/>
        <w:tblW w:w="7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5075"/>
        <w:tblGridChange w:id="0">
          <w:tblGrid>
            <w:gridCol w:w="2180"/>
            <w:gridCol w:w="50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Parsing &amp; Cleaning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Robustness, generalization, edge-case handling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Creativity, domain relevance, statistical richness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Modeling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Sound method, parameter tuning, justification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Clear metrics, qualitative and quantitative results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Explainability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Interpretability of flagged anomalies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Modularity, clarity, reproducibility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Business Thinking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Actionable insights, real-world impact articulation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