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FB76E">
      <w:pPr>
        <w:pStyle w:val="37"/>
        <w:keepNext w:val="0"/>
        <w:rPr>
          <w:rFonts w:ascii="Times New Roman" w:hAnsi="Times New Roman"/>
          <w:sz w:val="24"/>
          <w:szCs w:val="24"/>
        </w:rPr>
      </w:pPr>
    </w:p>
    <w:tbl>
      <w:tblPr>
        <w:tblStyle w:val="22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5"/>
        <w:gridCol w:w="2149"/>
        <w:gridCol w:w="3337"/>
      </w:tblGrid>
      <w:tr w14:paraId="0FA5A98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654" w:type="dxa"/>
            <w:gridSpan w:val="2"/>
            <w:vAlign w:val="center"/>
          </w:tcPr>
          <w:p w14:paraId="7C2CD31F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5EAC3622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7C34391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654" w:type="dxa"/>
            <w:gridSpan w:val="2"/>
            <w:vAlign w:val="center"/>
          </w:tcPr>
          <w:p w14:paraId="61650DC2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7CCDBF63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仅供收件方查阅</w:t>
            </w:r>
          </w:p>
        </w:tc>
      </w:tr>
      <w:tr w14:paraId="3B185AA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505" w:type="dxa"/>
            <w:tcBorders>
              <w:bottom w:val="single" w:color="000000" w:sz="6" w:space="0"/>
              <w:right w:val="single" w:color="auto" w:sz="4" w:space="0"/>
            </w:tcBorders>
            <w:vAlign w:val="center"/>
          </w:tcPr>
          <w:p w14:paraId="7A7F1892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color="auto" w:sz="4" w:space="0"/>
              <w:bottom w:val="single" w:color="000000" w:sz="6" w:space="0"/>
            </w:tcBorders>
            <w:vAlign w:val="center"/>
          </w:tcPr>
          <w:p w14:paraId="78DE848F">
            <w:pPr>
              <w:pStyle w:val="37"/>
              <w:keepNext w:val="0"/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color="auto" w:sz="4" w:space="0"/>
            </w:tcBorders>
            <w:vAlign w:val="center"/>
          </w:tcPr>
          <w:p w14:paraId="0B9054F8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77F04EF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94" w:hRule="atLeast"/>
          <w:jc w:val="center"/>
        </w:trPr>
        <w:tc>
          <w:tcPr>
            <w:tcW w:w="3505" w:type="dxa"/>
            <w:tcBorders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B7B9C"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MENTORA-2026-001</w:t>
            </w:r>
          </w:p>
        </w:tc>
        <w:tc>
          <w:tcPr>
            <w:tcW w:w="2149" w:type="dxa"/>
            <w:tcBorders>
              <w:lef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1E491"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V1.0</w:t>
            </w:r>
          </w:p>
        </w:tc>
        <w:tc>
          <w:tcPr>
            <w:tcW w:w="3337" w:type="dxa"/>
            <w:tcBorders>
              <w:top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A60CD"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MENTORA-INIT-002</w:t>
            </w:r>
          </w:p>
        </w:tc>
      </w:tr>
    </w:tbl>
    <w:p w14:paraId="591175C6">
      <w:pPr>
        <w:jc w:val="center"/>
        <w:rPr>
          <w:rFonts w:hint="eastAsia" w:ascii="宋体" w:hAnsi="宋体"/>
          <w:b/>
          <w:sz w:val="32"/>
          <w:szCs w:val="32"/>
        </w:rPr>
      </w:pPr>
    </w:p>
    <w:p w14:paraId="0DE02172">
      <w:pPr>
        <w:jc w:val="center"/>
        <w:rPr>
          <w:rFonts w:hint="eastAsia" w:ascii="宋体" w:hAnsi="宋体"/>
          <w:b/>
          <w:sz w:val="32"/>
          <w:szCs w:val="32"/>
        </w:rPr>
      </w:pPr>
    </w:p>
    <w:p w14:paraId="6A6FD732">
      <w:pPr>
        <w:widowControl/>
        <w:autoSpaceDE w:val="0"/>
        <w:autoSpaceDN w:val="0"/>
        <w:adjustRightInd w:val="0"/>
        <w:rPr>
          <w:rFonts w:ascii="华文细黑" w:hAnsi="Calibri" w:eastAsia="华文细黑"/>
          <w:kern w:val="0"/>
          <w:sz w:val="44"/>
          <w:szCs w:val="44"/>
        </w:rPr>
      </w:pPr>
    </w:p>
    <w:p w14:paraId="5F9F8FA0">
      <w:pPr>
        <w:widowControl/>
        <w:autoSpaceDE w:val="0"/>
        <w:autoSpaceDN w:val="0"/>
        <w:adjustRightInd w:val="0"/>
        <w:spacing w:after="120" w:line="300" w:lineRule="auto"/>
        <w:jc w:val="center"/>
        <w:rPr>
          <w:rFonts w:ascii="华文细黑" w:hAnsi="Calibri" w:eastAsia="华文细黑"/>
          <w:kern w:val="0"/>
          <w:sz w:val="44"/>
          <w:szCs w:val="44"/>
        </w:rPr>
      </w:pPr>
      <w:r>
        <w:rPr>
          <w:rFonts w:ascii="黑体" w:hAnsi="黑体" w:eastAsia="黑体"/>
          <w:b/>
          <w:sz w:val="48"/>
        </w:rPr>
        <w:t>Mentora个性化学习工作台项目立项报告</w:t>
      </w:r>
    </w:p>
    <w:p w14:paraId="0755CDA3">
      <w:pPr>
        <w:jc w:val="center"/>
        <w:rPr>
          <w:rFonts w:hint="eastAsia" w:ascii="宋体" w:hAnsi="宋体"/>
          <w:b/>
          <w:sz w:val="32"/>
          <w:szCs w:val="32"/>
        </w:rPr>
      </w:pPr>
    </w:p>
    <w:p w14:paraId="01BE97E5">
      <w:pPr>
        <w:jc w:val="center"/>
        <w:rPr>
          <w:rFonts w:hint="eastAsia" w:ascii="宋体" w:hAnsi="宋体"/>
          <w:b/>
          <w:sz w:val="32"/>
          <w:szCs w:val="32"/>
        </w:rPr>
      </w:pPr>
    </w:p>
    <w:p w14:paraId="07D5F015">
      <w:pPr>
        <w:jc w:val="center"/>
        <w:rPr>
          <w:rFonts w:hint="eastAsia" w:ascii="宋体" w:hAnsi="宋体"/>
          <w:b/>
          <w:sz w:val="32"/>
          <w:szCs w:val="32"/>
        </w:rPr>
      </w:pPr>
    </w:p>
    <w:p w14:paraId="3567F879">
      <w:pPr>
        <w:jc w:val="center"/>
        <w:rPr>
          <w:rFonts w:hint="eastAsia" w:ascii="宋体" w:hAnsi="宋体"/>
          <w:b/>
          <w:sz w:val="32"/>
          <w:szCs w:val="32"/>
        </w:rPr>
      </w:pPr>
    </w:p>
    <w:p w14:paraId="70B4162F">
      <w:pPr>
        <w:jc w:val="center"/>
        <w:rPr>
          <w:rFonts w:hint="eastAsia" w:ascii="宋体" w:hAnsi="宋体"/>
          <w:b/>
          <w:sz w:val="32"/>
          <w:szCs w:val="32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7B1BF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  <w:vAlign w:val="center"/>
          </w:tcPr>
          <w:p w14:paraId="47C3EAA1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D0F82">
            <w:pPr>
              <w:jc w:val="center"/>
            </w:pPr>
            <w:r>
              <w:rPr>
                <w:rFonts w:ascii="宋体" w:hAnsi="宋体"/>
                <w:sz w:val="18"/>
              </w:rPr>
              <w:t>项目组（待签字）</w:t>
            </w:r>
          </w:p>
        </w:tc>
        <w:tc>
          <w:tcPr>
            <w:tcW w:w="1291" w:type="dxa"/>
            <w:vAlign w:val="center"/>
          </w:tcPr>
          <w:p w14:paraId="0A18D315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692D5">
            <w:pPr>
              <w:jc w:val="center"/>
            </w:pPr>
            <w:r>
              <w:rPr>
                <w:rFonts w:ascii="宋体" w:hAnsi="宋体"/>
                <w:sz w:val="18"/>
              </w:rPr>
              <w:t>2026-06-12</w:t>
            </w:r>
          </w:p>
        </w:tc>
      </w:tr>
      <w:tr w14:paraId="20C8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  <w:vAlign w:val="center"/>
          </w:tcPr>
          <w:p w14:paraId="7BCB79BC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A26E5">
            <w:pPr>
              <w:jc w:val="center"/>
            </w:pPr>
            <w:r>
              <w:rPr>
                <w:rFonts w:ascii="宋体" w:hAnsi="宋体"/>
                <w:sz w:val="18"/>
              </w:rPr>
              <w:t>指导教师（待填写）</w:t>
            </w:r>
          </w:p>
        </w:tc>
        <w:tc>
          <w:tcPr>
            <w:tcW w:w="1291" w:type="dxa"/>
            <w:vAlign w:val="center"/>
          </w:tcPr>
          <w:p w14:paraId="4882F3EF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5025F">
            <w:pPr>
              <w:jc w:val="center"/>
            </w:pPr>
            <w:r>
              <w:rPr>
                <w:rFonts w:ascii="宋体" w:hAnsi="宋体"/>
                <w:sz w:val="18"/>
              </w:rPr>
              <w:t>待填写</w:t>
            </w:r>
          </w:p>
        </w:tc>
      </w:tr>
      <w:tr w14:paraId="135E2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  <w:vAlign w:val="center"/>
          </w:tcPr>
          <w:p w14:paraId="549D0AF8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AA124">
            <w:pPr>
              <w:jc w:val="center"/>
            </w:pPr>
            <w:r>
              <w:rPr>
                <w:rFonts w:ascii="宋体" w:hAnsi="宋体"/>
                <w:sz w:val="18"/>
              </w:rPr>
              <w:t>项目负责人（待填写）</w:t>
            </w:r>
          </w:p>
        </w:tc>
        <w:tc>
          <w:tcPr>
            <w:tcW w:w="1291" w:type="dxa"/>
            <w:vAlign w:val="center"/>
          </w:tcPr>
          <w:p w14:paraId="3DC49BC6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8CF86">
            <w:pPr>
              <w:jc w:val="center"/>
            </w:pPr>
            <w:r>
              <w:rPr>
                <w:rFonts w:ascii="宋体" w:hAnsi="宋体"/>
                <w:sz w:val="18"/>
              </w:rPr>
              <w:t>待填写</w:t>
            </w:r>
          </w:p>
        </w:tc>
      </w:tr>
    </w:tbl>
    <w:p w14:paraId="1DA31835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14E45D42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17DA62B4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30094FEF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57DA2C58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3B0DC59D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39FEB01F">
      <w:pPr>
        <w:widowControl/>
        <w:autoSpaceDE w:val="0"/>
        <w:autoSpaceDN w:val="0"/>
        <w:adjustRightInd w:val="0"/>
        <w:spacing w:line="360" w:lineRule="auto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titlePg/>
          <w:docGrid w:type="lines" w:linePitch="312" w:charSpace="0"/>
        </w:sectPr>
      </w:pPr>
    </w:p>
    <w:p w14:paraId="50360754">
      <w:pPr>
        <w:widowControl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Revision Record</w:t>
      </w:r>
    </w:p>
    <w:p w14:paraId="43C40BFD">
      <w:pPr>
        <w:widowControl/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修订记录</w:t>
      </w:r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361"/>
        <w:gridCol w:w="1781"/>
        <w:gridCol w:w="1096"/>
        <w:gridCol w:w="1837"/>
        <w:gridCol w:w="1622"/>
      </w:tblGrid>
      <w:tr w14:paraId="22F77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0CC705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  <w:p w14:paraId="2C3BEA0D">
            <w:pPr>
              <w:widowControl/>
              <w:rPr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日期</w:t>
            </w: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EC965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Version</w:t>
            </w:r>
          </w:p>
          <w:p w14:paraId="2DD0E4E9">
            <w:pPr>
              <w:widowControl/>
              <w:rPr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修订版本</w:t>
            </w: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EA817B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 ID /Defect ID</w:t>
            </w:r>
          </w:p>
          <w:p w14:paraId="5C76266C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CR/ Defect</w:t>
            </w:r>
            <w:r>
              <w:rPr>
                <w:rFonts w:hint="eastAsia" w:hAnsi="宋体"/>
                <w:sz w:val="18"/>
                <w:szCs w:val="18"/>
              </w:rPr>
              <w:t>号</w:t>
            </w: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ACD5CD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 No.</w:t>
            </w:r>
          </w:p>
          <w:p w14:paraId="7092E7C5">
            <w:pPr>
              <w:widowControl/>
              <w:rPr>
                <w:rFonts w:hint="eastAsia"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修改章节</w:t>
            </w: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D269A6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 Description</w:t>
            </w:r>
          </w:p>
          <w:p w14:paraId="792BF385">
            <w:pPr>
              <w:widowControl/>
              <w:rPr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修改描述</w:t>
            </w: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2A3CF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</w:t>
            </w:r>
          </w:p>
          <w:p w14:paraId="3D709456">
            <w:pPr>
              <w:widowControl/>
              <w:rPr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作者</w:t>
            </w:r>
          </w:p>
        </w:tc>
      </w:tr>
      <w:tr w14:paraId="7CB24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F070E">
            <w:pPr>
              <w:jc w:val="center"/>
            </w:pPr>
            <w:r>
              <w:rPr>
                <w:rFonts w:ascii="宋体" w:hAnsi="宋体"/>
                <w:sz w:val="17"/>
              </w:rPr>
              <w:t>2026-06-12</w:t>
            </w: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E6D37">
            <w:pPr>
              <w:jc w:val="center"/>
            </w:pPr>
            <w:r>
              <w:rPr>
                <w:rFonts w:ascii="宋体" w:hAnsi="宋体"/>
                <w:sz w:val="17"/>
              </w:rPr>
              <w:t>V1.0</w:t>
            </w: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0BB9B">
            <w:pPr>
              <w:jc w:val="center"/>
            </w:pPr>
            <w:r>
              <w:rPr>
                <w:rFonts w:ascii="宋体" w:hAnsi="宋体"/>
                <w:sz w:val="17"/>
              </w:rPr>
              <w:t>-</w:t>
            </w: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A2757">
            <w:pPr>
              <w:jc w:val="center"/>
            </w:pPr>
            <w:r>
              <w:rPr>
                <w:rFonts w:ascii="宋体" w:hAnsi="宋体"/>
                <w:sz w:val="17"/>
              </w:rPr>
              <w:t>全部</w:t>
            </w: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3FC04">
            <w:pPr>
              <w:jc w:val="center"/>
            </w:pPr>
            <w:r>
              <w:rPr>
                <w:rFonts w:ascii="宋体" w:hAnsi="宋体"/>
                <w:sz w:val="17"/>
              </w:rPr>
              <w:t>首次拟制项目立项报告</w:t>
            </w: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7DCE6">
            <w:pPr>
              <w:jc w:val="center"/>
            </w:pPr>
            <w:r>
              <w:rPr>
                <w:rFonts w:ascii="宋体" w:hAnsi="宋体"/>
                <w:sz w:val="17"/>
              </w:rPr>
              <w:t>Mentora 项目组</w:t>
            </w:r>
          </w:p>
        </w:tc>
      </w:tr>
      <w:tr w14:paraId="3561B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4B81F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C5032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16814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6B3F5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68BFD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93BA5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685B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67152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A27B7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66597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83377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F3DF9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D4A9D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CA7C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7B4EB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8812D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483AD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7324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20FA0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25B54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080F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35B0D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CCC1D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359B1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8AB0F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B3F31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824AE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C3BA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FC24E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20C6A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71BD7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7FA04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33C5D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3995F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2E29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5A97D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81273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C9733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550A5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79DEC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6557B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112C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D023D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FD1A1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DFF79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2B58D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FD08C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4682C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A0F3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29FEF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26013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09BED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EB6E2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EEFBB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3C1C1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EB4E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93F4E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25F99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E3C80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7D8FA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FCF51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52B9F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D1307B8"/>
    <w:p w14:paraId="1E1C02ED">
      <w:pPr>
        <w:sectPr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33A8F2D9">
      <w:pPr>
        <w:pStyle w:val="41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Catalog </w:t>
      </w:r>
    </w:p>
    <w:p w14:paraId="737943DF">
      <w:pPr>
        <w:pStyle w:val="41"/>
        <w:keepNext w:val="0"/>
        <w:widowControl/>
        <w:tabs>
          <w:tab w:val="right" w:leader="dot" w:pos="8300"/>
        </w:tabs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目  录</w:t>
      </w:r>
    </w:p>
    <w:p w14:paraId="15824C19">
      <w:pPr>
        <w:pStyle w:val="18"/>
        <w:tabs>
          <w:tab w:val="left" w:pos="420"/>
          <w:tab w:val="right" w:leader="dot" w:pos="8990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"_Toc232168416" </w:instrText>
      </w:r>
      <w:r>
        <w:fldChar w:fldCharType="separate"/>
      </w:r>
      <w:r>
        <w:rPr>
          <w:rStyle w:val="25"/>
        </w:rPr>
        <w:t>1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25"/>
        </w:rPr>
        <w:t>项目提出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_Toc232168416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AE17D9">
      <w:pPr>
        <w:pStyle w:val="18"/>
        <w:tabs>
          <w:tab w:val="left" w:pos="420"/>
          <w:tab w:val="right" w:leader="dot" w:pos="8990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"_Toc232168417" </w:instrText>
      </w:r>
      <w:r>
        <w:fldChar w:fldCharType="separate"/>
      </w:r>
      <w:r>
        <w:rPr>
          <w:rStyle w:val="25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25"/>
          <w:rFonts w:hAnsi="宋体"/>
        </w:rPr>
        <w:t>开发团队组成和计划时间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_Toc232168417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BD5C596">
      <w:pPr>
        <w:pStyle w:val="18"/>
        <w:tabs>
          <w:tab w:val="left" w:pos="420"/>
          <w:tab w:val="right" w:leader="dot" w:pos="8990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"_Toc232168418" </w:instrText>
      </w:r>
      <w:r>
        <w:fldChar w:fldCharType="separate"/>
      </w:r>
      <w:r>
        <w:rPr>
          <w:rStyle w:val="25"/>
          <w:rFonts w:hAnsi="宋体"/>
        </w:rPr>
        <w:t>3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25"/>
          <w:rFonts w:hAnsi="宋体"/>
        </w:rPr>
        <w:t>项目预计支出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_Toc232168418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09D898">
      <w:pPr>
        <w:pStyle w:val="18"/>
        <w:tabs>
          <w:tab w:val="left" w:pos="420"/>
          <w:tab w:val="right" w:leader="dot" w:pos="8990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"_Toc232168419" </w:instrText>
      </w:r>
      <w:r>
        <w:fldChar w:fldCharType="separate"/>
      </w:r>
      <w:r>
        <w:rPr>
          <w:rStyle w:val="25"/>
        </w:rPr>
        <w:t>4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25"/>
          <w:rFonts w:hAnsi="宋体"/>
        </w:rPr>
        <w:t>风险评估和规避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_Toc232168419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F272B5">
      <w:pPr>
        <w:pStyle w:val="3"/>
        <w:ind w:firstLine="480"/>
      </w:pPr>
      <w:r>
        <w:fldChar w:fldCharType="end"/>
      </w:r>
    </w:p>
    <w:p w14:paraId="172765D8">
      <w:pPr>
        <w:sectPr>
          <w:headerReference r:id="rId7" w:type="default"/>
          <w:footerReference r:id="rId8" w:type="default"/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5D7ACC02">
      <w:pPr>
        <w:pStyle w:val="2"/>
      </w:pPr>
      <w:bookmarkStart w:id="0" w:name="_Toc100483587"/>
      <w:bookmarkStart w:id="1" w:name="_Toc326311859"/>
      <w:bookmarkStart w:id="2" w:name="_Toc112147964"/>
      <w:bookmarkStart w:id="3" w:name="_Toc354489436"/>
      <w:bookmarkStart w:id="4" w:name="_Toc232168416"/>
      <w:r>
        <w:t>项目提出</w:t>
      </w:r>
      <w:bookmarkEnd w:id="0"/>
      <w:bookmarkEnd w:id="1"/>
      <w:bookmarkEnd w:id="2"/>
      <w:bookmarkEnd w:id="3"/>
      <w:bookmarkEnd w:id="4"/>
    </w:p>
    <w:p w14:paraId="4AF15FF0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项目名称：</w:t>
      </w:r>
      <w:bookmarkStart w:id="16" w:name="_GoBack"/>
      <w:bookmarkEnd w:id="16"/>
    </w:p>
    <w:p w14:paraId="28FA53A7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Mentora 个性化学习工作台</w:t>
      </w:r>
    </w:p>
    <w:p w14:paraId="266802DD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项目简介：</w:t>
      </w:r>
    </w:p>
    <w:p w14:paraId="7F429FEA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Mentora 是一个以课程为单位的 AI 个性化学习桌面工作台。用户可以维护长期学习资料库，为具体课程选择明确、可版本化的知识范围，设定学习目标、时间和基础水平。系统基于可信资料生成可编辑学习计划，支持带原文引用的问答、动态练习、掌握度评估和复习调度，形成“资料接入—课程配置—计划生成—学习—评测—调整”的闭环。首发形态为 Windows Electron 桌面客户端，云端采用 Django 模块化单体和异步任务架构。</w:t>
      </w:r>
    </w:p>
    <w:p w14:paraId="39FDC6B9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项目目标：</w:t>
      </w:r>
    </w:p>
    <w:p w14:paraId="57BD84A4">
      <w:pPr>
        <w:spacing w:after="120" w:line="300" w:lineRule="auto"/>
        <w:rPr>
          <w:lang w:val="en-GB"/>
        </w:rPr>
      </w:pPr>
      <w:r>
        <w:rPr>
          <w:rFonts w:ascii="宋体" w:hAnsi="宋体"/>
        </w:rPr>
        <w:t>1. 建立安全、可追溯的用户资料库，支持 PDF 等资料上传、版本管理、解析和引用定位。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2. 建立课程知识作用域，确保 AI 只使用用户明确授权的资料和版本回答问题。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3. 根据学习目标、时间预算和当前基础生成可编辑、可校验的个性化学习计划。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4. 提供课程学习工作台、带证据问答、动态练习、掌握度评估和复习建议。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5. 完成 Windows 桌面端、后端 API、异步任务、数据存储和基础部署链路，并通过核心流程验收。</w:t>
      </w:r>
    </w:p>
    <w:p w14:paraId="1C9674D3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系统边界：</w:t>
      </w:r>
    </w:p>
    <w:p w14:paraId="530C960C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项目范围内：Electron 桌面壳与 React 界面、Django REST API、可恢复 SSE 事件桥接、用户资料与课程作用域、PDF/Office 分阶段解析、PostgreSQL 全文与 pgvector 混合检索、AI 学习计划与练习、掌握度和任务调度、Redis/Celery 异步处理、MinIO 对象存储及开发环境部署。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项目首期范围外：训练自有基础大模型、通用知识图谱、离线 AI、多人实时协作、正式高风险考试、全量微服务拆分，以及绕过版权或访问限制获取网络内容。</w:t>
      </w:r>
    </w:p>
    <w:p w14:paraId="24E52A92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工作量估计：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10"/>
        <w:gridCol w:w="1980"/>
        <w:gridCol w:w="2340"/>
      </w:tblGrid>
      <w:tr w14:paraId="63B2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2" w:hRule="atLeast"/>
          <w:jc w:val="center"/>
        </w:trPr>
        <w:tc>
          <w:tcPr>
            <w:tcW w:w="1984" w:type="dxa"/>
            <w:shd w:val="clear" w:color="auto" w:fill="999999"/>
            <w:vAlign w:val="center"/>
          </w:tcPr>
          <w:p w14:paraId="069EDF36">
            <w:pPr>
              <w:pStyle w:val="36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模块</w:t>
            </w:r>
          </w:p>
        </w:tc>
        <w:tc>
          <w:tcPr>
            <w:tcW w:w="1910" w:type="dxa"/>
            <w:shd w:val="clear" w:color="auto" w:fill="999999"/>
            <w:vAlign w:val="center"/>
          </w:tcPr>
          <w:p w14:paraId="17E5C8A0">
            <w:pPr>
              <w:pStyle w:val="36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子模块</w:t>
            </w:r>
          </w:p>
        </w:tc>
        <w:tc>
          <w:tcPr>
            <w:tcW w:w="1980" w:type="dxa"/>
            <w:shd w:val="clear" w:color="auto" w:fill="999999"/>
            <w:vAlign w:val="center"/>
          </w:tcPr>
          <w:p w14:paraId="654E69D4">
            <w:pPr>
              <w:pStyle w:val="36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工作量估计（人天）</w:t>
            </w:r>
          </w:p>
        </w:tc>
        <w:tc>
          <w:tcPr>
            <w:tcW w:w="2340" w:type="dxa"/>
            <w:shd w:val="clear" w:color="auto" w:fill="999999"/>
            <w:vAlign w:val="center"/>
          </w:tcPr>
          <w:p w14:paraId="0C3EE3B4">
            <w:pPr>
              <w:pStyle w:val="36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说明</w:t>
            </w:r>
          </w:p>
        </w:tc>
      </w:tr>
      <w:tr w14:paraId="7750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FCE5B">
            <w:pPr>
              <w:jc w:val="center"/>
            </w:pPr>
            <w:r>
              <w:rPr>
                <w:rFonts w:ascii="宋体" w:hAnsi="宋体"/>
                <w:sz w:val="17"/>
              </w:rPr>
              <w:t>需求与架构</w:t>
            </w:r>
          </w:p>
        </w:tc>
        <w:tc>
          <w:tcPr>
            <w:tcW w:w="19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4D0E">
            <w:pPr>
              <w:jc w:val="center"/>
            </w:pPr>
            <w:r>
              <w:rPr>
                <w:rFonts w:ascii="宋体" w:hAnsi="宋体"/>
                <w:sz w:val="17"/>
              </w:rPr>
              <w:t>需求分析、领域边界、ADR 与数据模型</w:t>
            </w:r>
          </w:p>
        </w:tc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4DD50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sz w:val="17"/>
                <w:lang w:val="en-US" w:eastAsia="zh-CN"/>
              </w:rPr>
              <w:t>1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B2DFD">
            <w:pPr>
              <w:jc w:val="center"/>
            </w:pPr>
            <w:r>
              <w:rPr>
                <w:rFonts w:ascii="宋体" w:hAnsi="宋体"/>
                <w:sz w:val="17"/>
              </w:rPr>
              <w:t>形成可实施技术基线</w:t>
            </w:r>
          </w:p>
        </w:tc>
      </w:tr>
      <w:tr w14:paraId="2041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CE7B0">
            <w:pPr>
              <w:jc w:val="center"/>
            </w:pPr>
            <w:r>
              <w:rPr>
                <w:rFonts w:ascii="宋体" w:hAnsi="宋体"/>
                <w:sz w:val="17"/>
              </w:rPr>
              <w:t>桌面与前端</w:t>
            </w:r>
          </w:p>
        </w:tc>
        <w:tc>
          <w:tcPr>
            <w:tcW w:w="19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1394F">
            <w:pPr>
              <w:jc w:val="center"/>
            </w:pPr>
            <w:r>
              <w:rPr>
                <w:rFonts w:ascii="宋体" w:hAnsi="宋体"/>
                <w:sz w:val="17"/>
              </w:rPr>
              <w:t>Electron 主进程、Preload、React 课程工作台</w:t>
            </w:r>
          </w:p>
        </w:tc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05489">
            <w:pPr>
              <w:jc w:val="center"/>
            </w:pPr>
            <w:r>
              <w:rPr>
                <w:rFonts w:ascii="宋体" w:hAnsi="宋体"/>
                <w:sz w:val="17"/>
              </w:rPr>
              <w:t>24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7AE29">
            <w:pPr>
              <w:jc w:val="center"/>
            </w:pPr>
            <w:r>
              <w:rPr>
                <w:rFonts w:ascii="宋体" w:hAnsi="宋体"/>
                <w:sz w:val="17"/>
              </w:rPr>
              <w:t>Windows 首发</w:t>
            </w:r>
          </w:p>
        </w:tc>
      </w:tr>
      <w:tr w14:paraId="37FA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5E946">
            <w:pPr>
              <w:jc w:val="center"/>
            </w:pPr>
            <w:r>
              <w:rPr>
                <w:rFonts w:ascii="宋体" w:hAnsi="宋体"/>
                <w:sz w:val="17"/>
              </w:rPr>
              <w:t>后端服务</w:t>
            </w:r>
          </w:p>
        </w:tc>
        <w:tc>
          <w:tcPr>
            <w:tcW w:w="19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2C19A">
            <w:pPr>
              <w:jc w:val="center"/>
            </w:pPr>
            <w:r>
              <w:rPr>
                <w:rFonts w:ascii="宋体" w:hAnsi="宋体"/>
                <w:sz w:val="17"/>
              </w:rPr>
              <w:t>Django API、认证、SSE、任务状态</w:t>
            </w:r>
          </w:p>
        </w:tc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9FA01">
            <w:pPr>
              <w:jc w:val="center"/>
            </w:pPr>
            <w:r>
              <w:rPr>
                <w:rFonts w:ascii="宋体" w:hAnsi="宋体"/>
                <w:sz w:val="17"/>
              </w:rPr>
              <w:t>30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8C6AA">
            <w:pPr>
              <w:jc w:val="center"/>
            </w:pPr>
            <w:r>
              <w:rPr>
                <w:rFonts w:ascii="宋体" w:hAnsi="宋体"/>
                <w:sz w:val="17"/>
              </w:rPr>
              <w:t>模块化单体</w:t>
            </w:r>
          </w:p>
        </w:tc>
      </w:tr>
      <w:tr w14:paraId="0942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2488B">
            <w:pPr>
              <w:jc w:val="center"/>
            </w:pPr>
            <w:r>
              <w:rPr>
                <w:rFonts w:ascii="宋体" w:hAnsi="宋体"/>
                <w:sz w:val="17"/>
              </w:rPr>
              <w:t>资料与检索</w:t>
            </w:r>
          </w:p>
        </w:tc>
        <w:tc>
          <w:tcPr>
            <w:tcW w:w="19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5B765">
            <w:pPr>
              <w:jc w:val="center"/>
            </w:pPr>
            <w:r>
              <w:rPr>
                <w:rFonts w:ascii="宋体" w:hAnsi="宋体"/>
                <w:sz w:val="17"/>
              </w:rPr>
              <w:t>上传、解析、证据、全文与向量检索</w:t>
            </w:r>
          </w:p>
        </w:tc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94853">
            <w:pPr>
              <w:jc w:val="center"/>
            </w:pPr>
            <w:r>
              <w:rPr>
                <w:rFonts w:ascii="宋体" w:hAnsi="宋体"/>
                <w:sz w:val="17"/>
              </w:rPr>
              <w:t>28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87F8D">
            <w:pPr>
              <w:jc w:val="center"/>
            </w:pPr>
            <w:r>
              <w:rPr>
                <w:rFonts w:ascii="宋体" w:hAnsi="宋体"/>
                <w:sz w:val="17"/>
              </w:rPr>
              <w:t>优先完成文本 PDF</w:t>
            </w:r>
          </w:p>
        </w:tc>
      </w:tr>
      <w:tr w14:paraId="24566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97183">
            <w:pPr>
              <w:jc w:val="center"/>
            </w:pPr>
            <w:r>
              <w:rPr>
                <w:rFonts w:ascii="宋体" w:hAnsi="宋体"/>
                <w:sz w:val="17"/>
              </w:rPr>
              <w:t>AI 学习闭环</w:t>
            </w:r>
          </w:p>
        </w:tc>
        <w:tc>
          <w:tcPr>
            <w:tcW w:w="19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49A44">
            <w:pPr>
              <w:jc w:val="center"/>
            </w:pPr>
            <w:r>
              <w:rPr>
                <w:rFonts w:ascii="宋体" w:hAnsi="宋体"/>
                <w:sz w:val="17"/>
              </w:rPr>
              <w:t>画像、计划、问答、练习与掌握度</w:t>
            </w:r>
          </w:p>
        </w:tc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ED6DB">
            <w:pPr>
              <w:jc w:val="center"/>
            </w:pPr>
            <w:r>
              <w:rPr>
                <w:rFonts w:ascii="宋体" w:hAnsi="宋体"/>
                <w:sz w:val="17"/>
              </w:rPr>
              <w:t>30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55338">
            <w:pPr>
              <w:jc w:val="center"/>
            </w:pPr>
            <w:r>
              <w:rPr>
                <w:rFonts w:ascii="宋体" w:hAnsi="宋体"/>
                <w:sz w:val="17"/>
              </w:rPr>
              <w:t>输出需校验和可追溯</w:t>
            </w:r>
          </w:p>
        </w:tc>
      </w:tr>
      <w:tr w14:paraId="44FD0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42C53">
            <w:pPr>
              <w:jc w:val="center"/>
            </w:pPr>
            <w:r>
              <w:rPr>
                <w:rFonts w:ascii="宋体" w:hAnsi="宋体"/>
                <w:sz w:val="17"/>
              </w:rPr>
              <w:t>测试与部署</w:t>
            </w:r>
          </w:p>
        </w:tc>
        <w:tc>
          <w:tcPr>
            <w:tcW w:w="19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53E93">
            <w:pPr>
              <w:jc w:val="center"/>
            </w:pPr>
            <w:r>
              <w:rPr>
                <w:rFonts w:ascii="宋体" w:hAnsi="宋体"/>
                <w:sz w:val="17"/>
              </w:rPr>
              <w:t>自动化测试、安全检查、Docker 与文档</w:t>
            </w:r>
          </w:p>
        </w:tc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E5FC0">
            <w:pPr>
              <w:jc w:val="center"/>
            </w:pPr>
            <w:r>
              <w:rPr>
                <w:rFonts w:ascii="宋体" w:hAnsi="宋体"/>
                <w:sz w:val="17"/>
              </w:rPr>
              <w:t>20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C1420">
            <w:pPr>
              <w:jc w:val="center"/>
            </w:pPr>
            <w:r>
              <w:rPr>
                <w:rFonts w:ascii="宋体" w:hAnsi="宋体"/>
                <w:sz w:val="17"/>
              </w:rPr>
              <w:t>覆盖核心验收路径</w:t>
            </w:r>
          </w:p>
        </w:tc>
      </w:tr>
      <w:tr w14:paraId="28DC1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85B9C">
            <w:pPr>
              <w:jc w:val="center"/>
            </w:pPr>
            <w:r>
              <w:rPr>
                <w:rFonts w:ascii="宋体" w:hAnsi="宋体"/>
                <w:sz w:val="17"/>
              </w:rPr>
              <w:t>项目管理</w:t>
            </w:r>
          </w:p>
        </w:tc>
        <w:tc>
          <w:tcPr>
            <w:tcW w:w="19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F4949">
            <w:pPr>
              <w:jc w:val="center"/>
            </w:pPr>
            <w:r>
              <w:rPr>
                <w:rFonts w:ascii="宋体" w:hAnsi="宋体"/>
                <w:sz w:val="17"/>
              </w:rPr>
              <w:t>计划跟踪、评审、风险和成果汇总</w:t>
            </w:r>
          </w:p>
        </w:tc>
        <w:tc>
          <w:tcPr>
            <w:tcW w:w="19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B58A7">
            <w:pPr>
              <w:jc w:val="center"/>
            </w:pPr>
            <w:r>
              <w:rPr>
                <w:rFonts w:ascii="宋体" w:hAnsi="宋体"/>
                <w:sz w:val="17"/>
              </w:rPr>
              <w:t>10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4BE0E">
            <w:pPr>
              <w:jc w:val="center"/>
            </w:pPr>
            <w:r>
              <w:rPr>
                <w:rFonts w:ascii="宋体" w:hAnsi="宋体"/>
                <w:sz w:val="17"/>
              </w:rPr>
              <w:t>贯穿项目全过程</w:t>
            </w:r>
          </w:p>
        </w:tc>
      </w:tr>
      <w:tr w14:paraId="1A82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0819E"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总工作量（人天）：</w:t>
            </w:r>
          </w:p>
        </w:tc>
        <w:tc>
          <w:tcPr>
            <w:tcW w:w="623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94E6E">
            <w:pPr>
              <w:jc w:val="center"/>
            </w:pPr>
          </w:p>
        </w:tc>
      </w:tr>
    </w:tbl>
    <w:p w14:paraId="275DEBAA">
      <w:pPr>
        <w:pStyle w:val="12"/>
      </w:pPr>
      <w:bookmarkStart w:id="5" w:name="_Toc35543525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工作量估算</w:t>
      </w:r>
      <w:bookmarkEnd w:id="5"/>
    </w:p>
    <w:p w14:paraId="59268DA8">
      <w:pPr>
        <w:pStyle w:val="21"/>
        <w:spacing w:after="120" w:line="300" w:lineRule="auto"/>
        <w:rPr>
          <w:rFonts w:hint="eastAsia"/>
          <w:sz w:val="18"/>
          <w:szCs w:val="18"/>
          <w:lang w:val="en-GB"/>
        </w:rPr>
      </w:pPr>
      <w:r>
        <w:rPr>
          <w:sz w:val="18"/>
        </w:rPr>
        <w:t>备注：“人天”指 1 人工作 8 小时。本估算为立项基线，迭代评审后可调整。</w:t>
      </w:r>
    </w:p>
    <w:p w14:paraId="37154903">
      <w:pPr>
        <w:pStyle w:val="2"/>
      </w:pPr>
      <w:bookmarkStart w:id="6" w:name="_Toc232168417"/>
      <w:bookmarkStart w:id="7" w:name="_Toc354489437"/>
      <w:r>
        <w:rPr>
          <w:rFonts w:hAnsi="宋体"/>
        </w:rPr>
        <w:t>开发团队组成和计划时间</w:t>
      </w:r>
      <w:bookmarkEnd w:id="6"/>
      <w:bookmarkEnd w:id="7"/>
    </w:p>
    <w:p w14:paraId="469ECFE8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</w:pPr>
      <w:r>
        <w:rPr>
          <w:rFonts w:ascii="宋体" w:hAnsi="宋体"/>
          <w:b/>
        </w:rPr>
        <w:t>项目计划：2026 年 6 月 1</w:t>
      </w:r>
      <w:r>
        <w:rPr>
          <w:rFonts w:hint="eastAsia" w:ascii="宋体" w:hAnsi="宋体"/>
          <w:b/>
          <w:lang w:val="en-US" w:eastAsia="zh-CN"/>
        </w:rPr>
        <w:t>2</w:t>
      </w:r>
      <w:r>
        <w:rPr>
          <w:rFonts w:ascii="宋体" w:hAnsi="宋体"/>
          <w:b/>
        </w:rPr>
        <w:t xml:space="preserve"> 日 - 2026 年 </w:t>
      </w:r>
      <w:r>
        <w:rPr>
          <w:rFonts w:hint="eastAsia" w:ascii="宋体" w:hAnsi="宋体"/>
          <w:b/>
          <w:lang w:val="en-US" w:eastAsia="zh-CN"/>
        </w:rPr>
        <w:t>7</w:t>
      </w:r>
      <w:r>
        <w:rPr>
          <w:rFonts w:ascii="宋体" w:hAnsi="宋体"/>
          <w:b/>
        </w:rPr>
        <w:t xml:space="preserve"> 月 </w:t>
      </w:r>
      <w:r>
        <w:rPr>
          <w:rFonts w:hint="eastAsia" w:ascii="宋体" w:hAnsi="宋体"/>
          <w:b/>
          <w:lang w:val="en-US" w:eastAsia="zh-CN"/>
        </w:rPr>
        <w:t>4</w:t>
      </w:r>
      <w:r>
        <w:rPr>
          <w:rFonts w:ascii="宋体" w:hAnsi="宋体"/>
          <w:b/>
        </w:rPr>
        <w:t xml:space="preserve"> 日（计划基线：</w:t>
      </w:r>
      <w:r>
        <w:rPr>
          <w:rFonts w:hint="eastAsia" w:ascii="宋体" w:hAnsi="宋体"/>
          <w:b/>
          <w:lang w:val="en-US" w:eastAsia="zh-CN"/>
        </w:rPr>
        <w:t>3</w:t>
      </w:r>
      <w:r>
        <w:rPr>
          <w:rFonts w:ascii="宋体" w:hAnsi="宋体"/>
          <w:b/>
        </w:rPr>
        <w:t xml:space="preserve"> 周）</w:t>
      </w:r>
    </w:p>
    <w:p w14:paraId="57B96189">
      <w:pPr>
        <w:spacing w:after="120" w:line="300" w:lineRule="auto"/>
        <w:ind w:firstLine="718" w:firstLineChars="342"/>
        <w:rPr>
          <w:rFonts w:ascii="宋体" w:hAnsi="宋体"/>
        </w:rPr>
      </w:pPr>
      <w:r>
        <w:rPr>
          <w:rFonts w:ascii="宋体" w:hAnsi="宋体"/>
        </w:rPr>
        <w:t>第 1 周：需求确认、架构基线与开发环境；桌面壳、资料上传、文本 PDF 解析与检索；</w:t>
      </w:r>
    </w:p>
    <w:p w14:paraId="665D0AB4">
      <w:pPr>
        <w:spacing w:after="120" w:line="300" w:lineRule="auto"/>
        <w:ind w:firstLine="718" w:firstLineChars="342"/>
        <w:rPr>
          <w:rFonts w:ascii="宋体" w:hAnsi="宋体"/>
        </w:rPr>
      </w:pPr>
      <w:r>
        <w:rPr>
          <w:rFonts w:ascii="宋体" w:hAnsi="宋体"/>
        </w:rPr>
        <w:t>第 2 周：课程配置、计划、问答和练习闭环；</w:t>
      </w:r>
    </w:p>
    <w:p w14:paraId="559ACCA0">
      <w:pPr>
        <w:spacing w:after="120" w:line="300" w:lineRule="auto"/>
        <w:ind w:firstLine="718" w:firstLineChars="342"/>
      </w:pPr>
      <w:r>
        <w:rPr>
          <w:rFonts w:ascii="宋体" w:hAnsi="宋体"/>
        </w:rPr>
        <w:t xml:space="preserve">第 </w:t>
      </w: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 xml:space="preserve"> 周：集成、安全与性能测试；缺陷修复、验收演示与文档归档。</w:t>
      </w:r>
    </w:p>
    <w:p w14:paraId="2EA8EBB2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</w:pPr>
      <w:r>
        <w:rPr>
          <w:rFonts w:ascii="宋体" w:hAnsi="宋体"/>
          <w:b/>
        </w:rPr>
        <w:t>项目总监：1 人    姓名：待填写（指导教师/项目负责人）</w:t>
      </w:r>
    </w:p>
    <w:p w14:paraId="2166CFC7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职责：方向把控、重大方案评审、阶段验收和资源协调。</w:t>
      </w:r>
    </w:p>
    <w:p w14:paraId="003DBD0B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</w:pPr>
      <w:r>
        <w:rPr>
          <w:rFonts w:ascii="宋体" w:hAnsi="宋体"/>
          <w:b/>
        </w:rPr>
        <w:t>项目经理：1 人    姓名：待填写</w:t>
      </w:r>
    </w:p>
    <w:p w14:paraId="5B8A07DE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职责：任务拆解、进度跟踪、风险管理、质量检查和交付组织。</w:t>
      </w:r>
    </w:p>
    <w:p w14:paraId="595CA451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</w:pPr>
      <w:r>
        <w:rPr>
          <w:rFonts w:ascii="宋体" w:hAnsi="宋体"/>
          <w:b/>
        </w:rPr>
        <w:t>项目成员：4 人</w:t>
      </w:r>
    </w:p>
    <w:p w14:paraId="172745BC">
      <w:pPr>
        <w:spacing w:line="360" w:lineRule="auto"/>
        <w:ind w:firstLine="718" w:firstLineChars="342"/>
        <w:rPr>
          <w:lang w:val="en-GB"/>
        </w:rPr>
      </w:pPr>
    </w:p>
    <w:p w14:paraId="58AB000F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人员来源：</w:t>
      </w:r>
    </w:p>
    <w:p w14:paraId="332E1338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专业实训项目小组。实际成员姓名、学号、指导教师和最终职责由小组确认后补录。</w:t>
      </w:r>
    </w:p>
    <w:p w14:paraId="09A42809">
      <w:pPr>
        <w:spacing w:line="360" w:lineRule="auto"/>
        <w:ind w:firstLine="718" w:firstLineChars="342"/>
        <w:rPr>
          <w:lang w:val="en-GB"/>
        </w:rPr>
      </w:pPr>
    </w:p>
    <w:p w14:paraId="79A088D4">
      <w:pPr>
        <w:spacing w:line="360" w:lineRule="auto"/>
        <w:ind w:firstLine="718" w:firstLineChars="342"/>
        <w:rPr>
          <w:lang w:val="en-GB"/>
        </w:rPr>
      </w:pPr>
    </w:p>
    <w:p w14:paraId="1EAE29A0">
      <w:pPr>
        <w:pStyle w:val="2"/>
        <w:rPr>
          <w:rFonts w:hint="eastAsia" w:hAnsi="宋体"/>
        </w:rPr>
      </w:pPr>
      <w:bookmarkStart w:id="8" w:name="_Toc232168418"/>
      <w:bookmarkStart w:id="9" w:name="_Toc354489438"/>
      <w:bookmarkStart w:id="10" w:name="_Toc112147966"/>
      <w:bookmarkStart w:id="11" w:name="_Toc326311861"/>
      <w:r>
        <w:rPr>
          <w:rFonts w:hAnsi="宋体"/>
        </w:rPr>
        <w:t>项目预计支出</w:t>
      </w:r>
      <w:bookmarkEnd w:id="8"/>
      <w:bookmarkEnd w:id="9"/>
      <w:bookmarkEnd w:id="10"/>
      <w:bookmarkEnd w:id="11"/>
    </w:p>
    <w:p w14:paraId="1A7F954D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</w:pPr>
      <w:r>
        <w:rPr>
          <w:rFonts w:ascii="宋体" w:hAnsi="宋体"/>
          <w:b/>
        </w:rPr>
        <w:t>设备、场地占用费：</w:t>
      </w:r>
    </w:p>
    <w:p w14:paraId="2B8F6AF7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0 元。使用现有个人计算机、学校场地和开源开发工具。</w:t>
      </w:r>
    </w:p>
    <w:p w14:paraId="38073DDA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lang w:val="en-GB"/>
        </w:rPr>
      </w:pPr>
      <w:r>
        <w:rPr>
          <w:rFonts w:ascii="宋体" w:hAnsi="宋体"/>
          <w:b/>
        </w:rPr>
        <w:t>本地人员工资（管理费）：</w:t>
      </w:r>
    </w:p>
    <w:p w14:paraId="15553DB6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0 元。</w:t>
      </w:r>
    </w:p>
    <w:p w14:paraId="022D2E36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外协人员工资：</w:t>
      </w:r>
    </w:p>
    <w:p w14:paraId="1A527ED9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0 元。</w:t>
      </w:r>
    </w:p>
    <w:p w14:paraId="69D90B45">
      <w:pPr>
        <w:spacing w:line="360" w:lineRule="auto"/>
        <w:ind w:firstLine="718" w:firstLineChars="342"/>
        <w:rPr>
          <w:lang w:val="en-GB"/>
        </w:rPr>
      </w:pPr>
    </w:p>
    <w:p w14:paraId="46924F00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加班费：</w:t>
      </w:r>
    </w:p>
    <w:p w14:paraId="75ED9348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0 元。</w:t>
      </w:r>
    </w:p>
    <w:p w14:paraId="36381AA8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交通费：</w:t>
      </w:r>
    </w:p>
    <w:p w14:paraId="21636F48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0 元。</w:t>
      </w:r>
    </w:p>
    <w:p w14:paraId="7EB0E53C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住宿费：</w:t>
      </w:r>
    </w:p>
    <w:p w14:paraId="635724F5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0 元。</w:t>
      </w:r>
    </w:p>
    <w:p w14:paraId="2131B614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其它费用（业务、办公、云服务等）：</w:t>
      </w:r>
    </w:p>
    <w:p w14:paraId="0B22E666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立项基线为 0 元。开发阶段优先使用本地 Docker、开源组件和免费额度；如需商业模型 API、对象存储或代码签名，须单独评估并审批。</w:t>
      </w:r>
    </w:p>
    <w:p w14:paraId="54ED9552">
      <w:pPr>
        <w:spacing w:line="360" w:lineRule="auto"/>
        <w:ind w:firstLine="718" w:firstLineChars="342"/>
        <w:rPr>
          <w:lang w:val="en-GB"/>
        </w:rPr>
      </w:pPr>
    </w:p>
    <w:p w14:paraId="39864275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总计：0 元（不含后续经审批产生的商业 API 或云资源费用）</w:t>
      </w:r>
    </w:p>
    <w:p w14:paraId="6EB049E8">
      <w:pPr>
        <w:spacing w:line="360" w:lineRule="auto"/>
        <w:ind w:firstLine="718" w:firstLineChars="342"/>
        <w:rPr>
          <w:lang w:val="en-GB"/>
        </w:rPr>
      </w:pPr>
    </w:p>
    <w:p w14:paraId="7C104D74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</w:rPr>
        <w:t>说明：本预算适用于专业实训和原型验证阶段；生产部署费用不纳入本次立项基线。</w:t>
      </w:r>
    </w:p>
    <w:p w14:paraId="187844DE">
      <w:pPr>
        <w:spacing w:line="360" w:lineRule="auto"/>
        <w:ind w:firstLine="718" w:firstLineChars="342"/>
        <w:rPr>
          <w:lang w:val="en-GB"/>
        </w:rPr>
      </w:pPr>
    </w:p>
    <w:p w14:paraId="58F6B783">
      <w:pPr>
        <w:pStyle w:val="2"/>
      </w:pPr>
      <w:bookmarkStart w:id="12" w:name="_Toc232168419"/>
      <w:bookmarkStart w:id="13" w:name="_Toc326311862"/>
      <w:bookmarkStart w:id="14" w:name="_Toc112147970"/>
      <w:bookmarkStart w:id="15" w:name="_Toc354489439"/>
      <w:r>
        <w:rPr>
          <w:rFonts w:hAnsi="宋体"/>
        </w:rPr>
        <w:t>风险评估和规避</w:t>
      </w:r>
      <w:bookmarkEnd w:id="12"/>
      <w:bookmarkEnd w:id="13"/>
      <w:bookmarkEnd w:id="14"/>
      <w:bookmarkEnd w:id="15"/>
    </w:p>
    <w:p w14:paraId="0BEB05A5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技术风险：</w:t>
      </w:r>
    </w:p>
    <w:p w14:paraId="52443161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1. 大模型可能产生无依据回答，动态题目可能存在事实、答案或难度错误。</w:t>
      </w:r>
    </w:p>
    <w:p w14:paraId="1D27370C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2. PDF/Office 版式复杂，OCR、表格和引用坐标可能不准确；Electron、API 与 SSE 链路也可能出现安全或断线恢复问题。</w:t>
      </w:r>
    </w:p>
    <w:p w14:paraId="047794EA">
      <w:pPr>
        <w:spacing w:after="120" w:line="300" w:lineRule="auto"/>
        <w:ind w:firstLine="718" w:firstLineChars="342"/>
      </w:pPr>
      <w:r>
        <w:rPr>
          <w:rFonts w:ascii="宋体" w:hAnsi="宋体"/>
        </w:rPr>
        <w:t>解决：强制资料作用域和证据引用；采用结构化输出、确定性规则、独立验证与失败回退；建立解析质量指标和基准集；Electron 启用 contextIsolation、sandbox 和最小化 typed preload；长任务持久化状态并支持幂等、重试和事件续传。</w:t>
      </w:r>
    </w:p>
    <w:p w14:paraId="7A988868">
      <w:pPr>
        <w:spacing w:line="360" w:lineRule="auto"/>
        <w:ind w:firstLine="718" w:firstLineChars="342"/>
        <w:rPr>
          <w:lang w:val="en-GB"/>
        </w:rPr>
      </w:pPr>
    </w:p>
    <w:p w14:paraId="48B5EED9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管理风险：</w:t>
      </w:r>
    </w:p>
    <w:p w14:paraId="0698D86C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1. 功能范围覆盖资料解析、AI、桌面端和学习闭环，容易出现需求膨胀和关键路径延期。</w:t>
      </w:r>
    </w:p>
    <w:p w14:paraId="30B355B1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2. 小组成员技能和投入时间不均衡，模块接口未冻结时可能产生返工和集成冲突。</w:t>
      </w:r>
    </w:p>
    <w:p w14:paraId="6AEB3274">
      <w:pPr>
        <w:spacing w:after="120" w:line="300" w:lineRule="auto"/>
        <w:ind w:firstLine="718" w:firstLineChars="342"/>
      </w:pPr>
      <w:r>
        <w:rPr>
          <w:rFonts w:ascii="宋体" w:hAnsi="宋体"/>
        </w:rPr>
        <w:t>解决：以 M0 文本 PDF 纵向样板为首要里程碑，按周迭代和验收；使用 ADR、接口契约和任务看板冻结关键决策；实行代码评审、交叉测试和风险周检，延期时优先缩减非核心功能。</w:t>
      </w:r>
    </w:p>
    <w:p w14:paraId="5BFB6D19">
      <w:pPr>
        <w:spacing w:line="360" w:lineRule="auto"/>
        <w:ind w:firstLine="718" w:firstLineChars="342"/>
        <w:rPr>
          <w:lang w:val="en-GB"/>
        </w:rPr>
      </w:pPr>
    </w:p>
    <w:p w14:paraId="579533B8">
      <w:pPr>
        <w:numPr>
          <w:ilvl w:val="0"/>
          <w:numId w:val="2"/>
        </w:numPr>
        <w:tabs>
          <w:tab w:val="left" w:pos="720"/>
        </w:tabs>
        <w:spacing w:after="120" w:line="300" w:lineRule="auto"/>
        <w:ind w:left="720" w:hanging="540"/>
        <w:rPr>
          <w:b/>
        </w:rPr>
      </w:pPr>
      <w:r>
        <w:rPr>
          <w:rFonts w:ascii="宋体" w:hAnsi="宋体"/>
          <w:b/>
        </w:rPr>
        <w:t>其它风险：</w:t>
      </w:r>
    </w:p>
    <w:p w14:paraId="11EDF94E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1. 用户上传资料可能涉及隐私、版权、恶意文件和越权访问。</w:t>
      </w:r>
    </w:p>
    <w:p w14:paraId="7181E88B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2. 外部模型、OCR、搜索或云服务可能出现额度、成本、延迟和可用性波动。</w:t>
      </w:r>
    </w:p>
    <w:p w14:paraId="1FC31A14">
      <w:pPr>
        <w:spacing w:after="120" w:line="300" w:lineRule="auto"/>
        <w:ind w:firstLine="718" w:firstLineChars="342"/>
        <w:rPr>
          <w:lang w:val="en-GB"/>
        </w:rPr>
      </w:pPr>
      <w:r>
        <w:rPr>
          <w:rFonts w:ascii="宋体" w:hAnsi="宋体"/>
        </w:rPr>
        <w:t>解决：执行文件类型与大小校验、恶意文件扫描、私有对象存储、短期签名 URL、权限过滤和日志脱敏；保留来源与授权信息；模型网关设置预算、超时、降级和替代提供方，核心流程提供可解释回退。</w:t>
      </w:r>
    </w:p>
    <w:p w14:paraId="1ACC353A">
      <w:pPr>
        <w:spacing w:line="360" w:lineRule="auto"/>
        <w:ind w:firstLine="718" w:firstLineChars="342"/>
        <w:rPr>
          <w:lang w:val="en-GB"/>
        </w:rPr>
      </w:pPr>
    </w:p>
    <w:p w14:paraId="2722C23F">
      <w:pPr>
        <w:pStyle w:val="3"/>
        <w:ind w:firstLine="480"/>
        <w:rPr>
          <w:lang w:val="en-GB"/>
        </w:rPr>
      </w:pPr>
    </w:p>
    <w:p w14:paraId="7B82ABFF">
      <w:pPr>
        <w:pStyle w:val="3"/>
        <w:ind w:firstLine="480"/>
      </w:pPr>
    </w:p>
    <w:sectPr>
      <w:pgSz w:w="11906" w:h="16838"/>
      <w:pgMar w:top="1400" w:right="1133" w:bottom="1559" w:left="1644" w:header="312" w:footer="53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9F83A">
    <w:pPr>
      <w:pStyle w:val="16"/>
    </w:pPr>
    <w:r>
      <w:rPr>
        <w:rFonts w:hint="eastAsia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3FE484A3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52CD8">
    <w:pPr>
      <w:pStyle w:val="16"/>
      <w:jc w:val="both"/>
    </w:pPr>
  </w:p>
  <w:p w14:paraId="0DA64C83">
    <w:pPr>
      <w:pStyle w:val="16"/>
      <w:jc w:val="both"/>
    </w:pPr>
    <w:r>
      <w:rPr>
        <w:rFonts w:hint="eastAsia"/>
      </w:rPr>
      <w:t xml:space="preserve">学链科技          </w:t>
    </w:r>
    <w:r>
      <w:t xml:space="preserve">Page 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</w:t>
    </w:r>
    <w:r>
      <w:t xml:space="preserve"> of</w:t>
    </w:r>
    <w:r>
      <w:rPr>
        <w:rFonts w:hint="eastAsia"/>
      </w:rPr>
      <w:t xml:space="preserve">  6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3FD202C0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15F89">
    <w:pPr>
      <w:pStyle w:val="16"/>
      <w:spacing w:line="360" w:lineRule="auto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76DAB58D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61D8A">
    <w:pPr>
      <w:pStyle w:val="17"/>
      <w:tabs>
        <w:tab w:val="clear" w:pos="4153"/>
        <w:tab w:val="clear" w:pos="8306"/>
      </w:tabs>
    </w:pPr>
    <w:r>
      <w:rPr>
        <w:u w:val="single"/>
      </w:rPr>
      <w:pict>
        <v:shape id="_x0000_i1025" o:spt="75" type="#_x0000_t75" style="height:28.7pt;width:432.9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65EFC">
    <w:pPr>
      <w:pStyle w:val="17"/>
    </w:pPr>
    <w:r>
      <w:rPr>
        <w:rFonts w:hint="eastAsia"/>
      </w:rPr>
      <w:t xml:space="preserve">              </w:t>
    </w:r>
    <w:r>
      <w:rPr>
        <w:u w:val="single"/>
      </w:rPr>
      <w:pict>
        <v:shape id="_x0000_i1026" o:spt="75" type="#_x0000_t75" style="height:28.7pt;width:432.9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rPr>
        <w:rFonts w:hint="eastAsia"/>
      </w:rPr>
      <w:t xml:space="preserve">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CFE6B">
    <w:pPr>
      <w:pStyle w:val="17"/>
      <w:tabs>
        <w:tab w:val="clear" w:pos="4153"/>
        <w:tab w:val="clear" w:pos="8306"/>
      </w:tabs>
    </w:pPr>
    <w:r>
      <w:rPr>
        <w:u w:val="single"/>
      </w:rPr>
      <w:pict>
        <v:shape id="_x0000_i1027" o:spt="75" type="#_x0000_t75" style="height:28.7pt;width:432.9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00000008"/>
    <w:multiLevelType w:val="multilevel"/>
    <w:tmpl w:val="00000008"/>
    <w:lvl w:ilvl="0" w:tentative="0">
      <w:start w:val="1"/>
      <w:numFmt w:val="bullet"/>
      <w:lvlText w:val=""/>
      <w:lvlPicBulletId w:val="0"/>
      <w:lvlJc w:val="left"/>
      <w:pPr>
        <w:tabs>
          <w:tab w:val="left" w:pos="1255"/>
        </w:tabs>
        <w:ind w:left="125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75"/>
        </w:tabs>
        <w:ind w:left="167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95"/>
        </w:tabs>
        <w:ind w:left="209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15"/>
        </w:tabs>
        <w:ind w:left="251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35"/>
        </w:tabs>
        <w:ind w:left="293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55"/>
        </w:tabs>
        <w:ind w:left="335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75"/>
        </w:tabs>
        <w:ind w:left="377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95"/>
        </w:tabs>
        <w:ind w:left="419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15"/>
        </w:tabs>
        <w:ind w:left="4615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GE3Y2I3OTRlNTA1NjUwZGY1NGI3NTM4NWZhMGI4N2IifQ=="/>
  </w:docVars>
  <w:rsids>
    <w:rsidRoot w:val="00172A27"/>
    <w:rsid w:val="00172A27"/>
    <w:rsid w:val="008A616D"/>
    <w:rsid w:val="00C36C9D"/>
    <w:rsid w:val="00D135D8"/>
    <w:rsid w:val="00D250AC"/>
    <w:rsid w:val="00FA4EA3"/>
    <w:rsid w:val="1DEC57A6"/>
    <w:rsid w:val="1EBD051F"/>
    <w:rsid w:val="240A022E"/>
    <w:rsid w:val="25791078"/>
    <w:rsid w:val="25F429DB"/>
    <w:rsid w:val="292C1F0D"/>
    <w:rsid w:val="2FB850EF"/>
    <w:rsid w:val="39E45A75"/>
    <w:rsid w:val="40A25DBE"/>
    <w:rsid w:val="40B71AD6"/>
    <w:rsid w:val="449E568F"/>
    <w:rsid w:val="4983649B"/>
    <w:rsid w:val="6C386C1D"/>
    <w:rsid w:val="729B46BD"/>
    <w:rsid w:val="7378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qFormat="1" w:unhideWhenUsed="0" w:uiPriority="0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tabs>
        <w:tab w:val="left" w:pos="540"/>
      </w:tabs>
      <w:spacing w:before="360" w:line="0" w:lineRule="atLeast"/>
      <w:outlineLvl w:val="0"/>
    </w:pPr>
    <w:rPr>
      <w:b/>
      <w:bCs/>
      <w:kern w:val="44"/>
      <w:sz w:val="32"/>
      <w:szCs w:val="32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spacing w:before="240" w:line="0" w:lineRule="atLeast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before="120" w:line="0" w:lineRule="atLeast"/>
      <w:outlineLvl w:val="2"/>
    </w:pPr>
    <w:rPr>
      <w:b/>
      <w:bCs/>
      <w:sz w:val="24"/>
      <w:szCs w:val="28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spacing w:before="120" w:line="0" w:lineRule="atLeast"/>
      <w:outlineLvl w:val="3"/>
    </w:pPr>
    <w:rPr>
      <w:b/>
      <w:bCs/>
    </w:rPr>
  </w:style>
  <w:style w:type="paragraph" w:styleId="7">
    <w:name w:val="heading 5"/>
    <w:basedOn w:val="1"/>
    <w:next w:val="1"/>
    <w:link w:val="26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27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28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29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30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</w:rPr>
  </w:style>
  <w:style w:type="character" w:default="1" w:styleId="23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1 正文"/>
    <w:basedOn w:val="1"/>
    <w:qFormat/>
    <w:uiPriority w:val="0"/>
    <w:pPr>
      <w:spacing w:before="100" w:beforeAutospacing="1" w:after="100" w:afterAutospacing="1" w:line="360" w:lineRule="auto"/>
      <w:ind w:firstLine="200" w:firstLineChars="200"/>
      <w:contextualSpacing/>
    </w:pPr>
    <w:rPr>
      <w:sz w:val="24"/>
    </w:rPr>
  </w:style>
  <w:style w:type="paragraph" w:styleId="12">
    <w:name w:val="caption"/>
    <w:basedOn w:val="1"/>
    <w:next w:val="1"/>
    <w:qFormat/>
    <w:uiPriority w:val="0"/>
    <w:pPr>
      <w:jc w:val="center"/>
    </w:pPr>
    <w:rPr>
      <w:rFonts w:ascii="Arial" w:hAnsi="Arial" w:eastAsia="黑体" w:cs="Arial"/>
      <w:sz w:val="18"/>
      <w:szCs w:val="20"/>
    </w:rPr>
  </w:style>
  <w:style w:type="paragraph" w:styleId="13">
    <w:name w:val="Document Map"/>
    <w:basedOn w:val="1"/>
    <w:qFormat/>
    <w:uiPriority w:val="0"/>
    <w:pPr>
      <w:shd w:val="clear" w:color="auto" w:fill="00008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1"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9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20">
    <w:name w:val="toc 2"/>
    <w:basedOn w:val="1"/>
    <w:next w:val="1"/>
    <w:qFormat/>
    <w:uiPriority w:val="0"/>
    <w:pPr>
      <w:ind w:left="420" w:leftChars="200"/>
    </w:pPr>
  </w:style>
  <w:style w:type="paragraph" w:styleId="21">
    <w:name w:val="HTML Preformatted"/>
    <w:basedOn w:val="1"/>
    <w:link w:val="32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styleId="24">
    <w:name w:val="page number"/>
    <w:qFormat/>
    <w:uiPriority w:val="0"/>
  </w:style>
  <w:style w:type="character" w:styleId="25">
    <w:name w:val="Hyperlink"/>
    <w:uiPriority w:val="99"/>
    <w:rPr>
      <w:color w:val="0000FF"/>
      <w:u w:val="single"/>
    </w:rPr>
  </w:style>
  <w:style w:type="character" w:customStyle="1" w:styleId="26">
    <w:name w:val="标题 5 字符"/>
    <w:link w:val="7"/>
    <w:qFormat/>
    <w:uiPriority w:val="0"/>
    <w:rPr>
      <w:b/>
      <w:bCs/>
      <w:kern w:val="2"/>
      <w:sz w:val="28"/>
      <w:szCs w:val="28"/>
    </w:rPr>
  </w:style>
  <w:style w:type="character" w:customStyle="1" w:styleId="27">
    <w:name w:val="标题 6 字符"/>
    <w:link w:val="8"/>
    <w:qFormat/>
    <w:uiPriority w:val="0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28">
    <w:name w:val="标题 7 字符"/>
    <w:link w:val="9"/>
    <w:qFormat/>
    <w:uiPriority w:val="0"/>
    <w:rPr>
      <w:b/>
      <w:bCs/>
      <w:kern w:val="2"/>
      <w:sz w:val="24"/>
      <w:szCs w:val="24"/>
    </w:rPr>
  </w:style>
  <w:style w:type="character" w:customStyle="1" w:styleId="29">
    <w:name w:val="标题 8 字符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30">
    <w:name w:val="标题 9 字符"/>
    <w:link w:val="11"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31">
    <w:name w:val="批注框文本 字符"/>
    <w:link w:val="15"/>
    <w:qFormat/>
    <w:uiPriority w:val="0"/>
    <w:rPr>
      <w:kern w:val="2"/>
      <w:sz w:val="18"/>
      <w:szCs w:val="18"/>
    </w:rPr>
  </w:style>
  <w:style w:type="character" w:customStyle="1" w:styleId="32">
    <w:name w:val="HTML 预设格式 字符"/>
    <w:link w:val="21"/>
    <w:qFormat/>
    <w:uiPriority w:val="0"/>
    <w:rPr>
      <w:rFonts w:ascii="宋体" w:hAnsi="宋体" w:cs="宋体"/>
      <w:sz w:val="24"/>
      <w:szCs w:val="24"/>
    </w:rPr>
  </w:style>
  <w:style w:type="character" w:customStyle="1" w:styleId="33">
    <w:name w:val="表头样式 Char Char"/>
    <w:link w:val="34"/>
    <w:uiPriority w:val="0"/>
    <w:rPr>
      <w:rFonts w:ascii="Arial" w:hAnsi="Arial"/>
      <w:b/>
      <w:sz w:val="21"/>
      <w:szCs w:val="22"/>
    </w:rPr>
  </w:style>
  <w:style w:type="paragraph" w:customStyle="1" w:styleId="34">
    <w:name w:val="表头样式"/>
    <w:basedOn w:val="1"/>
    <w:link w:val="33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Cs w:val="22"/>
    </w:rPr>
  </w:style>
  <w:style w:type="character" w:customStyle="1" w:styleId="35">
    <w:name w:val="表格文本 Char Char"/>
    <w:link w:val="36"/>
    <w:uiPriority w:val="0"/>
    <w:rPr>
      <w:rFonts w:ascii="Arial" w:hAnsi="Arial" w:eastAsia="宋体"/>
      <w:szCs w:val="21"/>
      <w:lang w:val="en-US" w:eastAsia="en-US" w:bidi="ar-SA"/>
    </w:rPr>
  </w:style>
  <w:style w:type="paragraph" w:customStyle="1" w:styleId="36">
    <w:name w:val="表格文本"/>
    <w:basedOn w:val="1"/>
    <w:link w:val="35"/>
    <w:qFormat/>
    <w:uiPriority w:val="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lang w:eastAsia="en-US"/>
    </w:rPr>
  </w:style>
  <w:style w:type="paragraph" w:customStyle="1" w:styleId="37">
    <w:name w:val="封面表格文本"/>
    <w:basedOn w:val="1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paragraph" w:customStyle="1" w:styleId="38">
    <w:name w:val="1 编写建议"/>
    <w:basedOn w:val="3"/>
    <w:uiPriority w:val="0"/>
    <w:pPr>
      <w:ind w:firstLine="420"/>
    </w:pPr>
    <w:rPr>
      <w:i/>
      <w:color w:val="0000FF"/>
    </w:rPr>
  </w:style>
  <w:style w:type="paragraph" w:customStyle="1" w:styleId="39">
    <w:name w:val="正文 + 左  4字符"/>
    <w:basedOn w:val="3"/>
    <w:uiPriority w:val="0"/>
    <w:pPr>
      <w:ind w:left="400" w:leftChars="400" w:firstLine="0" w:firstLineChars="0"/>
    </w:pPr>
    <w:rPr>
      <w:rFonts w:cs="宋体"/>
      <w:szCs w:val="20"/>
    </w:rPr>
  </w:style>
  <w:style w:type="paragraph" w:customStyle="1" w:styleId="40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41">
    <w:name w:val="缺省文本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type="paragraph" w:customStyle="1" w:styleId="42">
    <w:name w:val="宋体 四号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宋体"/>
      <w:kern w:val="0"/>
      <w:sz w:val="28"/>
      <w:szCs w:val="20"/>
    </w:rPr>
  </w:style>
  <w:style w:type="paragraph" w:customStyle="1" w:styleId="43">
    <w:name w:val="摘要"/>
    <w:basedOn w:val="1"/>
    <w:uiPriority w:val="0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Ruanko_P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Pages>7</Pages>
  <Words>2178</Words>
  <Characters>2586</Characters>
  <Lines>178</Lines>
  <Paragraphs>173</Paragraphs>
  <TotalTime>1</TotalTime>
  <ScaleCrop>false</ScaleCrop>
  <LinksUpToDate>false</LinksUpToDate>
  <CharactersWithSpaces>2744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2012-09-12T01:58:00Z</dcterms:created>
  <dc:creator>Mentora 项目组</dc:creator>
  <dc:description>依据项目启动报告模板和 smartStudy/Mentora 仓库资料生成</dc:description>
  <cp:lastModifiedBy>意匆匆</cp:lastModifiedBy>
  <dcterms:modified xsi:type="dcterms:W3CDTF">2026-06-12T07:05:09Z</dcterms:modified>
  <dc:subject>专业实训项目启动文件</dc:subject>
  <dc:title>Mentora 项目立项报告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311757E1D7544D0CAEF47356AAF476B5_13</vt:lpwstr>
  </property>
  <property fmtid="{D5CDD505-2E9C-101B-9397-08002B2CF9AE}" pid="4" name="KSOTemplateDocerSaveRecord">
    <vt:lpwstr>eyJoZGlkIjoiOGQwNDIwYThhNWQ2OTBjOWE4OTJhZjBhNWQyNzJjMGMiLCJ1c2VySWQiOiIxNjE4Nzc4MzkwIn0=</vt:lpwstr>
  </property>
</Properties>
</file>