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72776" w14:textId="77777777" w:rsidR="00ED31F5" w:rsidRPr="0079682D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682D">
        <w:rPr>
          <w:rFonts w:ascii="Times New Roman" w:hAnsi="Times New Roman" w:cs="Times New Roman"/>
          <w:b/>
          <w:sz w:val="28"/>
          <w:szCs w:val="28"/>
        </w:rPr>
        <w:t xml:space="preserve"> Bibliography</w:t>
      </w:r>
    </w:p>
    <w:p w14:paraId="3EA1840D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 xml:space="preserve">M.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Brunstrom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 and B. Carlberg, “Association of blood pressure lowering ¨ with mortality and cardiovascular disease across blood pressure levels: a systematic review and meta-analysis,” JAMA internal medicine, vol. 178, no. 1, pp. 28–36, 2018. </w:t>
      </w:r>
    </w:p>
    <w:p w14:paraId="5553CAAD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 xml:space="preserve">[2] “World health organization: Hypertension,” https://www.who.int/ news-room/fact-sheets/detail/hypertension, (accessed on 1st June 2022). </w:t>
      </w:r>
    </w:p>
    <w:p w14:paraId="0A933487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 xml:space="preserve">[3] N. M. Kaplan, Kaplan’s clinical hypertension. Lippincott Williams &amp; Wilkins, 2010. </w:t>
      </w:r>
    </w:p>
    <w:p w14:paraId="4C52E52D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 xml:space="preserve">[4] S. Kulkarni, I. O’Farrell, M.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Erasi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and M. Kochar, “Stress and hypertension.” WMJ: official publication of the State Medical Society of Wisconsin, vol. 97, no. 11, pp. 34–38, 1998. </w:t>
      </w:r>
    </w:p>
    <w:p w14:paraId="232EC9CA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 xml:space="preserve">[5] A. Virdis, C. Giannarelli, M. Fritsch Neves, S. Taddei, and L.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Ghiadoni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“Cigarette smoking and hypertension,” Current pharmaceutical design, vol. 16, no. 23, pp. 2518–2525, 2010. </w:t>
      </w:r>
    </w:p>
    <w:p w14:paraId="55000713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 xml:space="preserve">[6] E. S. Ford and R. S. Cooper, “Risk factors for hypertension in a national cohort study.” Hypertension, vol. 18, no. 5, pp. 598–606, 1991. </w:t>
      </w:r>
    </w:p>
    <w:p w14:paraId="7D1C42AF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 xml:space="preserve">[7] M. Wall, “Idiopathic intracranial hypertension,” Neurologic clinics, vol. 28, no. 3, pp. 593–617, 2010. </w:t>
      </w:r>
    </w:p>
    <w:p w14:paraId="40372B29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 xml:space="preserve">[8] J. R. Chiong, W. S. Aronow, I. A. Khan, C. K. Nair, K. Vijayaraghavan, R. A. Dart, T. R.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Behrenbeck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and S. A. Geraci, “Secondary hypertension: current diagnosis and treatment,” International journal of cardiology, vol. 124, no. 1, pp. 6–21, 2008. </w:t>
      </w:r>
    </w:p>
    <w:p w14:paraId="1F7F99D7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 xml:space="preserve">[9] S.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Gulec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“Early diagnosis saves lives: focus on patients with hypertension,” Kidney international supplements, vol. 3, no. 4, pp. 332–334, 2013. </w:t>
      </w:r>
    </w:p>
    <w:p w14:paraId="7D3D8DB1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 xml:space="preserve">[10] M.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Nilashi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O. bin Ibrahim, H. Ahmadi, and L. Shahmoradi, “An analytical method for diseases prediction using machine learning techniques,” Computers &amp; Chemical Engineering, vol. 106, pp. 212–223, 2017. [11] N.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Fazakis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O. Kocsis, E. Dritsas, S. Alexiou, N.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Fakotakis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and K. Moustakas, “Machine </w:t>
      </w:r>
      <w:r w:rsidRPr="0079682D">
        <w:rPr>
          <w:rFonts w:ascii="Times New Roman" w:eastAsia="SimSun" w:hAnsi="Times New Roman" w:cs="Times New Roman"/>
          <w:sz w:val="28"/>
          <w:szCs w:val="28"/>
        </w:rPr>
        <w:lastRenderedPageBreak/>
        <w:t xml:space="preserve">learning tools for long-term type 2 diabetes risk prediction,” IEEE Access, vol. 9, pp. 103 737–103 757, 2021. </w:t>
      </w:r>
    </w:p>
    <w:p w14:paraId="3D71AF2B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 xml:space="preserve">[12] S. Alexiou, E. Dritsas, O. Kocsis, K. Moustakas, and N.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Fakotakis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“An approach for personalized continuous glucose prediction with regression trees,” in 2021 6th South-East Europe Design Automation, Computer Engineering, Computer Networks and Social Media Conference (SEEDACECNSM). IEEE, 2021, pp. 1–6. </w:t>
      </w:r>
    </w:p>
    <w:p w14:paraId="4D59E5CD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 xml:space="preserve">[13] E. Dritsas, S. Alexiou, I.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Konstantoulas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>, and K. Moustakas, “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Shortterm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 glucose prediction based on oral glucose tolerance test values,” in International Joint Conference on Biomedical Engineering Systems and Technologies - HEALTHINF, vol. 5, 2022, pp. 249–255. </w:t>
      </w:r>
    </w:p>
    <w:p w14:paraId="0CD1D9DE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 xml:space="preserve">[14] E. Dritsas and M.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Trigka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“Data-driven machine-learning methods for diabetes risk prediction,” Sensors, vol. 22, no. 14, p. 5304, 2022. </w:t>
      </w:r>
    </w:p>
    <w:p w14:paraId="699FDECE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 xml:space="preserve">[15] N.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Fazakis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E. Dritsas, O. Kocsis, N.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Fakotakis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and K. Moustakas, “Long-term cholesterol risk prediction with machine learning techniques in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elsa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 database,” in 13th International Joint Conference on Computational Intelligence (IJCCI). SCIPTRESS, 2021, pp. 445–450. </w:t>
      </w:r>
    </w:p>
    <w:p w14:paraId="353377C7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 xml:space="preserve">[16] E. Dritsas and M.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Trigka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“Machine learning methods for hypercholesterolemia long-term risk prediction,” Sensors, vol. 22, no. 14, p. 5365, 2022. </w:t>
      </w:r>
    </w:p>
    <w:p w14:paraId="1286D933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 xml:space="preserve">[17] I.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Konstantoulas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O. Kocsis, E. Dritsas, N.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Fakotakis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and K. Moustakas, “Sleep quality monitoring with human assisted corrections,” in International Joint Conference on Computational Intelligence (IJCCI). SCIPTRESS, 2021, pp. 435–444. </w:t>
      </w:r>
    </w:p>
    <w:p w14:paraId="5A472D14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>[18] E. Dritsas, S. Alexiou, and K. Moustakas, “</w:t>
      </w:r>
      <w:proofErr w:type="gramStart"/>
      <w:r w:rsidRPr="0079682D">
        <w:rPr>
          <w:rFonts w:ascii="Times New Roman" w:eastAsia="SimSun" w:hAnsi="Times New Roman" w:cs="Times New Roman"/>
          <w:sz w:val="28"/>
          <w:szCs w:val="28"/>
        </w:rPr>
        <w:t>Cardiovascular disease</w:t>
      </w:r>
      <w:proofErr w:type="gram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 risk prediction with supervised machine learning techniques.” in ICT4AWE, 2022, pp. 315–321. </w:t>
      </w:r>
    </w:p>
    <w:p w14:paraId="779930E7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 xml:space="preserve">[19] ——, “COPD severity prediction in elderly with ML techniques,” in Proceedings of the 15th International Conference on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PErvasive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 Technologies Related to Assistive Environments, 2022, pp. 185–189. </w:t>
      </w:r>
    </w:p>
    <w:p w14:paraId="4AF6098D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lastRenderedPageBreak/>
        <w:t xml:space="preserve">[20] E. Dritsas and M.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Trigka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“Stroke risk prediction with machine learning techniques,” Sensors, vol. 22, no. 13, p. 4670, 2022. </w:t>
      </w:r>
    </w:p>
    <w:p w14:paraId="5BD934F9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 xml:space="preserve">[21] S.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Lalmuanawma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J. Hussain, and L.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Chhakchhuak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“Applications of machine learning and artificial intelligence for covid-19 (sars-cov-2) pandemic: A review,” Chaos, Solitons &amp; Fractals, vol. 139, p. 110059, 2020. [22] D. LaFreniere, F.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Zulkernine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D. Barber, and K. Martin, “Using machine learning to predict hypertension from a clinical dataset,” in 2016 IEEE symposium series on computational intelligence (SSCI). IEEE, 2016, pp. 1–7. [23] E. Dritsas, N.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Fazakis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O. Kocsis, N.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Fakotakis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and K. Moustakas, “Long-term hypertension risk prediction with ML techniques in ELSA database,” in International Conference on Learning and Intelligent Optimization. Springer, 2021, pp. 113–120. </w:t>
      </w:r>
    </w:p>
    <w:p w14:paraId="36D20AA0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 xml:space="preserve">[24] V. S. Kublanov, A. Y.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Dolganov</w:t>
      </w:r>
      <w:proofErr w:type="spellEnd"/>
      <w:r w:rsidRPr="0079682D">
        <w:rPr>
          <w:rFonts w:ascii="Times New Roman" w:eastAsia="SimSun" w:hAnsi="Times New Roman" w:cs="Times New Roman"/>
          <w:sz w:val="28"/>
          <w:szCs w:val="28"/>
        </w:rPr>
        <w:t xml:space="preserve">, D. Belo, and H. Gamboa, “Comparison of machine learning methods for the arterial hypertension diagnostics,” Applied bionics and biomechanics, vol. 2017, 2017. </w:t>
      </w:r>
    </w:p>
    <w:p w14:paraId="32EE719F" w14:textId="77777777" w:rsidR="00ED31F5" w:rsidRPr="0079682D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682D">
        <w:rPr>
          <w:rFonts w:ascii="Times New Roman" w:eastAsia="SimSun" w:hAnsi="Times New Roman" w:cs="Times New Roman"/>
          <w:sz w:val="28"/>
          <w:szCs w:val="28"/>
        </w:rPr>
        <w:t xml:space="preserve">[25] W. Chang, Y. Liu, Y. Xiao, X. Yuan, X. Xu, S. Zhang, and S. Zhou, “A machine-learning-based prediction method for hypertension </w:t>
      </w:r>
      <w:proofErr w:type="spellStart"/>
      <w:r w:rsidRPr="0079682D">
        <w:rPr>
          <w:rFonts w:ascii="Times New Roman" w:eastAsia="SimSun" w:hAnsi="Times New Roman" w:cs="Times New Roman"/>
          <w:sz w:val="28"/>
          <w:szCs w:val="28"/>
        </w:rPr>
        <w:t>outco</w:t>
      </w:r>
      <w:proofErr w:type="spellEnd"/>
    </w:p>
    <w:sectPr w:rsidR="00ED31F5" w:rsidRPr="00796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2036A" w14:textId="77777777" w:rsidR="005C6577" w:rsidRDefault="005C6577">
      <w:pPr>
        <w:spacing w:line="240" w:lineRule="auto"/>
      </w:pPr>
      <w:r>
        <w:separator/>
      </w:r>
    </w:p>
  </w:endnote>
  <w:endnote w:type="continuationSeparator" w:id="0">
    <w:p w14:paraId="428840EC" w14:textId="77777777" w:rsidR="005C6577" w:rsidRDefault="005C65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CB0A7" w14:textId="77777777" w:rsidR="005C6577" w:rsidRDefault="005C6577">
      <w:pPr>
        <w:spacing w:after="0"/>
      </w:pPr>
      <w:r>
        <w:separator/>
      </w:r>
    </w:p>
  </w:footnote>
  <w:footnote w:type="continuationSeparator" w:id="0">
    <w:p w14:paraId="48939989" w14:textId="77777777" w:rsidR="005C6577" w:rsidRDefault="005C65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D15A487"/>
    <w:multiLevelType w:val="singleLevel"/>
    <w:tmpl w:val="CD15A487"/>
    <w:lvl w:ilvl="0">
      <w:start w:val="1"/>
      <w:numFmt w:val="decimal"/>
      <w:suff w:val="space"/>
      <w:lvlText w:val="[%1]"/>
      <w:lvlJc w:val="left"/>
    </w:lvl>
  </w:abstractNum>
  <w:num w:numId="1" w16cid:durableId="1652975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07FA"/>
    <w:rsid w:val="00081BE4"/>
    <w:rsid w:val="002F07CB"/>
    <w:rsid w:val="00307F07"/>
    <w:rsid w:val="00340E3F"/>
    <w:rsid w:val="003C11F5"/>
    <w:rsid w:val="005C6577"/>
    <w:rsid w:val="006607FA"/>
    <w:rsid w:val="0079682D"/>
    <w:rsid w:val="007B29B7"/>
    <w:rsid w:val="00A66F4A"/>
    <w:rsid w:val="00B80554"/>
    <w:rsid w:val="00EC1424"/>
    <w:rsid w:val="00ED31F5"/>
    <w:rsid w:val="00F55AF8"/>
    <w:rsid w:val="00F65581"/>
    <w:rsid w:val="6E9F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D31E2"/>
  <w15:docId w15:val="{08F288A9-4FF7-44D1-B03B-2A073216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721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Datapoint</dc:creator>
  <cp:lastModifiedBy>Python_38</cp:lastModifiedBy>
  <cp:revision>13</cp:revision>
  <dcterms:created xsi:type="dcterms:W3CDTF">2022-01-05T11:18:00Z</dcterms:created>
  <dcterms:modified xsi:type="dcterms:W3CDTF">2023-08-29T04:57:00Z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1033-12.2.0.13110</vt:lpwstr>
  </property>
  <property fmtid="{D5CDD505-2E9C-101B-9397-08002B2CF9AE}" pid="3" name="ICV">
    <vt:lpwstr>1AFDB56D2630458E9AF1E41768215750_12</vt:lpwstr>
  </property>
</Properties>
</file>