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A562" w14:textId="381A48DE" w:rsidR="005E4507" w:rsidRDefault="00B3021E" w:rsidP="00A8010C">
      <w:pPr>
        <w:pStyle w:val="2"/>
      </w:pPr>
      <w:r>
        <w:t>U</w:t>
      </w:r>
      <w:r w:rsidR="00A8010C">
        <w:t xml:space="preserve">pdates </w:t>
      </w:r>
      <w:r w:rsidR="00200FB0">
        <w:t>on</w:t>
      </w:r>
      <w:r w:rsidR="00A8010C">
        <w:t xml:space="preserve"> the </w:t>
      </w:r>
      <w:r w:rsidR="00200FB0">
        <w:t xml:space="preserve">charge flux </w:t>
      </w:r>
      <w:r w:rsidR="00A8010C">
        <w:t>paramet</w:t>
      </w:r>
      <w:r w:rsidR="00200FB0">
        <w:t xml:space="preserve">ers for </w:t>
      </w:r>
      <w:proofErr w:type="spellStart"/>
      <w:r w:rsidR="00200FB0">
        <w:t>oganic</w:t>
      </w:r>
      <w:proofErr w:type="spellEnd"/>
      <w:r w:rsidR="00200FB0">
        <w:t xml:space="preserve"> molecules</w:t>
      </w:r>
    </w:p>
    <w:p w14:paraId="0DD5861C" w14:textId="70F1111E" w:rsidR="00BB262E" w:rsidRDefault="006A558A" w:rsidP="00464E91">
      <w:pPr>
        <w:pStyle w:val="a"/>
      </w:pPr>
      <w:r>
        <w:t>Here w</w:t>
      </w:r>
      <w:r w:rsidR="00BB262E">
        <w:t>e report the recent update on the charge flux (CF) parameters for organic molecules. The functional forms of CF remain the same as our previous publication.</w:t>
      </w:r>
      <w:r w:rsidR="00BB262E">
        <w:rPr>
          <w:rStyle w:val="mx-1"/>
          <w:color w:val="auto"/>
          <w:shd w:val="clear" w:color="auto" w:fill="FFFFFF"/>
        </w:rPr>
        <w:fldChar w:fldCharType="begin"/>
      </w:r>
      <w:r w:rsidR="00BB262E">
        <w:rPr>
          <w:rStyle w:val="mx-1"/>
          <w:color w:val="auto"/>
          <w:shd w:val="clear" w:color="auto" w:fill="FFFFFF"/>
        </w:rPr>
        <w:instrText xml:space="preserve"> ADDIN EN.CITE &lt;EndNote&gt;&lt;Cite&gt;&lt;Author&gt;Yang&lt;/Author&gt;&lt;Year&gt;2020&lt;/Year&gt;&lt;RecNum&gt;33&lt;/RecNum&gt;&lt;DisplayText&gt;&lt;style face="superscript"&gt;1&lt;/style&gt;&lt;/DisplayText&gt;&lt;record&gt;&lt;rec-number&gt;33&lt;/rec-number&gt;&lt;foreign-keys&gt;&lt;key app="EN" db-id="p5v0trpfn2twxke2tt0xpr5dr9wr00rtrt2r" timestamp="1645426320"&gt;33&lt;/key&gt;&lt;/foreign-keys&gt;&lt;ref-type name="Journal Article"&gt;17&lt;/ref-type&gt;&lt;contributors&gt;&lt;authors&gt;&lt;author&gt;Yang, Xudong&lt;/author&gt;&lt;author&gt;Liu, Chengwen&lt;/author&gt;&lt;author&gt;Walker, Brandon D.&lt;/author&gt;&lt;author&gt;Ren, Pengyu&lt;/author&gt;&lt;/authors&gt;&lt;/contributors&gt;&lt;titles&gt;&lt;title&gt;Accurate description of molecular dipole surface with charge flux implemented for molecular mechanics&lt;/title&gt;&lt;secondary-title&gt;The Journal of Chemical Physics&lt;/secondary-title&gt;&lt;/titles&gt;&lt;periodical&gt;&lt;full-title&gt;The Journal of Chemical Physics&lt;/full-title&gt;&lt;/periodical&gt;&lt;pages&gt;064103&lt;/pages&gt;&lt;volume&gt;153&lt;/volume&gt;&lt;number&gt;6&lt;/number&gt;&lt;dates&gt;&lt;year&gt;2020&lt;/year&gt;&lt;pub-dates&gt;&lt;date&gt;2020/08/14&lt;/date&gt;&lt;/pub-dates&gt;&lt;/dates&gt;&lt;publisher&gt;American Institute of Physics&lt;/publisher&gt;&lt;isbn&gt;0021-9606&lt;/isbn&gt;&lt;urls&gt;&lt;related-urls&gt;&lt;url&gt;https://doi.org/10.1063/5.0016376&lt;/url&gt;&lt;/related-urls&gt;&lt;/urls&gt;&lt;electronic-resource-num&gt;10.1063/5.0016376&lt;/electronic-resource-num&gt;&lt;access-date&gt;2022/02/20&lt;/access-date&gt;&lt;/record&gt;&lt;/Cite&gt;&lt;/EndNote&gt;</w:instrText>
      </w:r>
      <w:r w:rsidR="00BB262E">
        <w:rPr>
          <w:rStyle w:val="mx-1"/>
          <w:color w:val="auto"/>
          <w:shd w:val="clear" w:color="auto" w:fill="FFFFFF"/>
        </w:rPr>
        <w:fldChar w:fldCharType="separate"/>
      </w:r>
      <w:r w:rsidR="00BB262E" w:rsidRPr="00A14A13">
        <w:rPr>
          <w:rStyle w:val="mx-1"/>
          <w:noProof/>
          <w:color w:val="auto"/>
          <w:shd w:val="clear" w:color="auto" w:fill="FFFFFF"/>
          <w:vertAlign w:val="superscript"/>
        </w:rPr>
        <w:t>1</w:t>
      </w:r>
      <w:r w:rsidR="00BB262E">
        <w:rPr>
          <w:rStyle w:val="mx-1"/>
          <w:color w:val="auto"/>
          <w:shd w:val="clear" w:color="auto" w:fill="FFFFFF"/>
        </w:rPr>
        <w:fldChar w:fldCharType="end"/>
      </w:r>
      <w:r w:rsidR="00BB262E">
        <w:t xml:space="preserve"> This set of parameters are derived from a bigger amount of organic molecules (484 neutral molecules). In addition, the atomic multipoles have been re</w:t>
      </w:r>
      <w:r w:rsidR="00CD20B3">
        <w:t>-</w:t>
      </w:r>
      <w:r w:rsidR="00BB262E">
        <w:t xml:space="preserve">derived with the AMOEBA+ protocol. </w:t>
      </w:r>
      <w:proofErr w:type="gramStart"/>
      <w:r w:rsidR="00BB262E">
        <w:t>That being said, this</w:t>
      </w:r>
      <w:proofErr w:type="gramEnd"/>
      <w:r w:rsidR="00BB262E">
        <w:t xml:space="preserve"> set of parameters are mainly designed for the use with the AMOEBA+ force field. </w:t>
      </w:r>
    </w:p>
    <w:p w14:paraId="26A8AE47" w14:textId="7FD1A469" w:rsidR="00A8010C" w:rsidRDefault="00A8010C" w:rsidP="00464E91">
      <w:pPr>
        <w:pStyle w:val="a"/>
        <w:rPr>
          <w:rStyle w:val="mx-1"/>
          <w:color w:val="auto"/>
          <w:shd w:val="clear" w:color="auto" w:fill="FFFFFF"/>
        </w:rPr>
      </w:pPr>
      <w:r>
        <w:rPr>
          <w:rStyle w:val="mx-1"/>
          <w:color w:val="auto"/>
          <w:shd w:val="clear" w:color="auto" w:fill="FFFFFF"/>
        </w:rPr>
        <w:t xml:space="preserve">The atomic types used for CF </w:t>
      </w:r>
      <w:r w:rsidR="00464E91">
        <w:rPr>
          <w:rStyle w:val="mx-1"/>
          <w:color w:val="auto"/>
          <w:shd w:val="clear" w:color="auto" w:fill="FFFFFF"/>
        </w:rPr>
        <w:t>have already been</w:t>
      </w:r>
      <w:r>
        <w:rPr>
          <w:rStyle w:val="mx-1"/>
          <w:color w:val="auto"/>
          <w:shd w:val="clear" w:color="auto" w:fill="FFFFFF"/>
        </w:rPr>
        <w:t xml:space="preserve"> made consistent with the atomic classes for valence parametrization, so it is more convenient for Tinker to recognize </w:t>
      </w:r>
      <w:r w:rsidR="00464E91">
        <w:rPr>
          <w:rStyle w:val="mx-1"/>
          <w:color w:val="auto"/>
          <w:shd w:val="clear" w:color="auto" w:fill="FFFFFF"/>
        </w:rPr>
        <w:t>those parameters</w:t>
      </w:r>
      <w:r w:rsidR="00BA790E">
        <w:rPr>
          <w:rStyle w:val="mx-1"/>
          <w:color w:val="auto"/>
          <w:shd w:val="clear" w:color="auto" w:fill="FFFFFF"/>
        </w:rPr>
        <w:t xml:space="preserve">. Readers can refer to </w:t>
      </w:r>
      <w:r w:rsidR="00BA790E" w:rsidRPr="00BA790E">
        <w:rPr>
          <w:rStyle w:val="mx-1"/>
          <w:color w:val="auto"/>
          <w:shd w:val="clear" w:color="auto" w:fill="FFFFFF"/>
        </w:rPr>
        <w:t>amoebaplusCFluxType.dat</w:t>
      </w:r>
      <w:r w:rsidR="00BA790E">
        <w:rPr>
          <w:rStyle w:val="mx-1"/>
          <w:color w:val="auto"/>
          <w:shd w:val="clear" w:color="auto" w:fill="FFFFFF"/>
        </w:rPr>
        <w:t xml:space="preserve"> and </w:t>
      </w:r>
      <w:r w:rsidR="00BA790E" w:rsidRPr="00BA790E">
        <w:rPr>
          <w:rStyle w:val="mx-1"/>
          <w:color w:val="auto"/>
          <w:shd w:val="clear" w:color="auto" w:fill="FFFFFF"/>
        </w:rPr>
        <w:t>amoebaplusBondedType.dat</w:t>
      </w:r>
      <w:r w:rsidR="00BA790E">
        <w:rPr>
          <w:rStyle w:val="mx-1"/>
          <w:color w:val="auto"/>
          <w:shd w:val="clear" w:color="auto" w:fill="FFFFFF"/>
        </w:rPr>
        <w:t xml:space="preserve"> in </w:t>
      </w:r>
      <w:proofErr w:type="spellStart"/>
      <w:r w:rsidR="00BA790E" w:rsidRPr="00BA790E">
        <w:rPr>
          <w:rStyle w:val="mx-1"/>
          <w:color w:val="auto"/>
          <w:shd w:val="clear" w:color="auto" w:fill="FFFFFF"/>
        </w:rPr>
        <w:t>amoebaplus_parameter</w:t>
      </w:r>
      <w:proofErr w:type="spellEnd"/>
      <w:r w:rsidR="00BA790E" w:rsidRPr="00BA790E">
        <w:rPr>
          <w:rStyle w:val="mx-1"/>
          <w:color w:val="auto"/>
          <w:shd w:val="clear" w:color="auto" w:fill="FFFFFF"/>
        </w:rPr>
        <w:t>/dat</w:t>
      </w:r>
      <w:r w:rsidR="00464E91">
        <w:rPr>
          <w:rStyle w:val="mx-1"/>
          <w:color w:val="auto"/>
          <w:shd w:val="clear" w:color="auto" w:fill="FFFFFF"/>
        </w:rPr>
        <w:t>. The old version (</w:t>
      </w:r>
      <w:proofErr w:type="spellStart"/>
      <w:r w:rsidR="00931752">
        <w:fldChar w:fldCharType="begin"/>
      </w:r>
      <w:r w:rsidR="00931752">
        <w:instrText xml:space="preserve"> HYPERLINK "https://github.com/prenlab/amoebaplus_parameter" </w:instrText>
      </w:r>
      <w:r w:rsidR="00931752">
        <w:fldChar w:fldCharType="separate"/>
      </w:r>
      <w:r w:rsidR="00464E91" w:rsidRPr="00464E91">
        <w:rPr>
          <w:rStyle w:val="mx-1"/>
          <w:color w:val="auto"/>
          <w:shd w:val="clear" w:color="auto" w:fill="FFFFFF"/>
        </w:rPr>
        <w:t>amoebaplus_parameter</w:t>
      </w:r>
      <w:proofErr w:type="spellEnd"/>
      <w:r w:rsidR="00931752">
        <w:rPr>
          <w:rStyle w:val="mx-1"/>
          <w:color w:val="auto"/>
          <w:shd w:val="clear" w:color="auto" w:fill="FFFFFF"/>
        </w:rPr>
        <w:fldChar w:fldCharType="end"/>
      </w:r>
      <w:r w:rsidR="00464E91" w:rsidRPr="00464E91">
        <w:rPr>
          <w:rStyle w:val="mx-1"/>
          <w:color w:val="auto"/>
          <w:shd w:val="clear" w:color="auto" w:fill="FFFFFF"/>
        </w:rPr>
        <w:t>/</w:t>
      </w:r>
      <w:proofErr w:type="spellStart"/>
      <w:r w:rsidR="00464E91" w:rsidRPr="00464E91">
        <w:rPr>
          <w:rStyle w:val="mx-1"/>
          <w:color w:val="auto"/>
        </w:rPr>
        <w:t>prm</w:t>
      </w:r>
      <w:proofErr w:type="spellEnd"/>
      <w:r w:rsidR="00464E91" w:rsidRPr="00464E91">
        <w:rPr>
          <w:rStyle w:val="mx-1"/>
          <w:color w:val="auto"/>
          <w:shd w:val="clear" w:color="auto" w:fill="FFFFFF"/>
        </w:rPr>
        <w:t>/</w:t>
      </w:r>
      <w:r w:rsidR="00464E91">
        <w:rPr>
          <w:rStyle w:val="mx-1"/>
          <w:color w:val="auto"/>
          <w:shd w:val="clear" w:color="auto" w:fill="FFFFFF"/>
        </w:rPr>
        <w:t xml:space="preserve">cflux2021.prm) will be </w:t>
      </w:r>
      <w:r w:rsidR="00E83347" w:rsidRPr="00E83347">
        <w:rPr>
          <w:rStyle w:val="mx-1"/>
          <w:color w:val="auto"/>
          <w:shd w:val="clear" w:color="auto" w:fill="FFFFFF"/>
        </w:rPr>
        <w:t>deprecate</w:t>
      </w:r>
      <w:r w:rsidR="00E83347">
        <w:rPr>
          <w:rStyle w:val="mx-1"/>
          <w:color w:val="auto"/>
          <w:shd w:val="clear" w:color="auto" w:fill="FFFFFF"/>
        </w:rPr>
        <w:t>d</w:t>
      </w:r>
      <w:r w:rsidR="00464E91">
        <w:rPr>
          <w:rStyle w:val="mx-1"/>
          <w:color w:val="auto"/>
          <w:shd w:val="clear" w:color="auto" w:fill="FFFFFF"/>
        </w:rPr>
        <w:t>.</w:t>
      </w:r>
    </w:p>
    <w:p w14:paraId="145DF27F" w14:textId="0EBF635E" w:rsidR="00464E91" w:rsidRDefault="00464E91" w:rsidP="00464E91">
      <w:pPr>
        <w:pStyle w:val="a"/>
        <w:rPr>
          <w:rStyle w:val="mx-1"/>
          <w:color w:val="auto"/>
          <w:shd w:val="clear" w:color="auto" w:fill="FFFFFF"/>
        </w:rPr>
      </w:pPr>
      <w:r>
        <w:rPr>
          <w:rStyle w:val="mx-1"/>
          <w:rFonts w:hint="eastAsia"/>
          <w:color w:val="auto"/>
          <w:shd w:val="clear" w:color="auto" w:fill="FFFFFF"/>
        </w:rPr>
        <w:t>T</w:t>
      </w:r>
      <w:r>
        <w:rPr>
          <w:rStyle w:val="mx-1"/>
          <w:color w:val="auto"/>
          <w:shd w:val="clear" w:color="auto" w:fill="FFFFFF"/>
        </w:rPr>
        <w:t xml:space="preserve">he </w:t>
      </w:r>
      <w:r w:rsidR="00D764B5">
        <w:rPr>
          <w:rStyle w:val="mx-1"/>
          <w:color w:val="auto"/>
          <w:shd w:val="clear" w:color="auto" w:fill="FFFFFF"/>
        </w:rPr>
        <w:t>standard</w:t>
      </w:r>
      <w:r>
        <w:rPr>
          <w:rStyle w:val="mx-1"/>
          <w:color w:val="auto"/>
          <w:shd w:val="clear" w:color="auto" w:fill="FFFFFF"/>
        </w:rPr>
        <w:t xml:space="preserve"> set of CF parameters has been recorded in </w:t>
      </w:r>
      <w:hyperlink r:id="rId6" w:history="1">
        <w:proofErr w:type="spellStart"/>
        <w:r w:rsidRPr="00464E91">
          <w:rPr>
            <w:rStyle w:val="mx-1"/>
            <w:color w:val="auto"/>
            <w:shd w:val="clear" w:color="auto" w:fill="FFFFFF"/>
          </w:rPr>
          <w:t>amoebaplus_parameter</w:t>
        </w:r>
        <w:proofErr w:type="spellEnd"/>
      </w:hyperlink>
      <w:r w:rsidRPr="00464E91">
        <w:rPr>
          <w:rStyle w:val="mx-1"/>
          <w:color w:val="auto"/>
          <w:shd w:val="clear" w:color="auto" w:fill="FFFFFF"/>
        </w:rPr>
        <w:t>/</w:t>
      </w:r>
      <w:proofErr w:type="spellStart"/>
      <w:r w:rsidRPr="00464E91">
        <w:rPr>
          <w:rStyle w:val="mx-1"/>
          <w:color w:val="auto"/>
        </w:rPr>
        <w:t>prm</w:t>
      </w:r>
      <w:proofErr w:type="spellEnd"/>
      <w:r w:rsidRPr="00464E91">
        <w:rPr>
          <w:rStyle w:val="mx-1"/>
          <w:color w:val="auto"/>
          <w:shd w:val="clear" w:color="auto" w:fill="FFFFFF"/>
        </w:rPr>
        <w:t>/</w:t>
      </w:r>
      <w:r>
        <w:rPr>
          <w:rStyle w:val="mx-1"/>
          <w:color w:val="auto"/>
          <w:shd w:val="clear" w:color="auto" w:fill="FFFFFF"/>
        </w:rPr>
        <w:t>cflux202</w:t>
      </w:r>
      <w:r w:rsidR="00D607C9">
        <w:rPr>
          <w:rStyle w:val="mx-1"/>
          <w:color w:val="auto"/>
          <w:shd w:val="clear" w:color="auto" w:fill="FFFFFF"/>
        </w:rPr>
        <w:t>2</w:t>
      </w:r>
      <w:r>
        <w:rPr>
          <w:rStyle w:val="mx-1"/>
          <w:color w:val="auto"/>
          <w:shd w:val="clear" w:color="auto" w:fill="FFFFFF"/>
        </w:rPr>
        <w:t xml:space="preserve">.prm. They </w:t>
      </w:r>
      <w:r w:rsidR="00682805">
        <w:rPr>
          <w:rStyle w:val="mx-1"/>
          <w:color w:val="auto"/>
          <w:shd w:val="clear" w:color="auto" w:fill="FFFFFF"/>
        </w:rPr>
        <w:t>are derived</w:t>
      </w:r>
      <w:r>
        <w:rPr>
          <w:rStyle w:val="mx-1"/>
          <w:color w:val="auto"/>
          <w:shd w:val="clear" w:color="auto" w:fill="FFFFFF"/>
        </w:rPr>
        <w:t xml:space="preserve"> from the dipole moment fitting on a group of </w:t>
      </w:r>
      <w:r w:rsidR="000A4AB6">
        <w:rPr>
          <w:rStyle w:val="mx-1"/>
          <w:color w:val="auto"/>
          <w:shd w:val="clear" w:color="auto" w:fill="FFFFFF"/>
        </w:rPr>
        <w:t>~46500 configurations generated by 482 neutral molecules</w:t>
      </w:r>
      <w:r>
        <w:rPr>
          <w:rStyle w:val="mx-1"/>
          <w:color w:val="auto"/>
          <w:shd w:val="clear" w:color="auto" w:fill="FFFFFF"/>
        </w:rPr>
        <w:t>, which involves various function</w:t>
      </w:r>
      <w:r w:rsidR="00682805">
        <w:rPr>
          <w:rStyle w:val="mx-1"/>
          <w:color w:val="auto"/>
          <w:shd w:val="clear" w:color="auto" w:fill="FFFFFF"/>
        </w:rPr>
        <w:t>al</w:t>
      </w:r>
      <w:r>
        <w:rPr>
          <w:rStyle w:val="mx-1"/>
          <w:color w:val="auto"/>
          <w:shd w:val="clear" w:color="auto" w:fill="FFFFFF"/>
        </w:rPr>
        <w:t xml:space="preserve"> groups and chemical structures </w:t>
      </w:r>
      <w:r w:rsidR="000A4AB6">
        <w:rPr>
          <w:rStyle w:val="mx-1"/>
          <w:color w:val="auto"/>
          <w:shd w:val="clear" w:color="auto" w:fill="FFFFFF"/>
        </w:rPr>
        <w:t xml:space="preserve">far </w:t>
      </w:r>
      <w:r>
        <w:rPr>
          <w:rStyle w:val="mx-1"/>
          <w:color w:val="auto"/>
          <w:shd w:val="clear" w:color="auto" w:fill="FFFFFF"/>
        </w:rPr>
        <w:t xml:space="preserve">more than that used </w:t>
      </w:r>
      <w:r w:rsidR="00FC569C">
        <w:rPr>
          <w:rStyle w:val="mx-1"/>
          <w:color w:val="auto"/>
          <w:shd w:val="clear" w:color="auto" w:fill="FFFFFF"/>
        </w:rPr>
        <w:t>previously</w:t>
      </w:r>
      <w:r w:rsidR="00A14A13">
        <w:rPr>
          <w:rStyle w:val="mx-1"/>
          <w:color w:val="auto"/>
          <w:shd w:val="clear" w:color="auto" w:fill="FFFFFF"/>
        </w:rPr>
        <w:fldChar w:fldCharType="begin"/>
      </w:r>
      <w:r w:rsidR="00A14A13">
        <w:rPr>
          <w:rStyle w:val="mx-1"/>
          <w:color w:val="auto"/>
          <w:shd w:val="clear" w:color="auto" w:fill="FFFFFF"/>
        </w:rPr>
        <w:instrText xml:space="preserve"> ADDIN EN.CITE &lt;EndNote&gt;&lt;Cite&gt;&lt;Author&gt;Yang&lt;/Author&gt;&lt;Year&gt;2020&lt;/Year&gt;&lt;RecNum&gt;33&lt;/RecNum&gt;&lt;DisplayText&gt;&lt;style face="superscript"&gt;1&lt;/style&gt;&lt;/DisplayText&gt;&lt;record&gt;&lt;rec-number&gt;33&lt;/rec-number&gt;&lt;foreign-keys&gt;&lt;key app="EN" db-id="p5v0trpfn2twxke2tt0xpr5dr9wr00rtrt2r" timestamp="1645426320"&gt;33&lt;/key&gt;&lt;/foreign-keys&gt;&lt;ref-type name="Journal Article"&gt;17&lt;/ref-type&gt;&lt;contributors&gt;&lt;authors&gt;&lt;author&gt;Yang, Xudong&lt;/author&gt;&lt;author&gt;Liu, Chengwen&lt;/author&gt;&lt;author&gt;Walker, Brandon D.&lt;/author&gt;&lt;author&gt;Ren, Pengyu&lt;/author&gt;&lt;/authors&gt;&lt;/contributors&gt;&lt;titles&gt;&lt;title&gt;Accurate description of molecular dipole surface with charge flux implemented for molecular mechanics&lt;/title&gt;&lt;secondary-title&gt;The Journal of Chemical Physics&lt;/secondary-title&gt;&lt;/titles&gt;&lt;periodical&gt;&lt;full-title&gt;The Journal of Chemical Physics&lt;/full-title&gt;&lt;/periodical&gt;&lt;pages&gt;064103&lt;/pages&gt;&lt;volume&gt;153&lt;/volume&gt;&lt;number&gt;6&lt;/number&gt;&lt;dates&gt;&lt;year&gt;2020&lt;/year&gt;&lt;pub-dates&gt;&lt;date&gt;2020/08/14&lt;/date&gt;&lt;/pub-dates&gt;&lt;/dates&gt;&lt;publisher&gt;American Institute of Physics&lt;/publisher&gt;&lt;isbn&gt;0021-9606&lt;/isbn&gt;&lt;urls&gt;&lt;related-urls&gt;&lt;url&gt;https://doi.org/10.1063/5.0016376&lt;/url&gt;&lt;/related-urls&gt;&lt;/urls&gt;&lt;electronic-resource-num&gt;10.1063/5.0016376&lt;/electronic-resource-num&gt;&lt;access-date&gt;2022/02/20&lt;/access-date&gt;&lt;/record&gt;&lt;/Cite&gt;&lt;/EndNote&gt;</w:instrText>
      </w:r>
      <w:r w:rsidR="00A14A13">
        <w:rPr>
          <w:rStyle w:val="mx-1"/>
          <w:color w:val="auto"/>
          <w:shd w:val="clear" w:color="auto" w:fill="FFFFFF"/>
        </w:rPr>
        <w:fldChar w:fldCharType="separate"/>
      </w:r>
      <w:r w:rsidR="00A14A13" w:rsidRPr="00A14A13">
        <w:rPr>
          <w:rStyle w:val="mx-1"/>
          <w:noProof/>
          <w:color w:val="auto"/>
          <w:shd w:val="clear" w:color="auto" w:fill="FFFFFF"/>
          <w:vertAlign w:val="superscript"/>
        </w:rPr>
        <w:t>1</w:t>
      </w:r>
      <w:r w:rsidR="00A14A13">
        <w:rPr>
          <w:rStyle w:val="mx-1"/>
          <w:color w:val="auto"/>
          <w:shd w:val="clear" w:color="auto" w:fill="FFFFFF"/>
        </w:rPr>
        <w:fldChar w:fldCharType="end"/>
      </w:r>
      <w:r>
        <w:rPr>
          <w:rStyle w:val="mx-1"/>
          <w:color w:val="auto"/>
          <w:shd w:val="clear" w:color="auto" w:fill="FFFFFF"/>
        </w:rPr>
        <w:t>.</w:t>
      </w:r>
      <w:r w:rsidR="00621A16">
        <w:rPr>
          <w:rStyle w:val="mx-1"/>
          <w:color w:val="auto"/>
          <w:shd w:val="clear" w:color="auto" w:fill="FFFFFF"/>
        </w:rPr>
        <w:t xml:space="preserve"> </w:t>
      </w:r>
      <w:r w:rsidR="00621A16">
        <w:rPr>
          <w:rStyle w:val="mx-1"/>
          <w:rFonts w:hint="eastAsia"/>
          <w:color w:val="auto"/>
          <w:shd w:val="clear" w:color="auto" w:fill="FFFFFF"/>
        </w:rPr>
        <w:t>From</w:t>
      </w:r>
      <w:r w:rsidR="00621A16">
        <w:rPr>
          <w:rStyle w:val="mx-1"/>
          <w:color w:val="auto"/>
          <w:shd w:val="clear" w:color="auto" w:fill="FFFFFF"/>
        </w:rPr>
        <w:t xml:space="preserve"> </w:t>
      </w:r>
      <w:r w:rsidR="00621A16">
        <w:rPr>
          <w:rStyle w:val="mx-1"/>
          <w:color w:val="auto"/>
          <w:shd w:val="clear" w:color="auto" w:fill="FFFFFF"/>
        </w:rPr>
        <w:fldChar w:fldCharType="begin"/>
      </w:r>
      <w:r w:rsidR="00621A16">
        <w:rPr>
          <w:rStyle w:val="mx-1"/>
          <w:color w:val="auto"/>
          <w:shd w:val="clear" w:color="auto" w:fill="FFFFFF"/>
        </w:rPr>
        <w:instrText xml:space="preserve"> REF _Ref96333435 \h </w:instrText>
      </w:r>
      <w:r w:rsidR="00621A16">
        <w:rPr>
          <w:rStyle w:val="mx-1"/>
          <w:color w:val="auto"/>
          <w:shd w:val="clear" w:color="auto" w:fill="FFFFFF"/>
        </w:rPr>
      </w:r>
      <w:r w:rsidR="00621A16">
        <w:rPr>
          <w:rStyle w:val="mx-1"/>
          <w:color w:val="auto"/>
          <w:shd w:val="clear" w:color="auto" w:fill="FFFFFF"/>
        </w:rPr>
        <w:fldChar w:fldCharType="separate"/>
      </w:r>
      <w:r w:rsidR="00621A16" w:rsidRPr="006830EC">
        <w:rPr>
          <w:b/>
        </w:rPr>
        <w:t xml:space="preserve">Table </w:t>
      </w:r>
      <w:r w:rsidR="00621A16">
        <w:rPr>
          <w:b/>
          <w:noProof/>
        </w:rPr>
        <w:t>1</w:t>
      </w:r>
      <w:r w:rsidR="00621A16">
        <w:rPr>
          <w:rStyle w:val="mx-1"/>
          <w:color w:val="auto"/>
          <w:shd w:val="clear" w:color="auto" w:fill="FFFFFF"/>
        </w:rPr>
        <w:fldChar w:fldCharType="end"/>
      </w:r>
      <w:r w:rsidR="00621A16">
        <w:rPr>
          <w:rStyle w:val="mx-1"/>
          <w:color w:val="auto"/>
          <w:shd w:val="clear" w:color="auto" w:fill="FFFFFF"/>
        </w:rPr>
        <w:t>,</w:t>
      </w:r>
      <w:r>
        <w:rPr>
          <w:rStyle w:val="mx-1"/>
          <w:color w:val="auto"/>
          <w:shd w:val="clear" w:color="auto" w:fill="FFFFFF"/>
        </w:rPr>
        <w:t xml:space="preserve"> </w:t>
      </w:r>
      <w:r w:rsidR="00621A16">
        <w:rPr>
          <w:rStyle w:val="mx-1"/>
          <w:color w:val="auto"/>
          <w:shd w:val="clear" w:color="auto" w:fill="FFFFFF"/>
        </w:rPr>
        <w:t>t</w:t>
      </w:r>
      <w:r>
        <w:rPr>
          <w:rStyle w:val="mx-1"/>
          <w:color w:val="auto"/>
          <w:shd w:val="clear" w:color="auto" w:fill="FFFFFF"/>
        </w:rPr>
        <w:t xml:space="preserve">he RMSD </w:t>
      </w:r>
      <w:r w:rsidR="000A4AB6">
        <w:rPr>
          <w:rStyle w:val="mx-1"/>
          <w:color w:val="auto"/>
          <w:shd w:val="clear" w:color="auto" w:fill="FFFFFF"/>
        </w:rPr>
        <w:t xml:space="preserve">of </w:t>
      </w:r>
      <w:r w:rsidR="00621A16">
        <w:rPr>
          <w:rStyle w:val="mx-1"/>
          <w:color w:val="auto"/>
          <w:shd w:val="clear" w:color="auto" w:fill="FFFFFF"/>
        </w:rPr>
        <w:t xml:space="preserve">components of </w:t>
      </w:r>
      <w:r>
        <w:rPr>
          <w:rStyle w:val="mx-1"/>
          <w:color w:val="auto"/>
          <w:shd w:val="clear" w:color="auto" w:fill="FFFFFF"/>
        </w:rPr>
        <w:t xml:space="preserve">absolute </w:t>
      </w:r>
      <w:r w:rsidR="00621A16">
        <w:rPr>
          <w:rStyle w:val="mx-1"/>
          <w:color w:val="auto"/>
          <w:shd w:val="clear" w:color="auto" w:fill="FFFFFF"/>
        </w:rPr>
        <w:t>dipole moments</w:t>
      </w:r>
      <w:r>
        <w:rPr>
          <w:rStyle w:val="mx-1"/>
          <w:color w:val="auto"/>
          <w:shd w:val="clear" w:color="auto" w:fill="FFFFFF"/>
        </w:rPr>
        <w:t xml:space="preserve"> </w:t>
      </w:r>
      <w:r w:rsidR="000A4AB6">
        <w:rPr>
          <w:rStyle w:val="mx-1"/>
          <w:color w:val="auto"/>
          <w:shd w:val="clear" w:color="auto" w:fill="FFFFFF"/>
        </w:rPr>
        <w:t xml:space="preserve">(Equation 1) is 0.1224 </w:t>
      </w:r>
      <w:r w:rsidR="00D764B5">
        <w:rPr>
          <w:rStyle w:val="mx-1"/>
          <w:color w:val="auto"/>
          <w:shd w:val="clear" w:color="auto" w:fill="FFFFFF"/>
        </w:rPr>
        <w:t>Debye</w:t>
      </w:r>
      <w:r w:rsidR="000A4AB6">
        <w:rPr>
          <w:rStyle w:val="mx-1"/>
          <w:color w:val="auto"/>
          <w:shd w:val="clear" w:color="auto" w:fill="FFFFFF"/>
        </w:rPr>
        <w:t xml:space="preserve">, and the RMSD of relative values (Equation 2, </w:t>
      </w:r>
      <m:oMath>
        <m:r>
          <w:rPr>
            <w:rFonts w:ascii="Cambria Math" w:hAnsi="Cambria Math"/>
          </w:rPr>
          <m:t>∆μ</m:t>
        </m:r>
      </m:oMath>
      <w:r w:rsidR="000A4AB6">
        <w:rPr>
          <w:rFonts w:hint="eastAsia"/>
        </w:rPr>
        <w:t xml:space="preserve"> </w:t>
      </w:r>
      <w:r w:rsidR="000A4AB6">
        <w:t>is the difference between any configuration and the equilibrium structure) is 0.0786 D</w:t>
      </w:r>
      <w:r w:rsidR="00D764B5">
        <w:t>ebye</w:t>
      </w:r>
      <w:r w:rsidR="000A4AB6">
        <w:t>. Compared with the data from our previous work</w:t>
      </w:r>
      <w:r w:rsidR="00621A16">
        <w:fldChar w:fldCharType="begin"/>
      </w:r>
      <w:r w:rsidR="00621A16">
        <w:instrText xml:space="preserve"> ADDIN EN.CITE &lt;EndNote&gt;&lt;Cite&gt;&lt;Author&gt;Yang&lt;/Author&gt;&lt;Year&gt;2020&lt;/Year&gt;&lt;RecNum&gt;33&lt;/RecNum&gt;&lt;DisplayText&gt;&lt;style face="superscript"&gt;1&lt;/style&gt;&lt;/DisplayText&gt;&lt;record&gt;&lt;rec-number&gt;33&lt;/rec-number&gt;&lt;foreign-keys&gt;&lt;key app="EN" db-id="p5v0trpfn2twxke2tt0xpr5dr9wr00rtrt2r" timestamp="1645426320"&gt;33&lt;/key&gt;&lt;/foreign-keys&gt;&lt;ref-type name="Journal Article"&gt;17&lt;/ref-type&gt;&lt;contributors&gt;&lt;authors&gt;&lt;author&gt;Yang, Xudong&lt;/author&gt;&lt;author&gt;Liu, Chengwen&lt;/author&gt;&lt;author&gt;Walker, Brandon D.&lt;/author&gt;&lt;author&gt;Ren, Pengyu&lt;/author&gt;&lt;/authors&gt;&lt;/contributors&gt;&lt;titles&gt;&lt;title&gt;Accurate description of molecular dipole surface with charge flux implemented for molecular mechanics&lt;/title&gt;&lt;secondary-title&gt;The Journal of Chemical Physics&lt;/secondary-title&gt;&lt;/titles&gt;&lt;periodical&gt;&lt;full-title&gt;The Journal of Chemical Physics&lt;/full-title&gt;&lt;/periodical&gt;&lt;pages&gt;064103&lt;/pages&gt;&lt;volume&gt;153&lt;/volume&gt;&lt;number&gt;6&lt;/number&gt;&lt;dates&gt;&lt;year&gt;2020&lt;/year&gt;&lt;pub-dates&gt;&lt;date&gt;2020/08/14&lt;/date&gt;&lt;/pub-dates&gt;&lt;/dates&gt;&lt;publisher&gt;American Institute of Physics&lt;/publisher&gt;&lt;isbn&gt;0021-9606&lt;/isbn&gt;&lt;urls&gt;&lt;related-urls&gt;&lt;url&gt;https://doi.org/10.1063/5.0016376&lt;/url&gt;&lt;/related-urls&gt;&lt;/urls&gt;&lt;electronic-resource-num&gt;10.1063/5.0016376&lt;/electronic-resource-num&gt;&lt;access-date&gt;2022/02/20&lt;/access-date&gt;&lt;/record&gt;&lt;/Cite&gt;&lt;/EndNote&gt;</w:instrText>
      </w:r>
      <w:r w:rsidR="00621A16">
        <w:fldChar w:fldCharType="separate"/>
      </w:r>
      <w:r w:rsidR="00621A16" w:rsidRPr="00621A16">
        <w:rPr>
          <w:noProof/>
          <w:vertAlign w:val="superscript"/>
        </w:rPr>
        <w:t>1</w:t>
      </w:r>
      <w:r w:rsidR="00621A16">
        <w:fldChar w:fldCharType="end"/>
      </w:r>
      <w:r w:rsidR="000A4AB6">
        <w:t>,</w:t>
      </w:r>
      <w:r w:rsidR="00D607C9">
        <w:t xml:space="preserve"> in which we reported the RMSD of absolute values 0.1369 D</w:t>
      </w:r>
      <w:r w:rsidR="00D764B5">
        <w:t>ebye</w:t>
      </w:r>
      <w:r w:rsidR="00D607C9">
        <w:t xml:space="preserve"> from ~10000 configurations generated by 216 molecules, this new set of parameters has better performance and covers more distinct situations. Also, </w:t>
      </w:r>
      <w:r w:rsidR="00D80971">
        <w:t xml:space="preserve">the distribution of the CF parameters (both bond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80971">
        <w:rPr>
          <w:rFonts w:hint="eastAsia"/>
        </w:rPr>
        <w:t>,</w:t>
      </w:r>
      <w:r w:rsidR="00D80971">
        <w:t xml:space="preserve"> angle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80971">
        <w:rPr>
          <w:rFonts w:hint="eastAsia"/>
        </w:rPr>
        <w:t xml:space="preserve"> </w:t>
      </w:r>
      <w:r w:rsidR="00D80971">
        <w:t xml:space="preserve">and coupled bond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b'</m:t>
            </m:r>
          </m:sub>
        </m:sSub>
      </m:oMath>
      <w:r w:rsidR="00D80971">
        <w:t>) was observed to concentrate in the range of -0.33~0.3, which is much smaller than that of the old version when considering the different unit</w:t>
      </w:r>
      <w:r w:rsidR="00682805">
        <w:t>s</w:t>
      </w:r>
      <w:r w:rsidR="00D80971">
        <w:t xml:space="preserve"> of the angle CF used in the new (rad</w:t>
      </w:r>
      <w:r w:rsidR="00D80971">
        <w:rPr>
          <w:vertAlign w:val="superscript"/>
        </w:rPr>
        <w:t>-1</w:t>
      </w:r>
      <w:r w:rsidR="00D80971">
        <w:t>) and the old version (deg</w:t>
      </w:r>
      <w:r w:rsidR="00D80971">
        <w:rPr>
          <w:vertAlign w:val="superscript"/>
        </w:rPr>
        <w:t>-1</w:t>
      </w:r>
      <w:r w:rsidR="00D80971">
        <w:t xml:space="preserve">). It indicates </w:t>
      </w:r>
      <w:r w:rsidR="009D0148">
        <w:t xml:space="preserve">the new CF parameters avoid overfitting and possess </w:t>
      </w:r>
      <w:r w:rsidR="00D80971">
        <w:t>higher transferability</w:t>
      </w:r>
      <w:r w:rsidR="009D0148">
        <w:t xml:space="preserve">. Moreover, some of the CF parameters from different bonds or angles are very similar, which makes it possible </w:t>
      </w:r>
      <w:r w:rsidR="009D0148">
        <w:lastRenderedPageBreak/>
        <w:t xml:space="preserve">to combine them into </w:t>
      </w:r>
      <w:r w:rsidR="00682805">
        <w:t xml:space="preserve">a </w:t>
      </w:r>
      <w:r w:rsidR="009D0148">
        <w:t>single parameter shared by several structures. Also, the parameters for certain structures are extremely small and can be set to 0. Hence, the number of parameters has been reduced to ~450. Those zero-valued parameters have been still kept in our new set to guarantee all known structures</w:t>
      </w:r>
      <w:r w:rsidR="00BA790E">
        <w:t xml:space="preserve"> from our database can be found by the assignment program. </w:t>
      </w:r>
      <w:r w:rsidR="009D0148">
        <w:t xml:space="preserve">  </w:t>
      </w:r>
    </w:p>
    <w:p w14:paraId="3D9C053A" w14:textId="7AE18893" w:rsidR="000A4AB6" w:rsidRPr="000A4AB6" w:rsidRDefault="00C73610" w:rsidP="000A4AB6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RMSD</m:t>
                  </m:r>
                </m:e>
                <m:sub>
                  <m:r>
                    <w:rPr>
                      <w:rFonts w:ascii="Cambria Math" w:hAnsi="Cambria Math"/>
                    </w:rPr>
                    <m:t>abs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6EA8827" w14:textId="68F81A33" w:rsidR="000A4AB6" w:rsidRPr="00BA790E" w:rsidRDefault="00C73610" w:rsidP="000A4AB6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RMSD</m:t>
                  </m:r>
                </m:e>
                <m:sub>
                  <m:r>
                    <w:rPr>
                      <w:rFonts w:ascii="Cambria Math" w:hAnsi="Cambria Math"/>
                    </w:rPr>
                    <m:t>rela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,(∆μ=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equ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921FCC8" w14:textId="51ECDB72" w:rsidR="00BA790E" w:rsidRDefault="00BA790E" w:rsidP="000A4AB6">
      <w:pPr>
        <w:pStyle w:val="a"/>
      </w:pPr>
      <w:r>
        <w:rPr>
          <w:rFonts w:hint="eastAsia"/>
        </w:rPr>
        <w:t>B</w:t>
      </w:r>
      <w:r>
        <w:t xml:space="preserve">esides this </w:t>
      </w:r>
      <w:r w:rsidR="00D764B5">
        <w:t xml:space="preserve">standard </w:t>
      </w:r>
      <w:r>
        <w:t>parameter set, we produced another more general CF parameter set based on only element and hybridization</w:t>
      </w:r>
      <w:r w:rsidR="00116A38">
        <w:t>, and the specific typing can be found</w:t>
      </w:r>
      <w:r w:rsidR="00682805">
        <w:t xml:space="preserve"> in </w:t>
      </w:r>
      <w:proofErr w:type="spellStart"/>
      <w:r w:rsidR="00682805" w:rsidRPr="00BA790E">
        <w:rPr>
          <w:rStyle w:val="mx-1"/>
          <w:color w:val="auto"/>
          <w:shd w:val="clear" w:color="auto" w:fill="FFFFFF"/>
        </w:rPr>
        <w:t>amoebaplus_parameter</w:t>
      </w:r>
      <w:proofErr w:type="spellEnd"/>
      <w:r w:rsidR="00682805" w:rsidRPr="00BA790E">
        <w:rPr>
          <w:rStyle w:val="mx-1"/>
          <w:color w:val="auto"/>
          <w:shd w:val="clear" w:color="auto" w:fill="FFFFFF"/>
        </w:rPr>
        <w:t>/dat</w:t>
      </w:r>
      <w:r w:rsidR="00682805">
        <w:rPr>
          <w:rStyle w:val="mx-1"/>
          <w:color w:val="auto"/>
          <w:shd w:val="clear" w:color="auto" w:fill="FFFFFF"/>
        </w:rPr>
        <w:t>.</w:t>
      </w:r>
      <w:r>
        <w:t xml:space="preserve"> It is designed for more general situations, in which the new molecules have bonds or angles beyond the span of our database. The absolute RMSD</w:t>
      </w:r>
      <w:r w:rsidR="00682805">
        <w:t xml:space="preserve"> of components</w:t>
      </w:r>
      <w:r>
        <w:t xml:space="preserve"> </w:t>
      </w:r>
      <w:r w:rsidR="00016FD2">
        <w:rPr>
          <w:rFonts w:hint="eastAsia"/>
        </w:rPr>
        <w:t>is</w:t>
      </w:r>
      <w:r w:rsidR="00016FD2">
        <w:t xml:space="preserve"> 0.1238 D</w:t>
      </w:r>
      <w:r w:rsidR="00D764B5">
        <w:t>ebye</w:t>
      </w:r>
      <w:r w:rsidR="00016FD2">
        <w:t xml:space="preserve"> and the relative RMSD is 0.0843 D</w:t>
      </w:r>
      <w:r w:rsidR="00D764B5">
        <w:t>ebye</w:t>
      </w:r>
      <w:r w:rsidR="00682805">
        <w:t xml:space="preserve"> by using the general CF parameters on our database</w:t>
      </w:r>
      <w:r w:rsidR="00016FD2">
        <w:t xml:space="preserve">. These values are </w:t>
      </w:r>
      <w:r w:rsidR="00525845">
        <w:t>slightly larger than</w:t>
      </w:r>
      <w:r w:rsidR="00016FD2">
        <w:t xml:space="preserve"> what we obtained based on the atomic classes for valence terms, meaning that CF effects are not so sensitive to the number of types. </w:t>
      </w:r>
      <w:r w:rsidR="00525845">
        <w:t>The CF</w:t>
      </w:r>
      <w:r w:rsidR="00016FD2">
        <w:t xml:space="preserve"> can only be regarded as a correction to dipole moment in structural deformation, so </w:t>
      </w:r>
      <w:r w:rsidR="00525845">
        <w:t xml:space="preserve">using </w:t>
      </w:r>
      <w:r w:rsidR="00016FD2">
        <w:t xml:space="preserve">more types to classify </w:t>
      </w:r>
      <w:r w:rsidR="00525845">
        <w:t xml:space="preserve">CF effects from </w:t>
      </w:r>
      <w:r w:rsidR="00016FD2">
        <w:t xml:space="preserve">more detailed structures </w:t>
      </w:r>
      <w:r w:rsidR="00525845">
        <w:t>is</w:t>
      </w:r>
      <w:r w:rsidR="00016FD2">
        <w:t xml:space="preserve"> not necessary </w:t>
      </w:r>
      <w:r w:rsidR="00525845">
        <w:t>sometimes</w:t>
      </w:r>
      <w:r w:rsidR="00016FD2">
        <w:t>.</w:t>
      </w:r>
      <w:r w:rsidR="00525845">
        <w:t xml:space="preserve"> To guarantee both the accuracy and </w:t>
      </w:r>
      <w:r w:rsidR="00116A38">
        <w:t xml:space="preserve">adequate description of different structures, we embedded both the basic and general CF parameter set in our program, which will automatically switch to general CF assignment if there exists a bond or angle out of reach of </w:t>
      </w:r>
      <w:r w:rsidR="00682805">
        <w:t xml:space="preserve">the </w:t>
      </w:r>
      <w:r w:rsidR="00116A38">
        <w:t>database.</w:t>
      </w:r>
    </w:p>
    <w:p w14:paraId="06AB8E5E" w14:textId="65AB6E4F" w:rsidR="00561114" w:rsidRDefault="00561114" w:rsidP="000A4AB6">
      <w:pPr>
        <w:pStyle w:val="a"/>
      </w:pPr>
      <w:r>
        <w:t>In summary, comparing to the previous set of CF parameters, this set is improved in</w:t>
      </w:r>
      <w:r w:rsidR="00D5100E">
        <w:t xml:space="preserve"> these aspects</w:t>
      </w:r>
      <w:r>
        <w:t xml:space="preserve">: (1) increased coverage of molecules and number of deformed conformations have been used in parametrization; (2) consistent atom typing with the </w:t>
      </w:r>
      <w:r>
        <w:lastRenderedPageBreak/>
        <w:t>bond/angle terms in the previous publication; and (3) consistent dipole extrapolation scheme with AMOEBA+ force field</w:t>
      </w:r>
      <w:r w:rsidR="007316F9">
        <w:t xml:space="preserve">; (4) resulted CF parameters are in </w:t>
      </w:r>
      <w:r w:rsidR="00345F9E">
        <w:t>appropriate</w:t>
      </w:r>
      <w:r w:rsidR="007316F9">
        <w:t xml:space="preserve"> range. </w:t>
      </w:r>
    </w:p>
    <w:p w14:paraId="2F0A840F" w14:textId="41790246" w:rsidR="00D764B5" w:rsidRDefault="00D764B5" w:rsidP="000A4AB6">
      <w:pPr>
        <w:pStyle w:val="a"/>
      </w:pPr>
    </w:p>
    <w:p w14:paraId="198422A8" w14:textId="4310E105" w:rsidR="00D764B5" w:rsidRDefault="00D764B5" w:rsidP="00D764B5">
      <w:pPr>
        <w:pStyle w:val="Caption"/>
        <w:rPr>
          <w:rFonts w:ascii="Arial" w:hAnsi="Arial" w:cs="Arial"/>
          <w:bCs/>
          <w:color w:val="000000" w:themeColor="text1"/>
          <w:sz w:val="22"/>
        </w:rPr>
      </w:pPr>
      <w:bookmarkStart w:id="0" w:name="_Ref96333435"/>
      <w:r w:rsidRPr="006830EC">
        <w:rPr>
          <w:rFonts w:ascii="Arial" w:hAnsi="Arial" w:cs="Arial"/>
          <w:b/>
          <w:color w:val="000000" w:themeColor="text1"/>
          <w:sz w:val="22"/>
        </w:rPr>
        <w:t xml:space="preserve">Table </w:t>
      </w:r>
      <w:r w:rsidRPr="006830EC">
        <w:rPr>
          <w:rFonts w:ascii="Arial" w:hAnsi="Arial" w:cs="Arial"/>
          <w:b/>
          <w:color w:val="000000" w:themeColor="text1"/>
          <w:sz w:val="22"/>
        </w:rPr>
        <w:fldChar w:fldCharType="begin"/>
      </w:r>
      <w:r w:rsidRPr="006830EC">
        <w:rPr>
          <w:rFonts w:ascii="Arial" w:hAnsi="Arial" w:cs="Arial"/>
          <w:b/>
          <w:color w:val="000000" w:themeColor="text1"/>
          <w:sz w:val="22"/>
        </w:rPr>
        <w:instrText xml:space="preserve"> SEQ Table \* ARABIC </w:instrText>
      </w:r>
      <w:r w:rsidRPr="006830EC">
        <w:rPr>
          <w:rFonts w:ascii="Arial" w:hAnsi="Arial" w:cs="Arial"/>
          <w:b/>
          <w:color w:val="000000" w:themeColor="text1"/>
          <w:sz w:val="22"/>
        </w:rPr>
        <w:fldChar w:fldCharType="separate"/>
      </w:r>
      <w:r>
        <w:rPr>
          <w:rFonts w:ascii="Arial" w:hAnsi="Arial" w:cs="Arial"/>
          <w:b/>
          <w:noProof/>
          <w:color w:val="000000" w:themeColor="text1"/>
          <w:sz w:val="22"/>
        </w:rPr>
        <w:t>1</w:t>
      </w:r>
      <w:r w:rsidRPr="006830EC">
        <w:rPr>
          <w:rFonts w:ascii="Arial" w:hAnsi="Arial" w:cs="Arial"/>
          <w:b/>
          <w:color w:val="000000" w:themeColor="text1"/>
          <w:sz w:val="22"/>
        </w:rPr>
        <w:fldChar w:fldCharType="end"/>
      </w:r>
      <w:bookmarkEnd w:id="0"/>
      <w:r w:rsidRPr="006830EC">
        <w:rPr>
          <w:rFonts w:ascii="Arial" w:hAnsi="Arial" w:cs="Arial"/>
          <w:b/>
          <w:color w:val="000000" w:themeColor="text1"/>
          <w:sz w:val="22"/>
        </w:rPr>
        <w:t xml:space="preserve">. </w:t>
      </w:r>
      <w:r w:rsidRPr="006830EC">
        <w:rPr>
          <w:rFonts w:ascii="Arial" w:hAnsi="Arial" w:cs="Arial"/>
          <w:color w:val="000000" w:themeColor="text1"/>
          <w:sz w:val="22"/>
        </w:rPr>
        <w:t xml:space="preserve">Statistical comparison of </w:t>
      </w:r>
      <w:r w:rsidRPr="006830EC">
        <w:rPr>
          <w:rFonts w:ascii="Arial" w:hAnsi="Arial" w:cs="Arial"/>
          <w:bCs/>
          <w:color w:val="000000" w:themeColor="text1"/>
          <w:sz w:val="22"/>
        </w:rPr>
        <w:t>QM molecular dipole moments and molecular mechanics (MM) values calculated by AMOEBA+ model with CF implementation</w:t>
      </w:r>
      <w:r>
        <w:rPr>
          <w:rFonts w:ascii="Arial" w:hAnsi="Arial" w:cs="Arial"/>
          <w:bCs/>
          <w:color w:val="000000" w:themeColor="text1"/>
          <w:sz w:val="22"/>
        </w:rPr>
        <w:t xml:space="preserve"> of standard types and general types.</w:t>
      </w:r>
    </w:p>
    <w:tbl>
      <w:tblPr>
        <w:tblStyle w:val="TableGrid"/>
        <w:tblW w:w="4541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1997"/>
        <w:gridCol w:w="1996"/>
        <w:gridCol w:w="1997"/>
      </w:tblGrid>
      <w:tr w:rsidR="00D764B5" w:rsidRPr="00D764B5" w14:paraId="16111DBA" w14:textId="14D18E00" w:rsidTr="00D764B5">
        <w:trPr>
          <w:jc w:val="center"/>
        </w:trPr>
        <w:tc>
          <w:tcPr>
            <w:tcW w:w="955" w:type="pct"/>
            <w:tcBorders>
              <w:top w:val="double" w:sz="12" w:space="0" w:color="auto"/>
              <w:bottom w:val="single" w:sz="12" w:space="0" w:color="auto"/>
            </w:tcBorders>
            <w:vAlign w:val="center"/>
          </w:tcPr>
          <w:p w14:paraId="32185BE9" w14:textId="790DBA5C" w:rsidR="00D764B5" w:rsidRPr="00D764B5" w:rsidRDefault="00D764B5" w:rsidP="00CE3E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Statistics</w:t>
            </w:r>
          </w:p>
        </w:tc>
        <w:tc>
          <w:tcPr>
            <w:tcW w:w="1349" w:type="pct"/>
            <w:tcBorders>
              <w:top w:val="double" w:sz="12" w:space="0" w:color="auto"/>
              <w:bottom w:val="single" w:sz="12" w:space="0" w:color="auto"/>
            </w:tcBorders>
            <w:vAlign w:val="center"/>
          </w:tcPr>
          <w:p w14:paraId="6B8AD9B3" w14:textId="0C634709" w:rsidR="00D764B5" w:rsidRPr="00D764B5" w:rsidRDefault="00D764B5" w:rsidP="00CE3E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Standard types</w:t>
            </w:r>
          </w:p>
        </w:tc>
        <w:tc>
          <w:tcPr>
            <w:tcW w:w="1348" w:type="pct"/>
            <w:tcBorders>
              <w:top w:val="double" w:sz="12" w:space="0" w:color="auto"/>
              <w:bottom w:val="single" w:sz="12" w:space="0" w:color="auto"/>
            </w:tcBorders>
          </w:tcPr>
          <w:p w14:paraId="69BDBACF" w14:textId="3918F5EE" w:rsidR="00D764B5" w:rsidRPr="00D764B5" w:rsidRDefault="00D764B5" w:rsidP="00CE3E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General types</w:t>
            </w:r>
          </w:p>
        </w:tc>
        <w:tc>
          <w:tcPr>
            <w:tcW w:w="1348" w:type="pct"/>
            <w:tcBorders>
              <w:top w:val="double" w:sz="12" w:space="0" w:color="auto"/>
              <w:bottom w:val="single" w:sz="12" w:space="0" w:color="auto"/>
            </w:tcBorders>
          </w:tcPr>
          <w:p w14:paraId="46415B62" w14:textId="69432BC6" w:rsidR="00D764B5" w:rsidRPr="00D764B5" w:rsidRDefault="00D764B5" w:rsidP="00CE3E0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 w:hint="eastAsia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 CF</w:t>
            </w:r>
          </w:p>
        </w:tc>
      </w:tr>
      <w:tr w:rsidR="00D764B5" w:rsidRPr="00D764B5" w14:paraId="1B2B7F77" w14:textId="545BA015" w:rsidTr="00D764B5">
        <w:trPr>
          <w:trHeight w:val="1100"/>
          <w:jc w:val="center"/>
        </w:trPr>
        <w:tc>
          <w:tcPr>
            <w:tcW w:w="955" w:type="pct"/>
            <w:tcBorders>
              <w:top w:val="single" w:sz="12" w:space="0" w:color="auto"/>
            </w:tcBorders>
            <w:vAlign w:val="center"/>
          </w:tcPr>
          <w:p w14:paraId="29AE1874" w14:textId="729557EC" w:rsidR="00D764B5" w:rsidRPr="00D764B5" w:rsidRDefault="00D764B5" w:rsidP="00D764B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RMSD</w:t>
            </w:r>
          </w:p>
          <w:p w14:paraId="16ECD03E" w14:textId="62A5F2A4" w:rsidR="00D764B5" w:rsidRPr="00D764B5" w:rsidRDefault="00D764B5" w:rsidP="00D764B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vertAlign w:val="superscript"/>
              </w:rPr>
            </w:pPr>
            <w:proofErr w:type="spellStart"/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</w:rPr>
              <w:t>Components</w:t>
            </w: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vertAlign w:val="superscript"/>
              </w:rPr>
              <w:t>a</w:t>
            </w:r>
            <w:proofErr w:type="spellEnd"/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vertAlign w:val="superscript"/>
              </w:rPr>
              <w:t>)</w:t>
            </w:r>
          </w:p>
          <w:p w14:paraId="15FD938C" w14:textId="08156E8B" w:rsidR="00D764B5" w:rsidRPr="00D764B5" w:rsidRDefault="00D764B5" w:rsidP="00D764B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debye</w:t>
            </w:r>
            <w:proofErr w:type="spellEnd"/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349" w:type="pct"/>
            <w:tcBorders>
              <w:top w:val="single" w:sz="12" w:space="0" w:color="auto"/>
            </w:tcBorders>
            <w:vAlign w:val="center"/>
          </w:tcPr>
          <w:p w14:paraId="20E79CD0" w14:textId="77777777" w:rsidR="00D764B5" w:rsidRPr="00D764B5" w:rsidRDefault="00D764B5" w:rsidP="00D764B5">
            <w:pPr>
              <w:jc w:val="center"/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D764B5"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  <w:t>Abs: 0.1224</w:t>
            </w:r>
          </w:p>
          <w:p w14:paraId="5920309B" w14:textId="43825132" w:rsidR="00D764B5" w:rsidRPr="00D764B5" w:rsidRDefault="00D764B5" w:rsidP="00D764B5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 w:hint="eastAsia"/>
                <w:bCs/>
                <w:color w:val="000000" w:themeColor="text1"/>
                <w:sz w:val="20"/>
                <w:szCs w:val="20"/>
              </w:rPr>
              <w:t>R</w:t>
            </w:r>
            <w:r w:rsidRPr="00D764B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el: 0.0786</w:t>
            </w:r>
          </w:p>
        </w:tc>
        <w:tc>
          <w:tcPr>
            <w:tcW w:w="1348" w:type="pct"/>
            <w:tcBorders>
              <w:top w:val="single" w:sz="12" w:space="0" w:color="auto"/>
            </w:tcBorders>
            <w:vAlign w:val="center"/>
          </w:tcPr>
          <w:p w14:paraId="5E3A327B" w14:textId="06681AE0" w:rsidR="00D764B5" w:rsidRPr="00D764B5" w:rsidRDefault="00D764B5" w:rsidP="00D764B5">
            <w:pPr>
              <w:jc w:val="center"/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D764B5"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  <w:t>Abs: 0.12</w:t>
            </w:r>
            <w:r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  <w:t>38</w:t>
            </w:r>
          </w:p>
          <w:p w14:paraId="5FE4EA50" w14:textId="45A79AD0" w:rsidR="00D764B5" w:rsidRPr="00D764B5" w:rsidRDefault="00D764B5" w:rsidP="00D764B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 w:hint="eastAsia"/>
                <w:bCs/>
                <w:color w:val="000000" w:themeColor="text1"/>
                <w:sz w:val="20"/>
                <w:szCs w:val="20"/>
              </w:rPr>
              <w:t>R</w:t>
            </w:r>
            <w:r w:rsidRPr="00D764B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el: 0.0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843</w:t>
            </w:r>
          </w:p>
        </w:tc>
        <w:tc>
          <w:tcPr>
            <w:tcW w:w="1348" w:type="pct"/>
            <w:tcBorders>
              <w:top w:val="single" w:sz="12" w:space="0" w:color="auto"/>
            </w:tcBorders>
            <w:vAlign w:val="center"/>
          </w:tcPr>
          <w:p w14:paraId="05CC6436" w14:textId="51CC9345" w:rsidR="00D764B5" w:rsidRPr="00D764B5" w:rsidRDefault="00D764B5" w:rsidP="00D764B5">
            <w:pPr>
              <w:jc w:val="center"/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D764B5"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Abs: </w:t>
            </w:r>
            <w:r w:rsidR="0085639A"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  <w:t>0.1809</w:t>
            </w:r>
          </w:p>
          <w:p w14:paraId="5A192B88" w14:textId="2BB8E5B3" w:rsidR="00D764B5" w:rsidRPr="00D764B5" w:rsidRDefault="00D764B5" w:rsidP="00D764B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 w:hint="eastAsia"/>
                <w:bCs/>
                <w:color w:val="000000" w:themeColor="text1"/>
                <w:sz w:val="20"/>
                <w:szCs w:val="20"/>
              </w:rPr>
              <w:t>R</w:t>
            </w:r>
            <w:r w:rsidRPr="00D764B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el: </w:t>
            </w:r>
            <w:r w:rsidR="0085639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0.1511</w:t>
            </w:r>
          </w:p>
        </w:tc>
      </w:tr>
      <w:tr w:rsidR="00D764B5" w:rsidRPr="00D764B5" w14:paraId="5B9A8A11" w14:textId="12A7DB72" w:rsidTr="00D764B5">
        <w:trPr>
          <w:trHeight w:val="968"/>
          <w:jc w:val="center"/>
        </w:trPr>
        <w:tc>
          <w:tcPr>
            <w:tcW w:w="955" w:type="pct"/>
            <w:tcBorders>
              <w:top w:val="single" w:sz="12" w:space="0" w:color="auto"/>
              <w:bottom w:val="nil"/>
            </w:tcBorders>
            <w:vAlign w:val="center"/>
          </w:tcPr>
          <w:p w14:paraId="6EC5C5DB" w14:textId="0FA2DB07" w:rsidR="00D764B5" w:rsidRPr="00D764B5" w:rsidRDefault="00D764B5" w:rsidP="00D764B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RMSD</w:t>
            </w:r>
          </w:p>
          <w:p w14:paraId="3444434B" w14:textId="0CC9EAAF" w:rsidR="00D764B5" w:rsidRPr="00D764B5" w:rsidRDefault="00D764B5" w:rsidP="00D764B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vertAlign w:val="superscript"/>
              </w:rPr>
            </w:pPr>
            <w:proofErr w:type="spellStart"/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</w:rPr>
              <w:t>Total</w:t>
            </w: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vertAlign w:val="superscript"/>
              </w:rPr>
              <w:t>b</w:t>
            </w:r>
            <w:proofErr w:type="spellEnd"/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vertAlign w:val="superscript"/>
              </w:rPr>
              <w:t>)</w:t>
            </w:r>
          </w:p>
          <w:p w14:paraId="39D65AE7" w14:textId="77796B47" w:rsidR="00D764B5" w:rsidRPr="00D764B5" w:rsidRDefault="00D764B5" w:rsidP="00D764B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debye</w:t>
            </w:r>
            <w:proofErr w:type="spellEnd"/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349" w:type="pct"/>
            <w:tcBorders>
              <w:top w:val="single" w:sz="12" w:space="0" w:color="auto"/>
            </w:tcBorders>
            <w:vAlign w:val="center"/>
          </w:tcPr>
          <w:p w14:paraId="35174DE5" w14:textId="428A2F7B" w:rsidR="00405913" w:rsidRPr="00D764B5" w:rsidRDefault="00405913" w:rsidP="00405913">
            <w:pPr>
              <w:jc w:val="center"/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D764B5"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  <w:t>Abs: 0.1</w:t>
            </w:r>
            <w:r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  <w:t>315</w:t>
            </w:r>
          </w:p>
          <w:p w14:paraId="6F6A34C5" w14:textId="3E2B8098" w:rsidR="00D764B5" w:rsidRPr="00D764B5" w:rsidRDefault="00405913" w:rsidP="0040591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 w:hint="eastAsia"/>
                <w:bCs/>
                <w:color w:val="000000" w:themeColor="text1"/>
                <w:sz w:val="20"/>
                <w:szCs w:val="20"/>
              </w:rPr>
              <w:t>R</w:t>
            </w:r>
            <w:r w:rsidRPr="00D764B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el: 0.0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855</w:t>
            </w:r>
          </w:p>
        </w:tc>
        <w:tc>
          <w:tcPr>
            <w:tcW w:w="1348" w:type="pct"/>
            <w:tcBorders>
              <w:top w:val="single" w:sz="12" w:space="0" w:color="auto"/>
            </w:tcBorders>
            <w:vAlign w:val="center"/>
          </w:tcPr>
          <w:p w14:paraId="09173250" w14:textId="69D0B1CB" w:rsidR="00D764B5" w:rsidRPr="00D764B5" w:rsidRDefault="00D764B5" w:rsidP="00D764B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48" w:type="pct"/>
            <w:tcBorders>
              <w:top w:val="single" w:sz="12" w:space="0" w:color="auto"/>
            </w:tcBorders>
            <w:vAlign w:val="center"/>
          </w:tcPr>
          <w:p w14:paraId="04F30BE6" w14:textId="77777777" w:rsidR="00405913" w:rsidRPr="00D764B5" w:rsidRDefault="00405913" w:rsidP="00405913">
            <w:pPr>
              <w:jc w:val="center"/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D764B5"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  <w:t>Abs: 0.</w:t>
            </w:r>
            <w:r>
              <w:rPr>
                <w:rStyle w:val="mx-1"/>
                <w:rFonts w:ascii="Arial" w:hAnsi="Arial" w:cs="Arial"/>
                <w:sz w:val="20"/>
                <w:szCs w:val="20"/>
                <w:shd w:val="clear" w:color="auto" w:fill="FFFFFF"/>
              </w:rPr>
              <w:t>2008</w:t>
            </w:r>
          </w:p>
          <w:p w14:paraId="4C9A727D" w14:textId="4265D2F4" w:rsidR="00D764B5" w:rsidRPr="00D764B5" w:rsidRDefault="00405913" w:rsidP="0040591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 w:hint="eastAsia"/>
                <w:bCs/>
                <w:color w:val="000000" w:themeColor="text1"/>
                <w:sz w:val="20"/>
                <w:szCs w:val="20"/>
              </w:rPr>
              <w:t>R</w:t>
            </w:r>
            <w:r w:rsidRPr="00D764B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el: 0.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1666</w:t>
            </w:r>
          </w:p>
        </w:tc>
      </w:tr>
      <w:tr w:rsidR="00D764B5" w:rsidRPr="00D764B5" w14:paraId="764B8953" w14:textId="5C270996" w:rsidTr="00D764B5">
        <w:trPr>
          <w:trHeight w:val="520"/>
          <w:jc w:val="center"/>
        </w:trPr>
        <w:tc>
          <w:tcPr>
            <w:tcW w:w="955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5DEC9184" w14:textId="1DE8650D" w:rsidR="00D764B5" w:rsidRPr="00D764B5" w:rsidRDefault="00D764B5" w:rsidP="00D764B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vertAlign w:val="superscript"/>
              </w:rPr>
            </w:pP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Pr="00D764B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vertAlign w:val="superscript"/>
              </w:rPr>
              <w:t>2 c)</w:t>
            </w:r>
          </w:p>
        </w:tc>
        <w:tc>
          <w:tcPr>
            <w:tcW w:w="1349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57975323" w14:textId="2EB64C50" w:rsidR="00D764B5" w:rsidRPr="00D764B5" w:rsidRDefault="00D764B5" w:rsidP="00D764B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764B5">
              <w:rPr>
                <w:rFonts w:ascii="Arial" w:hAnsi="Arial" w:cs="Arial"/>
                <w:color w:val="000000" w:themeColor="text1"/>
                <w:sz w:val="20"/>
                <w:szCs w:val="20"/>
              </w:rPr>
              <w:t>0.99</w:t>
            </w:r>
            <w:r w:rsidR="00405913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48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2CD2C365" w14:textId="06419E6D" w:rsidR="00D764B5" w:rsidRPr="00D764B5" w:rsidRDefault="00D764B5" w:rsidP="00D764B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48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60A7BA13" w14:textId="226FC2E9" w:rsidR="00D764B5" w:rsidRPr="00D764B5" w:rsidRDefault="00405913" w:rsidP="00D764B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05913">
              <w:rPr>
                <w:rFonts w:ascii="Arial" w:hAnsi="Arial" w:cs="Arial"/>
                <w:color w:val="000000" w:themeColor="text1"/>
                <w:sz w:val="20"/>
                <w:szCs w:val="20"/>
              </w:rPr>
              <w:t>0.983</w:t>
            </w:r>
          </w:p>
        </w:tc>
      </w:tr>
    </w:tbl>
    <w:p w14:paraId="662F8BC7" w14:textId="383057DB" w:rsidR="00D764B5" w:rsidRPr="00621A16" w:rsidRDefault="00621A16" w:rsidP="00621A16">
      <w:pPr>
        <w:pStyle w:val="a"/>
        <w:ind w:firstLineChars="0" w:firstLine="0"/>
      </w:pPr>
      <w:r>
        <w:rPr>
          <w:rFonts w:hint="cs"/>
        </w:rPr>
        <w:t>a</w:t>
      </w:r>
      <w:r>
        <w:t>). RMSD over all x, y, z components of dipole moments from the molecules. b). RMSD over the total dipole moments of the molecules. c). the correlation coefficient.</w:t>
      </w:r>
    </w:p>
    <w:p w14:paraId="2D068727" w14:textId="77777777" w:rsidR="00CC6C47" w:rsidRDefault="00CC6C47" w:rsidP="00E63542">
      <w:pPr>
        <w:pStyle w:val="a"/>
        <w:ind w:firstLineChars="0" w:firstLine="0"/>
        <w:rPr>
          <w:b/>
          <w:bCs/>
        </w:rPr>
      </w:pPr>
    </w:p>
    <w:p w14:paraId="2FB6E98A" w14:textId="3A496723" w:rsidR="00A14A13" w:rsidRPr="008F3D7B" w:rsidRDefault="00E63542" w:rsidP="00E63542">
      <w:pPr>
        <w:pStyle w:val="a"/>
        <w:ind w:firstLineChars="0" w:firstLine="0"/>
        <w:rPr>
          <w:b/>
          <w:bCs/>
        </w:rPr>
      </w:pPr>
      <w:r w:rsidRPr="008F3D7B">
        <w:rPr>
          <w:b/>
          <w:bCs/>
        </w:rPr>
        <w:t>Reference</w:t>
      </w:r>
    </w:p>
    <w:p w14:paraId="18EAC4DB" w14:textId="77777777" w:rsidR="00621A16" w:rsidRPr="00621A16" w:rsidRDefault="00A14A13" w:rsidP="00621A1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21A16" w:rsidRPr="00621A16">
        <w:t>1.</w:t>
      </w:r>
      <w:r w:rsidR="00621A16" w:rsidRPr="00621A16">
        <w:tab/>
        <w:t xml:space="preserve">Yang, X.; Liu, C.; Walker, B. D.; Ren, P., Accurate description of molecular dipole surface with charge flux implemented for molecular mechanics. </w:t>
      </w:r>
      <w:r w:rsidR="00621A16" w:rsidRPr="00621A16">
        <w:rPr>
          <w:i/>
        </w:rPr>
        <w:t xml:space="preserve">The Journal of Chemical Physics </w:t>
      </w:r>
      <w:r w:rsidR="00621A16" w:rsidRPr="00621A16">
        <w:rPr>
          <w:b/>
        </w:rPr>
        <w:t>2020,</w:t>
      </w:r>
      <w:r w:rsidR="00621A16" w:rsidRPr="00621A16">
        <w:t xml:space="preserve"> </w:t>
      </w:r>
      <w:r w:rsidR="00621A16" w:rsidRPr="00621A16">
        <w:rPr>
          <w:i/>
        </w:rPr>
        <w:t>153</w:t>
      </w:r>
      <w:r w:rsidR="00621A16" w:rsidRPr="00621A16">
        <w:t xml:space="preserve"> (6), 064103.</w:t>
      </w:r>
    </w:p>
    <w:p w14:paraId="78B2A2F4" w14:textId="1D2DD5E5" w:rsidR="000A4AB6" w:rsidRPr="000A4AB6" w:rsidRDefault="00A14A13" w:rsidP="000A4AB6">
      <w:pPr>
        <w:pStyle w:val="a"/>
      </w:pPr>
      <w:r>
        <w:fldChar w:fldCharType="end"/>
      </w:r>
    </w:p>
    <w:sectPr w:rsidR="000A4AB6" w:rsidRPr="000A4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753C" w14:textId="77777777" w:rsidR="00C73610" w:rsidRDefault="00C73610" w:rsidP="00016FD2">
      <w:r>
        <w:separator/>
      </w:r>
    </w:p>
  </w:endnote>
  <w:endnote w:type="continuationSeparator" w:id="0">
    <w:p w14:paraId="45336266" w14:textId="77777777" w:rsidR="00C73610" w:rsidRDefault="00C73610" w:rsidP="0001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3790" w14:textId="77777777" w:rsidR="00C73610" w:rsidRDefault="00C73610" w:rsidP="00016FD2">
      <w:r>
        <w:separator/>
      </w:r>
    </w:p>
  </w:footnote>
  <w:footnote w:type="continuationSeparator" w:id="0">
    <w:p w14:paraId="6FC62B08" w14:textId="77777777" w:rsidR="00C73610" w:rsidRDefault="00C73610" w:rsidP="00016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zMDWyMDQwNjAzMTBS0lEKTi0uzszPAykwqwUA6qTsU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mer Chem Societ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5v0trpfn2twxke2tt0xpr5dr9wr00rtrt2r&quot;&gt;ref&lt;record-ids&gt;&lt;item&gt;33&lt;/item&gt;&lt;/record-ids&gt;&lt;/item&gt;&lt;/Libraries&gt;"/>
  </w:docVars>
  <w:rsids>
    <w:rsidRoot w:val="00A8010C"/>
    <w:rsid w:val="0001137A"/>
    <w:rsid w:val="00016FD2"/>
    <w:rsid w:val="000A4AB6"/>
    <w:rsid w:val="00116A38"/>
    <w:rsid w:val="00183E08"/>
    <w:rsid w:val="001B71B2"/>
    <w:rsid w:val="00200FB0"/>
    <w:rsid w:val="00286946"/>
    <w:rsid w:val="002D2C8E"/>
    <w:rsid w:val="002D62BF"/>
    <w:rsid w:val="002E2F72"/>
    <w:rsid w:val="00311D6E"/>
    <w:rsid w:val="00345F9E"/>
    <w:rsid w:val="003D318C"/>
    <w:rsid w:val="003F3A64"/>
    <w:rsid w:val="00405913"/>
    <w:rsid w:val="00464E91"/>
    <w:rsid w:val="00525845"/>
    <w:rsid w:val="00561114"/>
    <w:rsid w:val="005E4507"/>
    <w:rsid w:val="005F4FFB"/>
    <w:rsid w:val="00600848"/>
    <w:rsid w:val="00621A16"/>
    <w:rsid w:val="00626C5C"/>
    <w:rsid w:val="00682805"/>
    <w:rsid w:val="006A558A"/>
    <w:rsid w:val="00725305"/>
    <w:rsid w:val="007316F9"/>
    <w:rsid w:val="007F052A"/>
    <w:rsid w:val="0085639A"/>
    <w:rsid w:val="008F3D7B"/>
    <w:rsid w:val="00931752"/>
    <w:rsid w:val="009A0367"/>
    <w:rsid w:val="009D0148"/>
    <w:rsid w:val="00A14A13"/>
    <w:rsid w:val="00A8010C"/>
    <w:rsid w:val="00B00020"/>
    <w:rsid w:val="00B3021E"/>
    <w:rsid w:val="00BA790E"/>
    <w:rsid w:val="00BB262E"/>
    <w:rsid w:val="00BD61F3"/>
    <w:rsid w:val="00C6358B"/>
    <w:rsid w:val="00C73610"/>
    <w:rsid w:val="00CB090D"/>
    <w:rsid w:val="00CC523A"/>
    <w:rsid w:val="00CC6C47"/>
    <w:rsid w:val="00CD20B3"/>
    <w:rsid w:val="00CF4DF9"/>
    <w:rsid w:val="00D003D7"/>
    <w:rsid w:val="00D47B40"/>
    <w:rsid w:val="00D5100E"/>
    <w:rsid w:val="00D607C9"/>
    <w:rsid w:val="00D764B5"/>
    <w:rsid w:val="00D76C57"/>
    <w:rsid w:val="00D80971"/>
    <w:rsid w:val="00D82482"/>
    <w:rsid w:val="00DC08BE"/>
    <w:rsid w:val="00E63542"/>
    <w:rsid w:val="00E83347"/>
    <w:rsid w:val="00F4160D"/>
    <w:rsid w:val="00F75205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911E4"/>
  <w15:chartTrackingRefBased/>
  <w15:docId w15:val="{68E475B1-9032-42B8-A492-FE4B5FF8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9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论文正文"/>
    <w:basedOn w:val="Normal"/>
    <w:link w:val="a0"/>
    <w:autoRedefine/>
    <w:qFormat/>
    <w:rsid w:val="00464E91"/>
    <w:pPr>
      <w:spacing w:before="240" w:after="120" w:line="360" w:lineRule="auto"/>
      <w:ind w:firstLineChars="129" w:firstLine="284"/>
    </w:pPr>
    <w:rPr>
      <w:rFonts w:ascii="Arial" w:hAnsi="Arial" w:cs="Arial"/>
      <w:color w:val="000000" w:themeColor="text1"/>
      <w:sz w:val="22"/>
    </w:rPr>
  </w:style>
  <w:style w:type="character" w:customStyle="1" w:styleId="a0">
    <w:name w:val="论文正文 字符"/>
    <w:basedOn w:val="DefaultParagraphFont"/>
    <w:link w:val="a"/>
    <w:rsid w:val="00464E91"/>
    <w:rPr>
      <w:rFonts w:ascii="Arial" w:hAnsi="Arial" w:cs="Arial"/>
      <w:color w:val="000000" w:themeColor="text1"/>
      <w:sz w:val="22"/>
    </w:rPr>
  </w:style>
  <w:style w:type="paragraph" w:customStyle="1" w:styleId="Eng1">
    <w:name w:val="论文标题_Eng1"/>
    <w:basedOn w:val="Heading1"/>
    <w:next w:val="a"/>
    <w:link w:val="Eng10"/>
    <w:autoRedefine/>
    <w:qFormat/>
    <w:rsid w:val="00311D6E"/>
    <w:pPr>
      <w:spacing w:before="360" w:after="240" w:line="480" w:lineRule="auto"/>
    </w:pPr>
    <w:rPr>
      <w:rFonts w:ascii="Arial" w:eastAsia="Arial" w:hAnsi="Arial"/>
      <w:sz w:val="32"/>
    </w:rPr>
  </w:style>
  <w:style w:type="character" w:customStyle="1" w:styleId="Eng10">
    <w:name w:val="论文标题_Eng1 字符"/>
    <w:basedOn w:val="Heading1Char"/>
    <w:link w:val="Eng1"/>
    <w:rsid w:val="00311D6E"/>
    <w:rPr>
      <w:rFonts w:ascii="Arial" w:eastAsia="Arial" w:hAnsi="Arial"/>
      <w:b/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311D6E"/>
    <w:rPr>
      <w:b/>
      <w:bCs/>
      <w:kern w:val="44"/>
      <w:sz w:val="44"/>
      <w:szCs w:val="44"/>
    </w:rPr>
  </w:style>
  <w:style w:type="paragraph" w:customStyle="1" w:styleId="2">
    <w:name w:val="论文标题2"/>
    <w:basedOn w:val="Heading2"/>
    <w:next w:val="a"/>
    <w:link w:val="20"/>
    <w:autoRedefine/>
    <w:qFormat/>
    <w:rsid w:val="00311D6E"/>
    <w:pPr>
      <w:spacing w:before="0" w:after="120" w:line="360" w:lineRule="auto"/>
    </w:pPr>
    <w:rPr>
      <w:rFonts w:ascii="Arial" w:hAnsi="Arial"/>
      <w:sz w:val="24"/>
    </w:rPr>
  </w:style>
  <w:style w:type="character" w:customStyle="1" w:styleId="20">
    <w:name w:val="论文标题2 字符"/>
    <w:basedOn w:val="Heading2Char"/>
    <w:link w:val="2"/>
    <w:rsid w:val="00311D6E"/>
    <w:rPr>
      <w:rFonts w:ascii="Arial" w:eastAsiaTheme="majorEastAsia" w:hAnsi="Arial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论文标题3"/>
    <w:basedOn w:val="Heading3"/>
    <w:next w:val="a"/>
    <w:link w:val="30"/>
    <w:autoRedefine/>
    <w:qFormat/>
    <w:rsid w:val="00311D6E"/>
    <w:pPr>
      <w:spacing w:before="120" w:after="120" w:line="360" w:lineRule="auto"/>
    </w:pPr>
    <w:rPr>
      <w:rFonts w:ascii="Arial" w:hAnsi="Arial" w:cs="Arial"/>
      <w:color w:val="000000" w:themeColor="text1"/>
      <w:sz w:val="22"/>
    </w:rPr>
  </w:style>
  <w:style w:type="character" w:customStyle="1" w:styleId="30">
    <w:name w:val="论文标题3 字符"/>
    <w:basedOn w:val="Heading3Char"/>
    <w:link w:val="3"/>
    <w:rsid w:val="00311D6E"/>
    <w:rPr>
      <w:rFonts w:ascii="Arial" w:hAnsi="Arial" w:cs="Arial"/>
      <w:b/>
      <w:bCs/>
      <w:color w:val="000000" w:themeColor="text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6E"/>
    <w:rPr>
      <w:b/>
      <w:bCs/>
      <w:sz w:val="32"/>
      <w:szCs w:val="32"/>
    </w:rPr>
  </w:style>
  <w:style w:type="character" w:customStyle="1" w:styleId="js-path-segment">
    <w:name w:val="js-path-segment"/>
    <w:basedOn w:val="DefaultParagraphFont"/>
    <w:rsid w:val="00A8010C"/>
  </w:style>
  <w:style w:type="character" w:styleId="Hyperlink">
    <w:name w:val="Hyperlink"/>
    <w:basedOn w:val="DefaultParagraphFont"/>
    <w:uiPriority w:val="99"/>
    <w:semiHidden/>
    <w:unhideWhenUsed/>
    <w:rsid w:val="00A8010C"/>
    <w:rPr>
      <w:color w:val="0000FF"/>
      <w:u w:val="single"/>
    </w:rPr>
  </w:style>
  <w:style w:type="character" w:customStyle="1" w:styleId="mx-1">
    <w:name w:val="mx-1"/>
    <w:basedOn w:val="DefaultParagraphFont"/>
    <w:rsid w:val="00A8010C"/>
  </w:style>
  <w:style w:type="character" w:styleId="Strong">
    <w:name w:val="Strong"/>
    <w:basedOn w:val="DefaultParagraphFont"/>
    <w:uiPriority w:val="22"/>
    <w:qFormat/>
    <w:rsid w:val="00A8010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A4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6FD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6FD2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764B5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D76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0"/>
    <w:rsid w:val="00A14A13"/>
    <w:pPr>
      <w:jc w:val="center"/>
    </w:pPr>
    <w:rPr>
      <w:rFonts w:ascii="Arial" w:hAnsi="Arial" w:cs="Arial"/>
      <w:noProof/>
      <w:sz w:val="22"/>
    </w:rPr>
  </w:style>
  <w:style w:type="character" w:customStyle="1" w:styleId="EndNoteBibliographyTitle0">
    <w:name w:val="EndNote Bibliography Title 字符"/>
    <w:basedOn w:val="a0"/>
    <w:link w:val="EndNoteBibliographyTitle"/>
    <w:rsid w:val="00A14A13"/>
    <w:rPr>
      <w:rFonts w:ascii="Arial" w:hAnsi="Arial" w:cs="Arial"/>
      <w:noProof/>
      <w:color w:val="000000" w:themeColor="text1"/>
      <w:sz w:val="22"/>
    </w:rPr>
  </w:style>
  <w:style w:type="paragraph" w:customStyle="1" w:styleId="EndNoteBibliography">
    <w:name w:val="EndNote Bibliography"/>
    <w:basedOn w:val="Normal"/>
    <w:link w:val="EndNoteBibliography0"/>
    <w:rsid w:val="00A14A13"/>
    <w:rPr>
      <w:rFonts w:ascii="Arial" w:hAnsi="Arial" w:cs="Arial"/>
      <w:noProof/>
      <w:sz w:val="22"/>
    </w:rPr>
  </w:style>
  <w:style w:type="character" w:customStyle="1" w:styleId="EndNoteBibliography0">
    <w:name w:val="EndNote Bibliography 字符"/>
    <w:basedOn w:val="a0"/>
    <w:link w:val="EndNoteBibliography"/>
    <w:rsid w:val="00A14A13"/>
    <w:rPr>
      <w:rFonts w:ascii="Arial" w:hAnsi="Arial" w:cs="Arial"/>
      <w:noProof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enlab/amoebaplus_parame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Xudong</dc:creator>
  <cp:keywords/>
  <dc:description/>
  <cp:lastModifiedBy>Liu, Chengwen</cp:lastModifiedBy>
  <cp:revision>46</cp:revision>
  <dcterms:created xsi:type="dcterms:W3CDTF">2022-02-17T21:01:00Z</dcterms:created>
  <dcterms:modified xsi:type="dcterms:W3CDTF">2022-03-01T22:29:00Z</dcterms:modified>
</cp:coreProperties>
</file>