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F0596" w14:textId="77777777" w:rsidR="00B04028" w:rsidRPr="00083D5F" w:rsidRDefault="00B04028" w:rsidP="00B04028">
      <w:pPr>
        <w:spacing w:after="0" w:line="480" w:lineRule="auto"/>
        <w:contextualSpacing/>
        <w:rPr>
          <w:rFonts w:ascii="Times New Roman" w:hAnsi="Times New Roman" w:cs="Times New Roman"/>
          <w:b/>
          <w:sz w:val="24"/>
          <w:szCs w:val="24"/>
        </w:rPr>
      </w:pPr>
      <w:r w:rsidRPr="00083D5F">
        <w:rPr>
          <w:rFonts w:ascii="Times New Roman" w:hAnsi="Times New Roman" w:cs="Times New Roman"/>
          <w:b/>
          <w:sz w:val="24"/>
          <w:szCs w:val="24"/>
        </w:rPr>
        <w:t>Nonprofit supply and citizen demand: A spatial analysis of the market for third sector services</w:t>
      </w:r>
    </w:p>
    <w:p w14:paraId="1EB63A3D" w14:textId="77777777" w:rsidR="00B04028" w:rsidRDefault="00B04028" w:rsidP="00B04028">
      <w:pPr>
        <w:spacing w:after="0" w:line="480" w:lineRule="auto"/>
        <w:contextualSpacing/>
        <w:rPr>
          <w:rFonts w:ascii="Times New Roman" w:hAnsi="Times New Roman" w:cs="Times New Roman"/>
          <w:sz w:val="24"/>
          <w:szCs w:val="24"/>
        </w:rPr>
      </w:pPr>
      <w:r w:rsidRPr="007C6A2A">
        <w:rPr>
          <w:rFonts w:ascii="Times New Roman" w:hAnsi="Times New Roman" w:cs="Times New Roman"/>
          <w:sz w:val="24"/>
          <w:szCs w:val="24"/>
        </w:rPr>
        <w:t xml:space="preserve">Christopher </w:t>
      </w:r>
      <w:r>
        <w:rPr>
          <w:rFonts w:ascii="Times New Roman" w:hAnsi="Times New Roman" w:cs="Times New Roman"/>
          <w:sz w:val="24"/>
          <w:szCs w:val="24"/>
        </w:rPr>
        <w:t xml:space="preserve">R. </w:t>
      </w:r>
      <w:r w:rsidRPr="007C6A2A">
        <w:rPr>
          <w:rFonts w:ascii="Times New Roman" w:hAnsi="Times New Roman" w:cs="Times New Roman"/>
          <w:sz w:val="24"/>
          <w:szCs w:val="24"/>
        </w:rPr>
        <w:t>Prentice (</w:t>
      </w:r>
      <w:hyperlink r:id="rId7" w:history="1">
        <w:r w:rsidRPr="007C6A2A">
          <w:rPr>
            <w:rStyle w:val="Hyperlink"/>
            <w:rFonts w:ascii="Times New Roman" w:hAnsi="Times New Roman" w:cs="Times New Roman"/>
            <w:sz w:val="24"/>
            <w:szCs w:val="24"/>
          </w:rPr>
          <w:t>ORCID:</w:t>
        </w:r>
        <w:r w:rsidRPr="007C6A2A">
          <w:rPr>
            <w:rStyle w:val="Hyperlink"/>
            <w:rFonts w:ascii="Times New Roman" w:hAnsi="Times New Roman" w:cs="Times New Roman"/>
          </w:rPr>
          <w:t xml:space="preserve"> </w:t>
        </w:r>
        <w:r w:rsidRPr="007C6A2A">
          <w:rPr>
            <w:rStyle w:val="Hyperlink"/>
            <w:rFonts w:ascii="Times New Roman" w:hAnsi="Times New Roman" w:cs="Times New Roman"/>
            <w:sz w:val="24"/>
            <w:szCs w:val="24"/>
          </w:rPr>
          <w:t>0000-0003-0959-117X</w:t>
        </w:r>
      </w:hyperlink>
      <w:r w:rsidRPr="007C6A2A">
        <w:rPr>
          <w:rFonts w:ascii="Times New Roman" w:hAnsi="Times New Roman" w:cs="Times New Roman"/>
          <w:sz w:val="24"/>
          <w:szCs w:val="24"/>
        </w:rPr>
        <w:t>)</w:t>
      </w:r>
      <w:r>
        <w:rPr>
          <w:rFonts w:ascii="Times New Roman" w:hAnsi="Times New Roman" w:cs="Times New Roman"/>
          <w:sz w:val="24"/>
          <w:szCs w:val="24"/>
        </w:rPr>
        <w:t>*</w:t>
      </w:r>
    </w:p>
    <w:p w14:paraId="4FE4FB78" w14:textId="77777777" w:rsidR="00B04028" w:rsidRPr="007C6A2A" w:rsidRDefault="00B04028" w:rsidP="00B04028">
      <w:pPr>
        <w:spacing w:after="0" w:line="480" w:lineRule="auto"/>
        <w:contextualSpacing/>
        <w:rPr>
          <w:rFonts w:ascii="Times New Roman" w:hAnsi="Times New Roman" w:cs="Times New Roman"/>
          <w:sz w:val="24"/>
          <w:szCs w:val="24"/>
          <w:vertAlign w:val="superscript"/>
        </w:rPr>
      </w:pPr>
      <w:r w:rsidRPr="007C6A2A">
        <w:rPr>
          <w:rFonts w:ascii="Times New Roman" w:hAnsi="Times New Roman" w:cs="Times New Roman"/>
          <w:sz w:val="24"/>
          <w:szCs w:val="24"/>
        </w:rPr>
        <w:t>Rachel Carroll (</w:t>
      </w:r>
      <w:hyperlink r:id="rId8" w:history="1">
        <w:r w:rsidRPr="007C6A2A">
          <w:rPr>
            <w:rStyle w:val="Hyperlink"/>
            <w:rFonts w:ascii="Times New Roman" w:hAnsi="Times New Roman" w:cs="Times New Roman"/>
            <w:sz w:val="24"/>
            <w:szCs w:val="24"/>
          </w:rPr>
          <w:t>ORCID: 0000-0001-5895-0031</w:t>
        </w:r>
      </w:hyperlink>
      <w:r w:rsidRPr="007C6A2A">
        <w:rPr>
          <w:rFonts w:ascii="Times New Roman" w:hAnsi="Times New Roman" w:cs="Times New Roman"/>
          <w:sz w:val="24"/>
          <w:szCs w:val="24"/>
        </w:rPr>
        <w:t>)</w:t>
      </w:r>
    </w:p>
    <w:p w14:paraId="1E90051C" w14:textId="77777777" w:rsidR="00B04028" w:rsidRPr="007C6A2A" w:rsidRDefault="00B04028" w:rsidP="00B0402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John F. Brennan (</w:t>
      </w:r>
      <w:hyperlink r:id="rId9" w:history="1">
        <w:r w:rsidRPr="00A41D38">
          <w:rPr>
            <w:rStyle w:val="Hyperlink"/>
            <w:rFonts w:ascii="Times New Roman" w:hAnsi="Times New Roman" w:cs="Times New Roman"/>
            <w:sz w:val="24"/>
            <w:szCs w:val="24"/>
          </w:rPr>
          <w:t>ORCID: 0000-0001-6559-4119</w:t>
        </w:r>
      </w:hyperlink>
      <w:r>
        <w:rPr>
          <w:rFonts w:ascii="Times New Roman" w:hAnsi="Times New Roman" w:cs="Times New Roman"/>
          <w:sz w:val="24"/>
          <w:szCs w:val="24"/>
        </w:rPr>
        <w:t>)</w:t>
      </w:r>
    </w:p>
    <w:p w14:paraId="1620C6D6" w14:textId="77777777" w:rsidR="00B04028" w:rsidRPr="007C6A2A" w:rsidRDefault="00B04028" w:rsidP="00B0402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J</w:t>
      </w:r>
      <w:r w:rsidRPr="00083D5F">
        <w:rPr>
          <w:rFonts w:ascii="Times New Roman" w:hAnsi="Times New Roman" w:cs="Times New Roman"/>
          <w:sz w:val="24"/>
          <w:szCs w:val="24"/>
        </w:rPr>
        <w:t>effrey L. Brudney</w:t>
      </w:r>
      <w:r>
        <w:rPr>
          <w:rFonts w:ascii="Times New Roman" w:hAnsi="Times New Roman" w:cs="Times New Roman"/>
          <w:sz w:val="24"/>
          <w:szCs w:val="24"/>
        </w:rPr>
        <w:t xml:space="preserve"> (</w:t>
      </w:r>
      <w:hyperlink r:id="rId10" w:history="1">
        <w:r w:rsidRPr="00A41D38">
          <w:rPr>
            <w:rStyle w:val="Hyperlink"/>
            <w:rFonts w:ascii="Times New Roman" w:hAnsi="Times New Roman" w:cs="Times New Roman"/>
            <w:sz w:val="24"/>
            <w:szCs w:val="24"/>
          </w:rPr>
          <w:t>ORCID: 0000-0003-1367-0866</w:t>
        </w:r>
      </w:hyperlink>
      <w:r>
        <w:rPr>
          <w:rFonts w:ascii="Times New Roman" w:hAnsi="Times New Roman" w:cs="Times New Roman"/>
          <w:sz w:val="24"/>
          <w:szCs w:val="24"/>
        </w:rPr>
        <w:t>)</w:t>
      </w:r>
    </w:p>
    <w:p w14:paraId="0278B40C" w14:textId="77777777" w:rsidR="00B04028" w:rsidRDefault="00B04028" w:rsidP="00B04028">
      <w:pPr>
        <w:spacing w:after="0" w:line="480" w:lineRule="auto"/>
        <w:contextualSpacing/>
        <w:rPr>
          <w:rFonts w:ascii="Times New Roman" w:hAnsi="Times New Roman" w:cs="Times New Roman"/>
          <w:sz w:val="24"/>
          <w:szCs w:val="24"/>
        </w:rPr>
      </w:pPr>
      <w:r w:rsidRPr="007C6A2A">
        <w:rPr>
          <w:rFonts w:ascii="Times New Roman" w:hAnsi="Times New Roman" w:cs="Times New Roman"/>
          <w:sz w:val="24"/>
          <w:szCs w:val="24"/>
        </w:rPr>
        <w:t>University of North Carolina Wilmington</w:t>
      </w:r>
    </w:p>
    <w:p w14:paraId="6B9FDB97" w14:textId="77777777" w:rsidR="00B04028" w:rsidRDefault="00B04028" w:rsidP="00B04028">
      <w:pPr>
        <w:spacing w:after="0" w:line="480" w:lineRule="auto"/>
        <w:contextualSpacing/>
        <w:rPr>
          <w:rFonts w:ascii="Times New Roman" w:hAnsi="Times New Roman" w:cs="Times New Roman"/>
          <w:sz w:val="24"/>
          <w:szCs w:val="24"/>
        </w:rPr>
      </w:pPr>
    </w:p>
    <w:p w14:paraId="6EB828A4" w14:textId="77777777" w:rsidR="00B04028" w:rsidRPr="007C6A2A" w:rsidRDefault="00B04028" w:rsidP="00B04028">
      <w:pPr>
        <w:spacing w:after="0" w:line="480" w:lineRule="auto"/>
        <w:contextualSpacing/>
        <w:rPr>
          <w:rFonts w:ascii="Times New Roman" w:hAnsi="Times New Roman" w:cs="Times New Roman"/>
          <w:sz w:val="24"/>
          <w:szCs w:val="24"/>
        </w:rPr>
      </w:pPr>
      <w:r w:rsidRPr="007C6A2A">
        <w:rPr>
          <w:rFonts w:ascii="Times New Roman" w:hAnsi="Times New Roman" w:cs="Times New Roman"/>
          <w:sz w:val="24"/>
          <w:szCs w:val="24"/>
        </w:rPr>
        <w:t>* Corresponding author</w:t>
      </w:r>
      <w:r>
        <w:rPr>
          <w:rFonts w:ascii="Times New Roman" w:hAnsi="Times New Roman" w:cs="Times New Roman"/>
          <w:sz w:val="24"/>
          <w:szCs w:val="24"/>
        </w:rPr>
        <w:t xml:space="preserve">: 601 S. College Rd, Wilmington, NC 28403-5607; </w:t>
      </w:r>
      <w:hyperlink r:id="rId11" w:history="1">
        <w:r w:rsidRPr="00435F76">
          <w:rPr>
            <w:rStyle w:val="Hyperlink"/>
            <w:rFonts w:ascii="Times New Roman" w:hAnsi="Times New Roman" w:cs="Times New Roman"/>
            <w:sz w:val="24"/>
            <w:szCs w:val="24"/>
          </w:rPr>
          <w:t>prenticecr@uncw.edu</w:t>
        </w:r>
      </w:hyperlink>
      <w:r>
        <w:rPr>
          <w:rFonts w:ascii="Times New Roman" w:hAnsi="Times New Roman" w:cs="Times New Roman"/>
          <w:sz w:val="24"/>
          <w:szCs w:val="24"/>
        </w:rPr>
        <w:t>; 910-962-2135</w:t>
      </w:r>
    </w:p>
    <w:p w14:paraId="29FC0501" w14:textId="77777777" w:rsidR="00B04028" w:rsidRDefault="00B04028" w:rsidP="00B04028">
      <w:pPr>
        <w:spacing w:after="0" w:line="480" w:lineRule="auto"/>
        <w:contextualSpacing/>
        <w:rPr>
          <w:rFonts w:ascii="Times New Roman" w:hAnsi="Times New Roman" w:cs="Times New Roman"/>
          <w:sz w:val="24"/>
          <w:szCs w:val="24"/>
        </w:rPr>
      </w:pPr>
    </w:p>
    <w:p w14:paraId="4458C0B8" w14:textId="77777777" w:rsidR="00B04028" w:rsidRPr="00083D5F" w:rsidRDefault="00B04028" w:rsidP="00B04028">
      <w:pPr>
        <w:spacing w:after="0" w:line="480" w:lineRule="auto"/>
        <w:rPr>
          <w:rFonts w:ascii="Times New Roman" w:hAnsi="Times New Roman" w:cs="Times New Roman"/>
          <w:sz w:val="24"/>
          <w:szCs w:val="24"/>
        </w:rPr>
      </w:pPr>
      <w:r w:rsidRPr="00083D5F">
        <w:rPr>
          <w:rFonts w:ascii="Times New Roman" w:hAnsi="Times New Roman" w:cs="Times New Roman"/>
          <w:sz w:val="24"/>
          <w:szCs w:val="24"/>
        </w:rPr>
        <w:t>Acknowledgements</w:t>
      </w:r>
    </w:p>
    <w:p w14:paraId="1BE62604" w14:textId="77777777" w:rsidR="00B04028" w:rsidRDefault="00B04028" w:rsidP="00B04028">
      <w:pPr>
        <w:spacing w:after="0" w:line="480" w:lineRule="auto"/>
        <w:rPr>
          <w:rFonts w:ascii="Times New Roman" w:hAnsi="Times New Roman" w:cs="Times New Roman"/>
          <w:sz w:val="24"/>
          <w:szCs w:val="24"/>
        </w:rPr>
      </w:pPr>
      <w:r w:rsidRPr="00083D5F">
        <w:rPr>
          <w:rFonts w:ascii="Times New Roman" w:hAnsi="Times New Roman" w:cs="Times New Roman"/>
          <w:sz w:val="24"/>
          <w:szCs w:val="24"/>
        </w:rPr>
        <w:t xml:space="preserve">This </w:t>
      </w:r>
      <w:r>
        <w:rPr>
          <w:rFonts w:ascii="Times New Roman" w:hAnsi="Times New Roman" w:cs="Times New Roman"/>
          <w:sz w:val="24"/>
          <w:szCs w:val="24"/>
        </w:rPr>
        <w:t>article</w:t>
      </w:r>
      <w:r w:rsidRPr="00083D5F">
        <w:rPr>
          <w:rFonts w:ascii="Times New Roman" w:hAnsi="Times New Roman" w:cs="Times New Roman"/>
          <w:sz w:val="24"/>
          <w:szCs w:val="24"/>
        </w:rPr>
        <w:t xml:space="preserve"> was supported in part by the University of North Carolina </w:t>
      </w:r>
      <w:r>
        <w:rPr>
          <w:rFonts w:ascii="Times New Roman" w:hAnsi="Times New Roman" w:cs="Times New Roman"/>
          <w:sz w:val="24"/>
          <w:szCs w:val="24"/>
        </w:rPr>
        <w:t xml:space="preserve">Wilmington’s </w:t>
      </w:r>
      <w:r w:rsidRPr="00083D5F">
        <w:rPr>
          <w:rFonts w:ascii="Times New Roman" w:hAnsi="Times New Roman" w:cs="Times New Roman"/>
          <w:sz w:val="24"/>
          <w:szCs w:val="24"/>
        </w:rPr>
        <w:t>Center for Social Impact</w:t>
      </w:r>
      <w:r>
        <w:rPr>
          <w:rFonts w:ascii="Times New Roman" w:hAnsi="Times New Roman" w:cs="Times New Roman"/>
          <w:sz w:val="24"/>
          <w:szCs w:val="24"/>
        </w:rPr>
        <w:t xml:space="preserve"> and Cape Fear Collective</w:t>
      </w:r>
      <w:r w:rsidRPr="00083D5F">
        <w:rPr>
          <w:rFonts w:ascii="Times New Roman" w:hAnsi="Times New Roman" w:cs="Times New Roman"/>
          <w:sz w:val="24"/>
          <w:szCs w:val="24"/>
        </w:rPr>
        <w:t>.</w:t>
      </w:r>
      <w:r>
        <w:rPr>
          <w:rFonts w:ascii="Times New Roman" w:hAnsi="Times New Roman" w:cs="Times New Roman"/>
          <w:sz w:val="24"/>
          <w:szCs w:val="24"/>
        </w:rPr>
        <w:t xml:space="preserve"> We dedicate this article</w:t>
      </w:r>
      <w:r w:rsidRPr="00937BE7">
        <w:rPr>
          <w:rFonts w:ascii="Times New Roman" w:hAnsi="Times New Roman" w:cs="Times New Roman"/>
          <w:sz w:val="24"/>
          <w:szCs w:val="24"/>
        </w:rPr>
        <w:t xml:space="preserve"> to our dear friend, mentor, and colleague Dr. Jeff Brudney, of blessed memory.</w:t>
      </w:r>
    </w:p>
    <w:p w14:paraId="674D32C1" w14:textId="77777777" w:rsidR="00B04028" w:rsidRDefault="00B04028" w:rsidP="00B04028">
      <w:pPr>
        <w:spacing w:after="0" w:line="480" w:lineRule="auto"/>
        <w:rPr>
          <w:rFonts w:ascii="Times New Roman" w:hAnsi="Times New Roman" w:cs="Times New Roman"/>
          <w:sz w:val="24"/>
          <w:szCs w:val="24"/>
        </w:rPr>
      </w:pPr>
    </w:p>
    <w:p w14:paraId="17A10503" w14:textId="77777777" w:rsidR="00B04028" w:rsidRDefault="00B04028" w:rsidP="00B04028">
      <w:pPr>
        <w:spacing w:after="0" w:line="480" w:lineRule="auto"/>
        <w:rPr>
          <w:rFonts w:ascii="Times New Roman" w:hAnsi="Times New Roman" w:cs="Times New Roman"/>
          <w:sz w:val="24"/>
          <w:szCs w:val="24"/>
        </w:rPr>
      </w:pPr>
      <w:r>
        <w:rPr>
          <w:rFonts w:ascii="Times New Roman" w:hAnsi="Times New Roman" w:cs="Times New Roman"/>
          <w:sz w:val="24"/>
          <w:szCs w:val="24"/>
        </w:rPr>
        <w:t>Declaration of Interest Statement</w:t>
      </w:r>
    </w:p>
    <w:p w14:paraId="1749F0FA" w14:textId="77777777" w:rsidR="00B04028" w:rsidRPr="00996808" w:rsidRDefault="00B04028" w:rsidP="00B04028">
      <w:pPr>
        <w:spacing w:after="0" w:line="480" w:lineRule="auto"/>
        <w:rPr>
          <w:rFonts w:ascii="Times New Roman" w:hAnsi="Times New Roman" w:cs="Times New Roman"/>
          <w:sz w:val="24"/>
          <w:szCs w:val="24"/>
        </w:rPr>
      </w:pPr>
      <w:r>
        <w:rPr>
          <w:rFonts w:ascii="Times New Roman" w:hAnsi="Times New Roman" w:cs="Times New Roman"/>
          <w:sz w:val="24"/>
          <w:szCs w:val="24"/>
        </w:rPr>
        <w:t>The authors declare no conflict of interest.</w:t>
      </w:r>
    </w:p>
    <w:p w14:paraId="1F6CC4A3" w14:textId="77777777" w:rsidR="00B04028" w:rsidRDefault="00B04028" w:rsidP="00EA1B19">
      <w:pPr>
        <w:spacing w:after="0" w:line="480" w:lineRule="auto"/>
        <w:contextualSpacing/>
        <w:rPr>
          <w:rFonts w:ascii="Times New Roman" w:hAnsi="Times New Roman" w:cs="Times New Roman"/>
          <w:b/>
          <w:sz w:val="24"/>
          <w:szCs w:val="24"/>
        </w:rPr>
      </w:pPr>
    </w:p>
    <w:p w14:paraId="32523B62" w14:textId="77777777" w:rsidR="00B04028" w:rsidRDefault="00B04028">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06565CB0" w14:textId="2AC06793" w:rsidR="00EA1B19" w:rsidRPr="00083D5F" w:rsidRDefault="00EA1B19" w:rsidP="00EA1B19">
      <w:pPr>
        <w:spacing w:after="0" w:line="480" w:lineRule="auto"/>
        <w:contextualSpacing/>
        <w:rPr>
          <w:rFonts w:ascii="Times New Roman" w:hAnsi="Times New Roman" w:cs="Times New Roman"/>
          <w:b/>
          <w:sz w:val="24"/>
          <w:szCs w:val="24"/>
        </w:rPr>
      </w:pPr>
      <w:r w:rsidRPr="00083D5F">
        <w:rPr>
          <w:rFonts w:ascii="Times New Roman" w:hAnsi="Times New Roman" w:cs="Times New Roman"/>
          <w:b/>
          <w:sz w:val="24"/>
          <w:szCs w:val="24"/>
        </w:rPr>
        <w:lastRenderedPageBreak/>
        <w:t>Nonprofit supply and citizen demand: A spatial analysis of the market for third sector services</w:t>
      </w:r>
    </w:p>
    <w:p w14:paraId="3A2E80FD" w14:textId="77777777" w:rsidR="00EA1B19" w:rsidRPr="00083D5F" w:rsidRDefault="00EA1B19" w:rsidP="00EA1B19">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Much prior research</w:t>
      </w:r>
      <w:r w:rsidRPr="00083D5F">
        <w:rPr>
          <w:rFonts w:ascii="Times New Roman" w:hAnsi="Times New Roman" w:cs="Times New Roman"/>
          <w:sz w:val="24"/>
          <w:szCs w:val="24"/>
        </w:rPr>
        <w:t xml:space="preserve"> explore</w:t>
      </w:r>
      <w:r>
        <w:rPr>
          <w:rFonts w:ascii="Times New Roman" w:hAnsi="Times New Roman" w:cs="Times New Roman"/>
          <w:sz w:val="24"/>
          <w:szCs w:val="24"/>
        </w:rPr>
        <w:t>s</w:t>
      </w:r>
      <w:r w:rsidRPr="00083D5F">
        <w:rPr>
          <w:rFonts w:ascii="Times New Roman" w:hAnsi="Times New Roman" w:cs="Times New Roman"/>
          <w:sz w:val="24"/>
          <w:szCs w:val="24"/>
        </w:rPr>
        <w:t xml:space="preserve"> the relationship between nonprofit location and various community and market characteristics</w:t>
      </w:r>
      <w:r>
        <w:rPr>
          <w:rFonts w:ascii="Times New Roman" w:hAnsi="Times New Roman" w:cs="Times New Roman"/>
          <w:sz w:val="24"/>
          <w:szCs w:val="24"/>
        </w:rPr>
        <w:t xml:space="preserve"> to determine whether citizen demand drives nonprofit supply</w:t>
      </w:r>
      <w:r w:rsidRPr="00083D5F">
        <w:rPr>
          <w:rFonts w:ascii="Times New Roman" w:hAnsi="Times New Roman" w:cs="Times New Roman"/>
          <w:sz w:val="24"/>
          <w:szCs w:val="24"/>
        </w:rPr>
        <w:t xml:space="preserve">. </w:t>
      </w:r>
      <w:r>
        <w:rPr>
          <w:rFonts w:ascii="Times New Roman" w:hAnsi="Times New Roman" w:cs="Times New Roman"/>
          <w:sz w:val="24"/>
          <w:szCs w:val="24"/>
        </w:rPr>
        <w:t>As a widely used “policy tool” of government, nonprofits are expected to be responsive to the needs of the communities they serve. However, results are</w:t>
      </w:r>
      <w:r w:rsidRPr="00083D5F">
        <w:rPr>
          <w:rFonts w:ascii="Times New Roman" w:hAnsi="Times New Roman" w:cs="Times New Roman"/>
          <w:sz w:val="24"/>
          <w:szCs w:val="24"/>
        </w:rPr>
        <w:t xml:space="preserve"> </w:t>
      </w:r>
      <w:r>
        <w:rPr>
          <w:rFonts w:ascii="Times New Roman" w:hAnsi="Times New Roman" w:cs="Times New Roman"/>
          <w:sz w:val="24"/>
          <w:szCs w:val="24"/>
        </w:rPr>
        <w:t>mixed and it remains unclear whether nonprofit markets are ideally distributed.</w:t>
      </w:r>
      <w:r w:rsidRPr="00083D5F">
        <w:rPr>
          <w:rFonts w:ascii="Times New Roman" w:hAnsi="Times New Roman" w:cs="Times New Roman"/>
          <w:sz w:val="24"/>
          <w:szCs w:val="24"/>
        </w:rPr>
        <w:t xml:space="preserve"> </w:t>
      </w:r>
      <w:r>
        <w:rPr>
          <w:rFonts w:ascii="Times New Roman" w:hAnsi="Times New Roman" w:cs="Times New Roman"/>
          <w:sz w:val="24"/>
          <w:szCs w:val="24"/>
        </w:rPr>
        <w:t>This article builds on previous scholarship by</w:t>
      </w:r>
      <w:r w:rsidRPr="00083D5F">
        <w:rPr>
          <w:rFonts w:ascii="Times New Roman" w:hAnsi="Times New Roman" w:cs="Times New Roman"/>
          <w:sz w:val="24"/>
          <w:szCs w:val="24"/>
        </w:rPr>
        <w:t xml:space="preserve">: first, improving the market characteristics under examination; second, introducing multidimensional constructs for modeling community need; third, applying methodologies that account for spatial dependencies; </w:t>
      </w:r>
      <w:r>
        <w:rPr>
          <w:rFonts w:ascii="Times New Roman" w:hAnsi="Times New Roman" w:cs="Times New Roman"/>
          <w:sz w:val="24"/>
          <w:szCs w:val="24"/>
        </w:rPr>
        <w:t xml:space="preserve">and fourth, replicating the sector-wide analysis </w:t>
      </w:r>
      <w:r>
        <w:rPr>
          <w:rFonts w:ascii="Times New Roman" w:hAnsi="Times New Roman" w:cs="Times New Roman"/>
          <w:bCs/>
          <w:sz w:val="24"/>
          <w:szCs w:val="24"/>
        </w:rPr>
        <w:t>in</w:t>
      </w:r>
      <w:r w:rsidRPr="00083D5F">
        <w:rPr>
          <w:rFonts w:ascii="Times New Roman" w:hAnsi="Times New Roman" w:cs="Times New Roman"/>
          <w:bCs/>
          <w:sz w:val="24"/>
          <w:szCs w:val="24"/>
        </w:rPr>
        <w:t xml:space="preserve"> </w:t>
      </w:r>
      <w:r>
        <w:rPr>
          <w:rFonts w:ascii="Times New Roman" w:hAnsi="Times New Roman" w:cs="Times New Roman"/>
          <w:bCs/>
          <w:sz w:val="24"/>
          <w:szCs w:val="24"/>
        </w:rPr>
        <w:t>two nonprofit subsectors</w:t>
      </w:r>
      <w:r w:rsidRPr="00083D5F">
        <w:rPr>
          <w:rFonts w:ascii="Times New Roman" w:hAnsi="Times New Roman" w:cs="Times New Roman"/>
          <w:sz w:val="24"/>
          <w:szCs w:val="24"/>
        </w:rPr>
        <w:t xml:space="preserve">. </w:t>
      </w:r>
      <w:r>
        <w:rPr>
          <w:rFonts w:ascii="Times New Roman" w:hAnsi="Times New Roman" w:cs="Times New Roman"/>
          <w:sz w:val="24"/>
          <w:szCs w:val="24"/>
        </w:rPr>
        <w:t xml:space="preserve">Results indicate consistency across subsector and suggest greater nonprofit supply in areas with less even markets and greater population. Contrary to popular conception, findings indicate evidence of less nonprofit supply in areas with greater demand and some potential “crowding-in” where nonprofit supply rises coincident with for-profit supply. </w:t>
      </w:r>
    </w:p>
    <w:p w14:paraId="25173477" w14:textId="77777777" w:rsidR="00EA1B19" w:rsidRPr="00083D5F" w:rsidRDefault="00EA1B19" w:rsidP="00EA1B19">
      <w:pPr>
        <w:spacing w:after="0" w:line="480" w:lineRule="auto"/>
        <w:ind w:left="720"/>
        <w:contextualSpacing/>
        <w:rPr>
          <w:rFonts w:ascii="Times New Roman" w:hAnsi="Times New Roman" w:cs="Times New Roman"/>
          <w:sz w:val="24"/>
          <w:szCs w:val="24"/>
        </w:rPr>
      </w:pPr>
      <w:r w:rsidRPr="00FD08A2">
        <w:rPr>
          <w:rFonts w:ascii="Times New Roman" w:hAnsi="Times New Roman" w:cs="Times New Roman"/>
          <w:i/>
          <w:iCs/>
          <w:sz w:val="24"/>
          <w:szCs w:val="24"/>
        </w:rPr>
        <w:t>Keywords</w:t>
      </w:r>
      <w:r w:rsidRPr="00083D5F">
        <w:rPr>
          <w:rFonts w:ascii="Times New Roman" w:hAnsi="Times New Roman" w:cs="Times New Roman"/>
          <w:sz w:val="24"/>
          <w:szCs w:val="24"/>
        </w:rPr>
        <w:t>: spatial modeling; nonprofit supply; SOVI; community need</w:t>
      </w:r>
    </w:p>
    <w:p w14:paraId="064488CF" w14:textId="77777777" w:rsidR="00EA1B19" w:rsidRDefault="00EA1B19" w:rsidP="00EA1B19">
      <w:pPr>
        <w:rPr>
          <w:rFonts w:ascii="Times New Roman" w:hAnsi="Times New Roman" w:cs="Times New Roman"/>
          <w:sz w:val="24"/>
          <w:szCs w:val="24"/>
        </w:rPr>
      </w:pPr>
      <w:r>
        <w:rPr>
          <w:rFonts w:ascii="Times New Roman" w:hAnsi="Times New Roman" w:cs="Times New Roman"/>
          <w:sz w:val="24"/>
          <w:szCs w:val="24"/>
        </w:rPr>
        <w:br w:type="page"/>
      </w:r>
    </w:p>
    <w:p w14:paraId="0E411CEF" w14:textId="77777777" w:rsidR="00EA1B19" w:rsidRPr="00083D5F" w:rsidRDefault="00EA1B19" w:rsidP="00EA1B19">
      <w:pPr>
        <w:spacing w:after="0" w:line="480" w:lineRule="auto"/>
        <w:rPr>
          <w:rFonts w:ascii="Times New Roman" w:hAnsi="Times New Roman" w:cs="Times New Roman"/>
          <w:b/>
          <w:sz w:val="24"/>
          <w:szCs w:val="24"/>
        </w:rPr>
      </w:pPr>
      <w:r w:rsidRPr="00083D5F">
        <w:rPr>
          <w:rFonts w:ascii="Times New Roman" w:hAnsi="Times New Roman" w:cs="Times New Roman"/>
          <w:b/>
          <w:sz w:val="24"/>
          <w:szCs w:val="24"/>
        </w:rPr>
        <w:lastRenderedPageBreak/>
        <w:t>Introduction</w:t>
      </w:r>
    </w:p>
    <w:p w14:paraId="72FFA4FC" w14:textId="055FFE7B" w:rsidR="00EA1B19" w:rsidRPr="00083D5F"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Nonprofit organizations provide avenues for artistic exploration and expression, opportunities to congregate and join in religious activity, programs that address the health and basic needs of a broad array of individuals, and advocacy activities that advance social causes and influence public policy. Understanding the geographic distribution and output of these organizations has critical implications for nonprofit clients, neighborhood development, and the social service and public health delivery systems of which they are a part. Perhaps most importantly – as </w:t>
      </w:r>
      <w:r>
        <w:rPr>
          <w:rFonts w:ascii="Times New Roman" w:hAnsi="Times New Roman" w:cs="Times New Roman"/>
          <w:sz w:val="24"/>
          <w:szCs w:val="24"/>
        </w:rPr>
        <w:t>Yan</w:t>
      </w:r>
      <w:r w:rsidR="00013591">
        <w:rPr>
          <w:rFonts w:ascii="Times New Roman" w:hAnsi="Times New Roman" w:cs="Times New Roman"/>
          <w:sz w:val="24"/>
          <w:szCs w:val="24"/>
        </w:rPr>
        <w:t xml:space="preserve"> et al.</w:t>
      </w:r>
      <w:r w:rsidRPr="00083D5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Statistician","id":"ITEM-1","issue":"4","issued":{"date-parts":[["2014","10","2"]]},"page":"243-252","title":"Are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Region","type":"article-journal","volume":"68"},"uris":["http://www.mendeley.com/documents/?uuid=0244e13a-fcc4-445a-9d78-620ee6072abf"]}],"mendeley":{"formattedCitation":"(Yan et al. 2014)","plainTextFormattedCitation":"(Yan et al. 2014)","previouslyFormattedCitation":"(Yan et al. 2014)"},"properties":{"noteIndex":0},"schema":"https://github.com/citation-style-language/schema/raw/master/csl-citation.json"}</w:instrText>
      </w:r>
      <w:r>
        <w:rPr>
          <w:rFonts w:ascii="Times New Roman" w:hAnsi="Times New Roman" w:cs="Times New Roman"/>
          <w:sz w:val="24"/>
          <w:szCs w:val="24"/>
        </w:rPr>
        <w:fldChar w:fldCharType="separate"/>
      </w:r>
      <w:r w:rsidRPr="00E2552E">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83D5F">
        <w:rPr>
          <w:rFonts w:ascii="Times New Roman" w:hAnsi="Times New Roman" w:cs="Times New Roman"/>
          <w:sz w:val="24"/>
          <w:szCs w:val="24"/>
        </w:rPr>
        <w:t>note – where a nonprofit is located affects the organization’s ability to respond to the needs of various individuals and social groups.</w:t>
      </w:r>
    </w:p>
    <w:p w14:paraId="54693F2C" w14:textId="06DCE29B" w:rsidR="00EA1B19"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Several studies explore the relationship between nonprofit location and various community and market characteristics. Findings from these studies are mixed, however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{"citationItems":[{"id":"ITEM-1","itemData":{"DOI":"10.1515/npf-2014-0009","ISSN":"2154-3348","abstract":"We examine the claim that nonprofit markets have become more crowded over time. A naïve examination of the data indicates that the number of nonprofits has increased rapidly over the past two decades. However, this approach does not account for increases in population, income, or other demand factors that would alter a population’s ability to support additional nonprofits. We attempt to quantify a standard unit of demand for nonprofits over time, by exploiting the panel nature of our data. Our findings indicate that nonprofit density, normalized for changes in demand, in 2005 is lower than it was in 1990. We are also able to examine the impact of incremental increases in population to absorb a nonprofit. Overall, we find that it takes far more people to support nonprofit entry in 2005 compared to 1990. It is likely that technological shifts in production and management techniques introduced since 1990 allow firms to serve larger numbers of people. Consistent with our findings, this type of change would result in fewer nonprofits per market, serving larger numbers of people. Our results therefore provide evidence that growth in the nonprofit sector has not necessarily implied increased density or greater competition in the sector.","author":[{"dropping-particle":"","family":"Harrison","given":"Teresa","non-dropping-particle":"","parse-names":false,"suffix":""},{"dropping-particle":"","family":"Thornton","given":"Jeremy","non-dropping-particle":"","parse-names":false,"suffix":""}],"container-title":"Nonprofit Policy Forum","id":"ITEM-1","issue":"2","issued":{"date-parts":[["2014","10","1"]]},"page":"213-229","title":"Too Many Nonprofits? An Empirical Approach to Estimating Trends in Nonprofit Demand Density","type":"article-journal","volume":"5"},"uris":["http://www.mendeley.com/documents/?uuid=ca92210b-20a9-46fc-8900-8bbcad897668"]},{"id":"ITEM-2","itemData":{"DOI":"10.1007/s11266-019-00175-8","ISSN":"0957-8765","author":[{"dropping-particle":"","family":"Jeong","given":"Joowon","non-dropping-particle":"","parse-names":false,"suffix":""},{"dropping-particle":"","family":"Cui","given":"Tracy Shicun","non-dropping-particle":"","parse-names":false,"suffix":""}],"container-title":"VOLUNTAS: International Journal of Voluntary and Nonprofit Organizations","id":"ITEM-2","issue":"1","issued":{"date-parts":[["2020","2","17"]]},"page":"213-226","title":"The Density of Nonprofit Organizations: Beyond Community Diversity and Resource Availability","type":"article-journal","volume":"31"},"uris":["http://www.mendeley.com/documents/?uuid=7c687873-151b-4112-b6a7-d324971a7f14"]},{"id":"ITEM-3","itemData":{"DOI":"10.1177/0275074013504616","ISSN":"0275-0740","author":[{"dropping-particle":"","family":"Kim","given":"Mirae","non-dropping-particle":"","parse-names":false,"suffix":""}],"container-title":"The American Review of Public Administration","id":"ITEM-3","issue":"4","issued":{"date-parts":[["2015","7","21"]]},"page":"402-416","title":"Socioeconomic Diversity, Political Engagement, and the Density of Nonprofit Organizations in U.S. Counties","type":"article-journal","volume":"45"},"uris":["http://www.mendeley.com/documents/?uuid=e1b33668-69be-4678-b3e7-d03ec52453f1"]},{"id":"ITEM-4","itemData":{"DOI":"10.1007/s11266-010-9123-y","ISSN":"0957-8765","author":[{"dropping-particle":"","family":"Never","given":"Brent","non-dropping-particle":"","parse-names":false,"suffix":""}],"container-title":"VOLUNTAS: International Journal of Voluntary and Nonprofit Organizations","id":"ITEM-4","issue":"1","issued":{"date-parts":[["2011","3","27"]]},"page":"174-188","title":"The Case for Better Maps of Social Service Provision: Using the Holy Cross Dispute to Illustrate More Effective Mapping","type":"article-journal","volume":"22"},"uris":["http://www.mendeley.com/documents/?uuid=7c762ff5-5b0c-4733-93e4-b4016fc08d2b"]},{"id":"ITEM-5","itemData":{"DOI":"10.1515/npf-2015-0025","ISSN":"2154-3348","abstract":"Place matters in human services. Temporary Assistance for Needy Families (TANF) devolves spending to services, most often provided by nonprofit organizations. We argue that this devolution allows for people to “vote with their feet” (Ostrom, Tiebout, and Warren 1961: “The organization of government in metropolitan areas: A theoretical inquiry.” American Political Science Review 55:831–42) in seeking jurisdictions where there will be more spending on human services. This paper considers the spatial patterns of human service expenditures, arguing that people of lower Socio-Economic Status (SES) are less likely to benefit from higher human service spending. We use a spatial Durbin regression to indicate the effects of SES on expenditures in a home county as well as the spillover effect to surrounding counties. The results show that while human service expenditures increase as African American and Renter populations increase in a home county, they also indicate that neighboring counties free-ride on the efforts of the home jurisdiction. Likewise, as a population ages, there is a very large free-riding effect. We conclude that the decentralized TANF policy regime allows for jurisdictions to specialize in human services.","author":[{"dropping-particle":"","family":"Never","given":"Brent","non-dropping-particle":"","parse-names":false,"suffix":""},{"dropping-particle":"","family":"Westberg","given":"Drew","non-dropping-particle":"","parse-names":false,"suffix":""}],"container-title":"Nonprofit Policy Forum","id":"ITEM-5","issue":"3","issued":{"date-parts":[["2016","9","1"]]},"page":"369-388","title":"Place Matters: The Spatial Effects of Human Service Expenditures","type":"article-journal","volume":"7"},"uris":["http://www.mendeley.com/documents/?uuid=7b53f23a-d124-48a6-9182-10085cd42258"]},{"id":"ITEM-6","itemData":{"DOI":"10.1177/0899764006298963","ISSN":"0899-7640","author":[{"dropping-particle":"","family":"Peck","given":"Laura R.","non-dropping-particle":"","parse-names":false,"suffix":""}],"container-title":"Nonprofit and Voluntary Sector Quarterly","id":"ITEM-6","issue":"1","issued":{"date-parts":[["2008","3","27"]]},"page":"138-151","title":"Do Antipoverty Nonprofits Locate Where People Need Them? Evidence From a Spatial Analysis of Phoenix","type":"article-journal","volume":"37"},"uris":["http://www.mendeley.com/documents/?uuid=5e877d49-8f56-4297-8c31-6853605587ba"]},{"id":"ITEM-7","itemData":{"DOI":"10.1177/0899764016661032","ISSN":"0899-7640","author":[{"dropping-particle":"","family":"Polson","given":"Edward C.","non-dropping-particle":"","parse-names":false,"suffix":""}],"container-title":"Nonprofit and Voluntary Sector Quarterly","id":"ITEM-7","issue":"1","issued":{"date-parts":[["2017","2","27"]]},"page":"156-174","title":"Religious Environments and the Distribution of Anti-Poverty Nonprofit Organizations","type":"article-journal","volume":"46"},"uris":["http://www.mendeley.com/documents/?uuid=a2752bbe-fceb-4055-84d3-2bb58f137d94"]},{"id":"ITEM-8","itemData":{"DOI":"10.1007/s11266-015-9656-1","ISSN":"0957-8765","author":[{"dropping-particle":"","family":"Puyvelde","given":"Stijn","non-dropping-particle":"Van","parse-names":false,"suffix":""},{"dropping-particle":"","family":"Brown","given":"William A.","non-dropping-particle":"","parse-names":false,"suffix":""}],"container-title":"VOLUNTAS: International Journal of Voluntary and Nonprofit Organizations","id":"ITEM-8","issue":"3","issued":{"date-parts":[["2016","6","11"]]},"page":"1045-1063","title":"Determinants of Nonprofit Sector Density: A Stakeholder Approach","type":"article-journal","volume":"27"},"uris":["http://www.mendeley.com/documents/?uuid=45e05a1e-12f9-4df0-a7a1-fb4deb8f03b1"]},{"id":"ITEM-9","itemData":{"DOI":"10.1016/j.ssresearch.2018.01.001","ISSN":"0049089X","author":[{"dropping-particle":"","family":"Wo","given":"James C.","non-dropping-particle":"","parse-names":false,"suffix":""}],"container-title":"Social Science Research","id":"ITEM-9","issued":{"date-parts":[["2018","3"]]},"page":"56-71","title":"Understanding the density of nonprofit organizations across Los Angeles neighborhoods: Does concentrated disadvantage and violent crime matter?","type":"article-journal","volume":"71"},"uris":["http://www.mendeley.com/documents/?uuid=0f3c5ef8-de1d-4ac7-b337-e1cde3a50312"]}],"mendeley":{"formattedCitation":"(Harrison and Thornton 2014; Jeong and Cui 2020; Kim 2015; Never 2011; Never and Westberg 2016; Peck 2008; Polson 2017; Van Puyvelde and Brown 2016; Wo 2018)","plainTextFormattedCitation":"(Harrison and Thornton 2014; Jeong and Cui 2020; Kim 2015; Never 2011; Never and Westberg 2016; Peck 2008; Polson 2017; Van Puyvelde and Brown 2016; Wo 2018)","previouslyFormattedCitation":"(Harrison and Thornton 2014; Jeong and Cui 2020; Kim 2015; Never 2011; Never and Westberg 2016; Peck 2008; Polson 2017; Van Puyvelde and Brown 2016; Wo 2018)"},"properties":{"noteIndex":0},"schema":"https://github.com/citation-style-language/schema/raw/master/csl-citation.json"}</w:instrText>
      </w:r>
      <w:r>
        <w:rPr>
          <w:rFonts w:ascii="Times New Roman" w:hAnsi="Times New Roman" w:cs="Times New Roman"/>
          <w:sz w:val="24"/>
          <w:szCs w:val="24"/>
        </w:rPr>
        <w:fldChar w:fldCharType="separate"/>
      </w:r>
      <w:r w:rsidRPr="005F63E6">
        <w:rPr>
          <w:rFonts w:ascii="Times New Roman" w:hAnsi="Times New Roman" w:cs="Times New Roman"/>
          <w:noProof/>
          <w:sz w:val="24"/>
          <w:szCs w:val="24"/>
        </w:rPr>
        <w:t xml:space="preserve">(Harrison </w:t>
      </w:r>
      <w:r w:rsidR="00A15C7A">
        <w:rPr>
          <w:rFonts w:ascii="Times New Roman" w:hAnsi="Times New Roman" w:cs="Times New Roman"/>
          <w:noProof/>
          <w:sz w:val="24"/>
          <w:szCs w:val="24"/>
        </w:rPr>
        <w:t>&amp;</w:t>
      </w:r>
      <w:r w:rsidRPr="005F63E6">
        <w:rPr>
          <w:rFonts w:ascii="Times New Roman" w:hAnsi="Times New Roman" w:cs="Times New Roman"/>
          <w:noProof/>
          <w:sz w:val="24"/>
          <w:szCs w:val="24"/>
        </w:rPr>
        <w:t xml:space="preserve"> Thornton</w:t>
      </w:r>
      <w:r w:rsidR="00A15C7A">
        <w:rPr>
          <w:rFonts w:ascii="Times New Roman" w:hAnsi="Times New Roman" w:cs="Times New Roman"/>
          <w:noProof/>
          <w:sz w:val="24"/>
          <w:szCs w:val="24"/>
        </w:rPr>
        <w:t>,</w:t>
      </w:r>
      <w:r w:rsidRPr="005F63E6">
        <w:rPr>
          <w:rFonts w:ascii="Times New Roman" w:hAnsi="Times New Roman" w:cs="Times New Roman"/>
          <w:noProof/>
          <w:sz w:val="24"/>
          <w:szCs w:val="24"/>
        </w:rPr>
        <w:t xml:space="preserve"> 2014; Jeong </w:t>
      </w:r>
      <w:r w:rsidR="00A15C7A">
        <w:rPr>
          <w:rFonts w:ascii="Times New Roman" w:hAnsi="Times New Roman" w:cs="Times New Roman"/>
          <w:noProof/>
          <w:sz w:val="24"/>
          <w:szCs w:val="24"/>
        </w:rPr>
        <w:t>&amp;</w:t>
      </w:r>
      <w:r w:rsidRPr="005F63E6">
        <w:rPr>
          <w:rFonts w:ascii="Times New Roman" w:hAnsi="Times New Roman" w:cs="Times New Roman"/>
          <w:noProof/>
          <w:sz w:val="24"/>
          <w:szCs w:val="24"/>
        </w:rPr>
        <w:t xml:space="preserve"> Cui</w:t>
      </w:r>
      <w:r w:rsidR="00A15C7A">
        <w:rPr>
          <w:rFonts w:ascii="Times New Roman" w:hAnsi="Times New Roman" w:cs="Times New Roman"/>
          <w:noProof/>
          <w:sz w:val="24"/>
          <w:szCs w:val="24"/>
        </w:rPr>
        <w:t>,</w:t>
      </w:r>
      <w:r w:rsidRPr="005F63E6">
        <w:rPr>
          <w:rFonts w:ascii="Times New Roman" w:hAnsi="Times New Roman" w:cs="Times New Roman"/>
          <w:noProof/>
          <w:sz w:val="24"/>
          <w:szCs w:val="24"/>
        </w:rPr>
        <w:t xml:space="preserve"> 2020; Kim</w:t>
      </w:r>
      <w:r w:rsidR="00A15C7A">
        <w:rPr>
          <w:rFonts w:ascii="Times New Roman" w:hAnsi="Times New Roman" w:cs="Times New Roman"/>
          <w:noProof/>
          <w:sz w:val="24"/>
          <w:szCs w:val="24"/>
        </w:rPr>
        <w:t>,</w:t>
      </w:r>
      <w:r w:rsidRPr="005F63E6">
        <w:rPr>
          <w:rFonts w:ascii="Times New Roman" w:hAnsi="Times New Roman" w:cs="Times New Roman"/>
          <w:noProof/>
          <w:sz w:val="24"/>
          <w:szCs w:val="24"/>
        </w:rPr>
        <w:t xml:space="preserve"> 2015; Never</w:t>
      </w:r>
      <w:r w:rsidR="00A15C7A">
        <w:rPr>
          <w:rFonts w:ascii="Times New Roman" w:hAnsi="Times New Roman" w:cs="Times New Roman"/>
          <w:noProof/>
          <w:sz w:val="24"/>
          <w:szCs w:val="24"/>
        </w:rPr>
        <w:t>,</w:t>
      </w:r>
      <w:r w:rsidRPr="005F63E6">
        <w:rPr>
          <w:rFonts w:ascii="Times New Roman" w:hAnsi="Times New Roman" w:cs="Times New Roman"/>
          <w:noProof/>
          <w:sz w:val="24"/>
          <w:szCs w:val="24"/>
        </w:rPr>
        <w:t xml:space="preserve"> 2011; Never </w:t>
      </w:r>
      <w:r w:rsidR="00A15C7A">
        <w:rPr>
          <w:rFonts w:ascii="Times New Roman" w:hAnsi="Times New Roman" w:cs="Times New Roman"/>
          <w:noProof/>
          <w:sz w:val="24"/>
          <w:szCs w:val="24"/>
        </w:rPr>
        <w:t>&amp;</w:t>
      </w:r>
      <w:r w:rsidRPr="005F63E6">
        <w:rPr>
          <w:rFonts w:ascii="Times New Roman" w:hAnsi="Times New Roman" w:cs="Times New Roman"/>
          <w:noProof/>
          <w:sz w:val="24"/>
          <w:szCs w:val="24"/>
        </w:rPr>
        <w:t xml:space="preserve"> Westberg</w:t>
      </w:r>
      <w:r w:rsidR="00A15C7A">
        <w:rPr>
          <w:rFonts w:ascii="Times New Roman" w:hAnsi="Times New Roman" w:cs="Times New Roman"/>
          <w:noProof/>
          <w:sz w:val="24"/>
          <w:szCs w:val="24"/>
        </w:rPr>
        <w:t>,</w:t>
      </w:r>
      <w:r w:rsidRPr="005F63E6">
        <w:rPr>
          <w:rFonts w:ascii="Times New Roman" w:hAnsi="Times New Roman" w:cs="Times New Roman"/>
          <w:noProof/>
          <w:sz w:val="24"/>
          <w:szCs w:val="24"/>
        </w:rPr>
        <w:t xml:space="preserve"> 2016; Peck</w:t>
      </w:r>
      <w:r w:rsidR="00A15C7A">
        <w:rPr>
          <w:rFonts w:ascii="Times New Roman" w:hAnsi="Times New Roman" w:cs="Times New Roman"/>
          <w:noProof/>
          <w:sz w:val="24"/>
          <w:szCs w:val="24"/>
        </w:rPr>
        <w:t>,</w:t>
      </w:r>
      <w:r w:rsidRPr="005F63E6">
        <w:rPr>
          <w:rFonts w:ascii="Times New Roman" w:hAnsi="Times New Roman" w:cs="Times New Roman"/>
          <w:noProof/>
          <w:sz w:val="24"/>
          <w:szCs w:val="24"/>
        </w:rPr>
        <w:t xml:space="preserve"> 2008; Polson</w:t>
      </w:r>
      <w:r w:rsidR="00A15C7A">
        <w:rPr>
          <w:rFonts w:ascii="Times New Roman" w:hAnsi="Times New Roman" w:cs="Times New Roman"/>
          <w:noProof/>
          <w:sz w:val="24"/>
          <w:szCs w:val="24"/>
        </w:rPr>
        <w:t>,</w:t>
      </w:r>
      <w:r w:rsidRPr="005F63E6">
        <w:rPr>
          <w:rFonts w:ascii="Times New Roman" w:hAnsi="Times New Roman" w:cs="Times New Roman"/>
          <w:noProof/>
          <w:sz w:val="24"/>
          <w:szCs w:val="24"/>
        </w:rPr>
        <w:t xml:space="preserve"> 2017; Van Puyvelde </w:t>
      </w:r>
      <w:r w:rsidR="00A15C7A">
        <w:rPr>
          <w:rFonts w:ascii="Times New Roman" w:hAnsi="Times New Roman" w:cs="Times New Roman"/>
          <w:noProof/>
          <w:sz w:val="24"/>
          <w:szCs w:val="24"/>
        </w:rPr>
        <w:t>&amp;</w:t>
      </w:r>
      <w:r w:rsidRPr="005F63E6">
        <w:rPr>
          <w:rFonts w:ascii="Times New Roman" w:hAnsi="Times New Roman" w:cs="Times New Roman"/>
          <w:noProof/>
          <w:sz w:val="24"/>
          <w:szCs w:val="24"/>
        </w:rPr>
        <w:t xml:space="preserve"> Brown 2016; Wo</w:t>
      </w:r>
      <w:r w:rsidR="00A85996">
        <w:rPr>
          <w:rFonts w:ascii="Times New Roman" w:hAnsi="Times New Roman" w:cs="Times New Roman"/>
          <w:noProof/>
          <w:sz w:val="24"/>
          <w:szCs w:val="24"/>
        </w:rPr>
        <w:t>,</w:t>
      </w:r>
      <w:r w:rsidRPr="005F63E6">
        <w:rPr>
          <w:rFonts w:ascii="Times New Roman" w:hAnsi="Times New Roman" w:cs="Times New Roman"/>
          <w:noProof/>
          <w:sz w:val="24"/>
          <w:szCs w:val="24"/>
        </w:rPr>
        <w:t xml:space="preserve"> 2018)</w:t>
      </w:r>
      <w:r>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r>
        <w:rPr>
          <w:rFonts w:ascii="Times New Roman" w:hAnsi="Times New Roman" w:cs="Times New Roman"/>
          <w:sz w:val="24"/>
          <w:szCs w:val="24"/>
        </w:rPr>
        <w:t xml:space="preserve">According to Yan et 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Statistician","id":"ITEM-1","issue":"4","issued":{"date-parts":[["2014","10","2"]]},"page":"243-252","title":"Are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Region","type":"article-journal","volume":"68"},"uris":["http://www.mendeley.com/documents/?uuid=0244e13a-fcc4-445a-9d78-620ee6072abf"]}],"mendeley":{"formattedCitation":"(Yan et al. 2014)","plainTextFormattedCitation":"(Yan et al. 2014)","previouslyFormattedCitation":"(Yan et al. 2014)"},"properties":{"noteIndex":0},"schema":"https://github.com/citation-style-language/schema/raw/master/csl-citation.json"}</w:instrText>
      </w:r>
      <w:r>
        <w:rPr>
          <w:rFonts w:ascii="Times New Roman" w:hAnsi="Times New Roman" w:cs="Times New Roman"/>
          <w:sz w:val="24"/>
          <w:szCs w:val="24"/>
        </w:rPr>
        <w:fldChar w:fldCharType="separate"/>
      </w:r>
      <w:r w:rsidRPr="005F63E6">
        <w:rPr>
          <w:rFonts w:ascii="Times New Roman" w:hAnsi="Times New Roman" w:cs="Times New Roman"/>
          <w:noProof/>
          <w:sz w:val="24"/>
          <w:szCs w:val="24"/>
        </w:rPr>
        <w:t>(2014)</w:t>
      </w:r>
      <w:r>
        <w:rPr>
          <w:rFonts w:ascii="Times New Roman" w:hAnsi="Times New Roman" w:cs="Times New Roman"/>
          <w:sz w:val="24"/>
          <w:szCs w:val="24"/>
        </w:rPr>
        <w:fldChar w:fldCharType="end"/>
      </w:r>
      <w:r w:rsidRPr="00083D5F">
        <w:rPr>
          <w:rFonts w:ascii="Times New Roman" w:hAnsi="Times New Roman" w:cs="Times New Roman"/>
          <w:sz w:val="24"/>
          <w:szCs w:val="24"/>
        </w:rPr>
        <w:t>, “this emerging line of research often suffers from methodological limitations and has yet to benefit from the most recent advances in the statistics literature”</w:t>
      </w:r>
      <w:r>
        <w:rPr>
          <w:rFonts w:ascii="Times New Roman" w:hAnsi="Times New Roman" w:cs="Times New Roman"/>
          <w:sz w:val="24"/>
          <w:szCs w:val="24"/>
        </w:rPr>
        <w:t xml:space="preserve"> (p. 243).</w:t>
      </w:r>
      <w:r w:rsidRPr="00083D5F">
        <w:rPr>
          <w:rFonts w:ascii="Times New Roman" w:hAnsi="Times New Roman" w:cs="Times New Roman"/>
          <w:sz w:val="24"/>
          <w:szCs w:val="24"/>
        </w:rPr>
        <w:t xml:space="preserve"> This </w:t>
      </w:r>
      <w:r>
        <w:rPr>
          <w:rFonts w:ascii="Times New Roman" w:hAnsi="Times New Roman" w:cs="Times New Roman"/>
          <w:sz w:val="24"/>
          <w:szCs w:val="24"/>
        </w:rPr>
        <w:t xml:space="preserve">case study takes a first step in </w:t>
      </w:r>
      <w:r w:rsidRPr="00083D5F">
        <w:rPr>
          <w:rFonts w:ascii="Times New Roman" w:hAnsi="Times New Roman" w:cs="Times New Roman"/>
          <w:sz w:val="24"/>
          <w:szCs w:val="24"/>
        </w:rPr>
        <w:t>respond</w:t>
      </w:r>
      <w:r>
        <w:rPr>
          <w:rFonts w:ascii="Times New Roman" w:hAnsi="Times New Roman" w:cs="Times New Roman"/>
          <w:sz w:val="24"/>
          <w:szCs w:val="24"/>
        </w:rPr>
        <w:t>ing</w:t>
      </w:r>
      <w:r w:rsidRPr="00083D5F">
        <w:rPr>
          <w:rFonts w:ascii="Times New Roman" w:hAnsi="Times New Roman" w:cs="Times New Roman"/>
          <w:sz w:val="24"/>
          <w:szCs w:val="24"/>
        </w:rPr>
        <w:t xml:space="preserve"> to Yan et al.’s </w:t>
      </w:r>
      <w:r>
        <w:rPr>
          <w:rFonts w:ascii="Times New Roman" w:hAnsi="Times New Roman" w:cs="Times New Roman"/>
          <w:sz w:val="24"/>
          <w:szCs w:val="24"/>
        </w:rPr>
        <w:t xml:space="preserve">(2014) </w:t>
      </w:r>
      <w:r w:rsidRPr="00083D5F">
        <w:rPr>
          <w:rFonts w:ascii="Times New Roman" w:hAnsi="Times New Roman" w:cs="Times New Roman"/>
          <w:sz w:val="24"/>
          <w:szCs w:val="24"/>
        </w:rPr>
        <w:t xml:space="preserve">call to improve methodological rigor in this area of research </w:t>
      </w:r>
      <w:r>
        <w:rPr>
          <w:rFonts w:ascii="Times New Roman" w:hAnsi="Times New Roman" w:cs="Times New Roman"/>
          <w:sz w:val="24"/>
          <w:szCs w:val="24"/>
        </w:rPr>
        <w:t>by</w:t>
      </w:r>
      <w:r w:rsidRPr="00083D5F">
        <w:rPr>
          <w:rFonts w:ascii="Times New Roman" w:hAnsi="Times New Roman" w:cs="Times New Roman"/>
          <w:sz w:val="24"/>
          <w:szCs w:val="24"/>
        </w:rPr>
        <w:t xml:space="preserve">: first, improving the market characteristics under examination; second, introducing multidimensional constructs for modeling community need; third, applying methodologies that account for spatial dependencies; </w:t>
      </w:r>
      <w:r>
        <w:rPr>
          <w:rFonts w:ascii="Times New Roman" w:hAnsi="Times New Roman" w:cs="Times New Roman"/>
          <w:sz w:val="24"/>
          <w:szCs w:val="24"/>
        </w:rPr>
        <w:t xml:space="preserve">and fourth, replicating the sector-wide analysis </w:t>
      </w:r>
      <w:r>
        <w:rPr>
          <w:rFonts w:ascii="Times New Roman" w:hAnsi="Times New Roman" w:cs="Times New Roman"/>
          <w:bCs/>
          <w:sz w:val="24"/>
          <w:szCs w:val="24"/>
        </w:rPr>
        <w:t>in</w:t>
      </w:r>
      <w:r w:rsidRPr="00083D5F">
        <w:rPr>
          <w:rFonts w:ascii="Times New Roman" w:hAnsi="Times New Roman" w:cs="Times New Roman"/>
          <w:bCs/>
          <w:sz w:val="24"/>
          <w:szCs w:val="24"/>
        </w:rPr>
        <w:t xml:space="preserve"> </w:t>
      </w:r>
      <w:r>
        <w:rPr>
          <w:rFonts w:ascii="Times New Roman" w:hAnsi="Times New Roman" w:cs="Times New Roman"/>
          <w:bCs/>
          <w:sz w:val="24"/>
          <w:szCs w:val="24"/>
        </w:rPr>
        <w:t>two nonprofit subsectors</w:t>
      </w:r>
      <w:r w:rsidRPr="00083D5F">
        <w:rPr>
          <w:rFonts w:ascii="Times New Roman" w:hAnsi="Times New Roman" w:cs="Times New Roman"/>
          <w:sz w:val="24"/>
          <w:szCs w:val="24"/>
        </w:rPr>
        <w:t>.</w:t>
      </w:r>
    </w:p>
    <w:p w14:paraId="64A95CEA" w14:textId="6BDFBE05" w:rsidR="00EA1B19" w:rsidRPr="00074041" w:rsidRDefault="00EA1B19" w:rsidP="00EA1B19">
      <w:pPr>
        <w:spacing w:after="0" w:line="480" w:lineRule="auto"/>
        <w:ind w:firstLine="720"/>
        <w:rPr>
          <w:rFonts w:ascii="Times New Roman" w:hAnsi="Times New Roman" w:cs="Times New Roman"/>
          <w:sz w:val="24"/>
          <w:szCs w:val="24"/>
        </w:rPr>
      </w:pPr>
      <w:r w:rsidRPr="00074041">
        <w:rPr>
          <w:rFonts w:ascii="Times New Roman" w:hAnsi="Times New Roman" w:cs="Times New Roman"/>
          <w:sz w:val="24"/>
          <w:szCs w:val="24"/>
        </w:rPr>
        <w:t xml:space="preserve">In the next section we consider the question of why nonprofits exist, a necessary baseline for analyzing whether they are appropriately addressing the demand in their environment. After the presentation of theory, we review the previous literature that informed our modeling of </w:t>
      </w:r>
      <w:r w:rsidRPr="00074041">
        <w:rPr>
          <w:rFonts w:ascii="Times New Roman" w:hAnsi="Times New Roman" w:cs="Times New Roman"/>
          <w:sz w:val="24"/>
          <w:szCs w:val="24"/>
        </w:rPr>
        <w:lastRenderedPageBreak/>
        <w:t>nonprofit supply, community demand, and market structure. Next, we present the statistical methods used for this analysis including a description of spatially de</w:t>
      </w:r>
      <w:r w:rsidR="00A15C7A">
        <w:rPr>
          <w:rFonts w:ascii="Times New Roman" w:hAnsi="Times New Roman" w:cs="Times New Roman"/>
          <w:sz w:val="24"/>
          <w:szCs w:val="24"/>
        </w:rPr>
        <w:t>p</w:t>
      </w:r>
      <w:r w:rsidRPr="00074041">
        <w:rPr>
          <w:rFonts w:ascii="Times New Roman" w:hAnsi="Times New Roman" w:cs="Times New Roman"/>
          <w:sz w:val="24"/>
          <w:szCs w:val="24"/>
        </w:rPr>
        <w:t xml:space="preserve">endent Bayesian linear regression modeling, an underutilized methodology in public affairs research. We then present the results of our analysis and insights that help move this line of inquiry forward. Notably, our results indicate that the relationship between community demand and nonprofit supply is not well-established. These non-findings challenge the widely-espoused notion (Salamon, 2012; Steinberg, 2006) that nonprofits emerge to address unsatisfied demand and fill gaps left unfulfilled by the for-profit and governmental sectors. </w:t>
      </w:r>
      <w:r w:rsidRPr="00074041">
        <w:rPr>
          <w:rFonts w:ascii="Times" w:eastAsia="Calibri" w:hAnsi="Times" w:cs="Times New Roman"/>
          <w:bCs/>
          <w:sz w:val="24"/>
          <w:szCs w:val="24"/>
        </w:rPr>
        <w:t xml:space="preserve">Nonprofit output is not only a matter of the economics of supply and demand. </w:t>
      </w:r>
      <w:r w:rsidRPr="00074041">
        <w:rPr>
          <w:rFonts w:ascii="Times New Roman" w:hAnsi="Times New Roman" w:cs="Times New Roman"/>
          <w:sz w:val="24"/>
          <w:szCs w:val="24"/>
        </w:rPr>
        <w:t>We conclude the article with limitations of our study and directions for further study.</w:t>
      </w:r>
    </w:p>
    <w:p w14:paraId="505E665B" w14:textId="77777777" w:rsidR="00EA1B19" w:rsidRPr="00074041" w:rsidRDefault="00EA1B19" w:rsidP="00EA1B19">
      <w:pPr>
        <w:spacing w:after="0" w:line="480" w:lineRule="auto"/>
        <w:rPr>
          <w:rFonts w:ascii="Times New Roman" w:hAnsi="Times New Roman" w:cs="Times New Roman"/>
          <w:bCs/>
          <w:sz w:val="24"/>
          <w:szCs w:val="24"/>
        </w:rPr>
      </w:pPr>
      <w:r w:rsidRPr="00074041">
        <w:rPr>
          <w:rFonts w:ascii="Times New Roman" w:hAnsi="Times New Roman" w:cs="Times New Roman"/>
          <w:b/>
          <w:sz w:val="24"/>
          <w:szCs w:val="24"/>
        </w:rPr>
        <w:t>Why do Nonprofits Exist?</w:t>
      </w:r>
    </w:p>
    <w:p w14:paraId="508999BC" w14:textId="080F6E8A"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Scholarship on why nonprofits exist generally fall into two categories: economic theories and values-based theories. In the former – and more dominant – stream of literature, nonprofits exist to serve demand that remains unsatisfied by the government and for-profit sectors (</w:t>
      </w:r>
      <w:r w:rsidR="00A15C7A" w:rsidRPr="00074041">
        <w:rPr>
          <w:rFonts w:ascii="Times New Roman" w:hAnsi="Times New Roman" w:cs="Times New Roman"/>
          <w:bCs/>
          <w:sz w:val="24"/>
          <w:szCs w:val="24"/>
        </w:rPr>
        <w:t>Kingma, 1997</w:t>
      </w:r>
      <w:r w:rsidR="00A15C7A">
        <w:rPr>
          <w:rFonts w:ascii="Times New Roman" w:hAnsi="Times New Roman" w:cs="Times New Roman"/>
          <w:bCs/>
          <w:sz w:val="24"/>
          <w:szCs w:val="24"/>
        </w:rPr>
        <w:t xml:space="preserve">; </w:t>
      </w:r>
      <w:r w:rsidRPr="00074041">
        <w:rPr>
          <w:rFonts w:ascii="Times New Roman" w:hAnsi="Times New Roman" w:cs="Times New Roman"/>
          <w:bCs/>
          <w:sz w:val="24"/>
          <w:szCs w:val="24"/>
        </w:rPr>
        <w:t xml:space="preserve">Weisbrod, 1975). Weisbrod’s (1975) demand heterogeneity hypothesis suggests nonprofits emerge to satisfy residual demand and owing to their unique </w:t>
      </w:r>
      <w:r w:rsidR="00A15C7A">
        <w:rPr>
          <w:rFonts w:ascii="Times New Roman" w:hAnsi="Times New Roman" w:cs="Times New Roman"/>
          <w:bCs/>
          <w:sz w:val="24"/>
          <w:szCs w:val="24"/>
        </w:rPr>
        <w:t>institutional</w:t>
      </w:r>
      <w:r w:rsidRPr="00074041">
        <w:rPr>
          <w:rFonts w:ascii="Times New Roman" w:hAnsi="Times New Roman" w:cs="Times New Roman"/>
          <w:bCs/>
          <w:sz w:val="24"/>
          <w:szCs w:val="24"/>
        </w:rPr>
        <w:t xml:space="preserve"> form typically produce collective goods. The ensuing paragraphs provide a brief review of goods and the primary theories that explain nonprofit existence and growth.</w:t>
      </w:r>
    </w:p>
    <w:p w14:paraId="49DB919F" w14:textId="77777777" w:rsidR="00EA1B19" w:rsidRPr="00074041" w:rsidRDefault="00EA1B19" w:rsidP="00EA1B19">
      <w:pPr>
        <w:spacing w:after="0" w:line="480" w:lineRule="auto"/>
        <w:rPr>
          <w:rFonts w:ascii="Times New Roman" w:hAnsi="Times New Roman" w:cs="Times New Roman"/>
          <w:b/>
          <w:i/>
          <w:iCs/>
          <w:sz w:val="24"/>
          <w:szCs w:val="24"/>
        </w:rPr>
      </w:pPr>
      <w:r w:rsidRPr="00074041">
        <w:rPr>
          <w:rFonts w:ascii="Times New Roman" w:hAnsi="Times New Roman" w:cs="Times New Roman"/>
          <w:b/>
          <w:i/>
          <w:iCs/>
          <w:sz w:val="24"/>
          <w:szCs w:val="24"/>
        </w:rPr>
        <w:t>Goods</w:t>
      </w:r>
    </w:p>
    <w:p w14:paraId="076E4FD1" w14:textId="67B77E8D"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A good is anything consumers value, including services and tangible objects (Steinberg</w:t>
      </w:r>
      <w:r w:rsidR="00A85996">
        <w:rPr>
          <w:rFonts w:ascii="Times New Roman" w:hAnsi="Times New Roman" w:cs="Times New Roman"/>
          <w:bCs/>
          <w:sz w:val="24"/>
          <w:szCs w:val="24"/>
        </w:rPr>
        <w:t>,</w:t>
      </w:r>
      <w:r w:rsidRPr="00074041">
        <w:rPr>
          <w:rFonts w:ascii="Times New Roman" w:hAnsi="Times New Roman" w:cs="Times New Roman"/>
          <w:bCs/>
          <w:sz w:val="24"/>
          <w:szCs w:val="24"/>
        </w:rPr>
        <w:t xml:space="preserve"> 2006). In the traditional economic view, there are four types of goods – public, private, collective, and club – produced by either public or private actors. The distinction between the four types of goods is the extent to which they are available to citizens or consumers across two </w:t>
      </w:r>
      <w:r w:rsidRPr="00074041">
        <w:rPr>
          <w:rFonts w:ascii="Times New Roman" w:hAnsi="Times New Roman" w:cs="Times New Roman"/>
          <w:bCs/>
          <w:sz w:val="24"/>
          <w:szCs w:val="24"/>
        </w:rPr>
        <w:lastRenderedPageBreak/>
        <w:t>dimensions – excludability and rivalry. The first dimension – excludability – pertains to access; a good is excludable if it is possible to prevent someone from consuming it. The second dimension – rivalry – concerns exhaustibility; a good is rival if the amount of the good is limited.</w:t>
      </w:r>
    </w:p>
    <w:p w14:paraId="2DF8AA3E" w14:textId="3E4461D5"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 xml:space="preserve">Placed in a two-by-two matrix, goods can be classified into four groups. Private goods, such as candy bars or automobiles are scarce economic resources with accompanying property rights. For example, a retailer owns an automobile until such time as a consumer pays the retailer for the car. Access to the good is thus restricted to those consumers with the ability to pay for the automobile, and property rights prohibit others from consuming the good. Thus, private goods are excludable and rival. By contrast, public goods – such as national defense – are non-excludable and non-rival. Public goods are available to all individuals, regardless of one’s ability to pay for it. Citizens enjoy the protections of national defense equally and the good is not exhaustible. </w:t>
      </w:r>
    </w:p>
    <w:p w14:paraId="37A7D189" w14:textId="77777777"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Collective and club goods share aspects of private and public goods. Collective (or common) goods are not restricted from access, but are limited in quantity. For example, a shelter provides free accommodations to any homeless in a metro area, but the number of beds and the organization’s capacity are limited. Thus, collective goods are non-excludable and rival. Conversely, club (or toll) goods are excludable and non-rival. These goods require consumers to pay for access, but one person’s consumption of the good does not preclude consumption by others. Common examples include uncongested toll roads, private parks, and public transit.</w:t>
      </w:r>
    </w:p>
    <w:p w14:paraId="3C1E3369" w14:textId="77777777" w:rsidR="00EA1B19" w:rsidRPr="00074041" w:rsidRDefault="00EA1B19" w:rsidP="00EA1B19">
      <w:pPr>
        <w:spacing w:after="0" w:line="480" w:lineRule="auto"/>
        <w:rPr>
          <w:rFonts w:ascii="Times New Roman" w:hAnsi="Times New Roman" w:cs="Times New Roman"/>
          <w:bCs/>
          <w:sz w:val="24"/>
          <w:szCs w:val="24"/>
        </w:rPr>
      </w:pPr>
      <w:r w:rsidRPr="00074041">
        <w:rPr>
          <w:rFonts w:ascii="Times New Roman" w:hAnsi="Times New Roman" w:cs="Times New Roman"/>
          <w:b/>
          <w:sz w:val="24"/>
          <w:szCs w:val="24"/>
        </w:rPr>
        <w:t>Demand-Side Economic Theories of Nonprofit Existence</w:t>
      </w:r>
    </w:p>
    <w:p w14:paraId="6DA71749" w14:textId="057ED54C"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Three-failures theory (Steinberg</w:t>
      </w:r>
      <w:r w:rsidR="00A85996">
        <w:rPr>
          <w:rFonts w:ascii="Times New Roman" w:hAnsi="Times New Roman" w:cs="Times New Roman"/>
          <w:bCs/>
          <w:sz w:val="24"/>
          <w:szCs w:val="24"/>
        </w:rPr>
        <w:t>,</w:t>
      </w:r>
      <w:r w:rsidRPr="00074041">
        <w:rPr>
          <w:rFonts w:ascii="Times New Roman" w:hAnsi="Times New Roman" w:cs="Times New Roman"/>
          <w:bCs/>
          <w:sz w:val="24"/>
          <w:szCs w:val="24"/>
        </w:rPr>
        <w:t xml:space="preserve"> 2006) postulates that for-profit, government, and nonprofit sectors each fail to provide certain goods desired by citizens and consumers as a consequence of various pressures or due to inadequacies. In the three-failures approach, 1) </w:t>
      </w:r>
      <w:r w:rsidRPr="00074041">
        <w:rPr>
          <w:rFonts w:ascii="Times New Roman" w:hAnsi="Times New Roman" w:cs="Times New Roman"/>
          <w:bCs/>
          <w:sz w:val="24"/>
          <w:szCs w:val="24"/>
        </w:rPr>
        <w:lastRenderedPageBreak/>
        <w:t>nonprofits emerge to correct market and government failures, and 2) government and for-profit firms respond to correct nonprofit sector failures (Van Puyvelde and Brown, 2016).</w:t>
      </w:r>
    </w:p>
    <w:p w14:paraId="3E354B0C" w14:textId="77777777" w:rsidR="00EA1B19" w:rsidRPr="00074041" w:rsidRDefault="00EA1B19" w:rsidP="00EA1B19">
      <w:pPr>
        <w:spacing w:after="0" w:line="480" w:lineRule="auto"/>
        <w:rPr>
          <w:rFonts w:ascii="Times New Roman" w:hAnsi="Times New Roman" w:cs="Times New Roman"/>
          <w:b/>
          <w:i/>
          <w:iCs/>
          <w:sz w:val="24"/>
          <w:szCs w:val="24"/>
        </w:rPr>
      </w:pPr>
      <w:r w:rsidRPr="00074041">
        <w:rPr>
          <w:rFonts w:ascii="Times New Roman" w:hAnsi="Times New Roman" w:cs="Times New Roman"/>
          <w:b/>
          <w:i/>
          <w:iCs/>
          <w:sz w:val="24"/>
          <w:szCs w:val="24"/>
        </w:rPr>
        <w:t>Market Failure</w:t>
      </w:r>
    </w:p>
    <w:p w14:paraId="1D8CEB32" w14:textId="6416A0EA"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Market failure concerns the inefficiencies resulting from for-profit provision of public goods and services (Steinberg</w:t>
      </w:r>
      <w:r w:rsidR="00A85996">
        <w:rPr>
          <w:rFonts w:ascii="Times New Roman" w:hAnsi="Times New Roman" w:cs="Times New Roman"/>
          <w:bCs/>
          <w:sz w:val="24"/>
          <w:szCs w:val="24"/>
        </w:rPr>
        <w:t>,</w:t>
      </w:r>
      <w:r w:rsidRPr="00074041">
        <w:rPr>
          <w:rFonts w:ascii="Times New Roman" w:hAnsi="Times New Roman" w:cs="Times New Roman"/>
          <w:bCs/>
          <w:sz w:val="24"/>
          <w:szCs w:val="24"/>
        </w:rPr>
        <w:t xml:space="preserve"> 2006). Often considered the first fundamental theorem of welfare economics, market failure emerges from three possible sources: underprovision of goods, overexclusion of goods, and contract failure (Steinberg</w:t>
      </w:r>
      <w:r w:rsidR="00A85996">
        <w:rPr>
          <w:rFonts w:ascii="Times New Roman" w:hAnsi="Times New Roman" w:cs="Times New Roman"/>
          <w:bCs/>
          <w:sz w:val="24"/>
          <w:szCs w:val="24"/>
        </w:rPr>
        <w:t>,</w:t>
      </w:r>
      <w:r w:rsidRPr="00074041">
        <w:rPr>
          <w:rFonts w:ascii="Times New Roman" w:hAnsi="Times New Roman" w:cs="Times New Roman"/>
          <w:bCs/>
          <w:sz w:val="24"/>
          <w:szCs w:val="24"/>
        </w:rPr>
        <w:t xml:space="preserve"> 2006).</w:t>
      </w:r>
    </w:p>
    <w:p w14:paraId="42279CDA" w14:textId="77777777"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The for-profit sector fails to provide public or common goods because excludability is necessary for profitability. Given the opportunity, consumers have the motive to enjoy a good without paying (free ride), which undermines a firm’s ability to yield a profit. Hence, for-profit organizations do not provide goods where access is free (underprovision). Driven by a focus on maximizing shareholder wealth, for-profit firms increase profits by establishing property rights and charging consumers for access. The second source of market failure arises from the inefficiencies created by the overexclusion of goods. For-profits exclude nonpaying customers from consuming a good even when it is nonrival (e.g., club goods) out of fear of losing paying customers. Consumers unwilling or unable to pay for the good are residual demand that other firms (or sectors) may choose to satisfy.</w:t>
      </w:r>
    </w:p>
    <w:p w14:paraId="04B9402C" w14:textId="2C370530"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The final source of market failure is captured by contract failure theory. Where information asymmetries exist between consumers and producers and “consumers feel unable to evaluate accurately the quantity or quality of the service a firm produces,” a nonprofit organization is ultimately preferred to a for-profit firm (Hansmann</w:t>
      </w:r>
      <w:r w:rsidR="00A15C7A">
        <w:rPr>
          <w:rFonts w:ascii="Times New Roman" w:hAnsi="Times New Roman" w:cs="Times New Roman"/>
          <w:bCs/>
          <w:sz w:val="24"/>
          <w:szCs w:val="24"/>
        </w:rPr>
        <w:t>,</w:t>
      </w:r>
      <w:r w:rsidRPr="00074041">
        <w:rPr>
          <w:rFonts w:ascii="Times New Roman" w:hAnsi="Times New Roman" w:cs="Times New Roman"/>
          <w:bCs/>
          <w:sz w:val="24"/>
          <w:szCs w:val="24"/>
        </w:rPr>
        <w:t xml:space="preserve"> 1987, p. 29). Such asymmetries exist when goods are highly complex or technical and consumers lack the knowledge to fairly assess the quality. Information asymmetries are also present when </w:t>
      </w:r>
      <w:r w:rsidRPr="00074041">
        <w:rPr>
          <w:rFonts w:ascii="Times New Roman" w:hAnsi="Times New Roman" w:cs="Times New Roman"/>
          <w:bCs/>
          <w:sz w:val="24"/>
          <w:szCs w:val="24"/>
        </w:rPr>
        <w:lastRenderedPageBreak/>
        <w:t>purchasers are not the users of a good (e.g., parents paying for child’s daycare). In such circumstances, for-profit firms have both the incentive and the opportunity to take advantage of customers by providing less service to them than was promised and paid for (Hansmann</w:t>
      </w:r>
      <w:r w:rsidR="00BF0B43">
        <w:rPr>
          <w:rFonts w:ascii="Times New Roman" w:hAnsi="Times New Roman" w:cs="Times New Roman"/>
          <w:bCs/>
          <w:sz w:val="24"/>
          <w:szCs w:val="24"/>
        </w:rPr>
        <w:t>,</w:t>
      </w:r>
      <w:r w:rsidRPr="00074041">
        <w:rPr>
          <w:rFonts w:ascii="Times New Roman" w:hAnsi="Times New Roman" w:cs="Times New Roman"/>
          <w:bCs/>
          <w:sz w:val="24"/>
          <w:szCs w:val="24"/>
        </w:rPr>
        <w:t xml:space="preserve"> 1987). </w:t>
      </w:r>
    </w:p>
    <w:p w14:paraId="51DF9DD1" w14:textId="7C6C1F69"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By contrast, nonprofit organizations are seen by consumers as more trustworthy producers. First, consumers see nonprofits as altruistic actors working for the communal benefit, a notion rooted in the sector’s history of providing alms to the poor and referred to as the “halo effect” (Prentice &amp; Brudney, 2016a). Second, legal restrictions on private benefit and private inurement in nonprofit organizations are believed to reduce incentives to cheat. Nonprofits are required by law to cycle profits back into mission-related efforts and are not allowed to pay out dividends to shareholders, a notion referred to as the nondistribution constraint (Hansmann</w:t>
      </w:r>
      <w:r w:rsidR="00BF0B43">
        <w:rPr>
          <w:rFonts w:ascii="Times New Roman" w:hAnsi="Times New Roman" w:cs="Times New Roman"/>
          <w:bCs/>
          <w:sz w:val="24"/>
          <w:szCs w:val="24"/>
        </w:rPr>
        <w:t>,</w:t>
      </w:r>
      <w:r w:rsidRPr="00074041">
        <w:rPr>
          <w:rFonts w:ascii="Times New Roman" w:hAnsi="Times New Roman" w:cs="Times New Roman"/>
          <w:bCs/>
          <w:sz w:val="24"/>
          <w:szCs w:val="24"/>
        </w:rPr>
        <w:t xml:space="preserve"> 1987). Without shareholder profit as a motivating factor</w:t>
      </w:r>
      <w:r w:rsidR="00A15C7A">
        <w:rPr>
          <w:rFonts w:ascii="Times New Roman" w:hAnsi="Times New Roman" w:cs="Times New Roman"/>
          <w:bCs/>
          <w:sz w:val="24"/>
          <w:szCs w:val="24"/>
        </w:rPr>
        <w:t>,</w:t>
      </w:r>
      <w:r w:rsidRPr="00074041">
        <w:rPr>
          <w:rFonts w:ascii="Times New Roman" w:hAnsi="Times New Roman" w:cs="Times New Roman"/>
          <w:bCs/>
          <w:sz w:val="24"/>
          <w:szCs w:val="24"/>
        </w:rPr>
        <w:t xml:space="preserve"> nonprofits are constrained in their ability “to benefit personally from providing low-quality services and thus have less incentive to take advantage of their customers” (Hansmann</w:t>
      </w:r>
      <w:r w:rsidR="00BF0B43">
        <w:rPr>
          <w:rFonts w:ascii="Times New Roman" w:hAnsi="Times New Roman" w:cs="Times New Roman"/>
          <w:bCs/>
          <w:sz w:val="24"/>
          <w:szCs w:val="24"/>
        </w:rPr>
        <w:t>,</w:t>
      </w:r>
      <w:r w:rsidRPr="00074041">
        <w:rPr>
          <w:rFonts w:ascii="Times New Roman" w:hAnsi="Times New Roman" w:cs="Times New Roman"/>
          <w:bCs/>
          <w:sz w:val="24"/>
          <w:szCs w:val="24"/>
        </w:rPr>
        <w:t xml:space="preserve"> 1987, p.29).</w:t>
      </w:r>
    </w:p>
    <w:p w14:paraId="0AB63FDC" w14:textId="77777777" w:rsidR="00EA1B19" w:rsidRPr="00074041" w:rsidRDefault="00EA1B19" w:rsidP="00EA1B19">
      <w:pPr>
        <w:spacing w:after="0" w:line="480" w:lineRule="auto"/>
        <w:rPr>
          <w:rFonts w:ascii="Times New Roman" w:hAnsi="Times New Roman" w:cs="Times New Roman"/>
          <w:b/>
          <w:i/>
          <w:iCs/>
          <w:sz w:val="24"/>
          <w:szCs w:val="24"/>
        </w:rPr>
      </w:pPr>
      <w:r w:rsidRPr="00074041">
        <w:rPr>
          <w:rFonts w:ascii="Times New Roman" w:hAnsi="Times New Roman" w:cs="Times New Roman"/>
          <w:b/>
          <w:i/>
          <w:iCs/>
          <w:sz w:val="24"/>
          <w:szCs w:val="24"/>
        </w:rPr>
        <w:t>Government Failure</w:t>
      </w:r>
    </w:p>
    <w:p w14:paraId="0CBC81BD" w14:textId="3F54E434"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 xml:space="preserve">Where for-profits fails to provide goods, government emerges to address unsatisfied demand. Guided by principles of equity, transparency, and representativeness, and unconcerned with profit, government produces public goods that are broadly available (non-excludable) and generally inexhaustible (non-rival). According to Weisbrod (1977), government aims to satisfy the median voter and provides goods that most citizens prefer, resulting in residual unsatisfied demand by those individuals that want more goods or services than the median voter. Consequently, for-profit and nonprofit organizations arise to meet this residual demand. For example, neighborhoods desiring greater levels of policing than their municipality provides may establish neighborhood watch programs or hire private security. Nonprofits are the primary </w:t>
      </w:r>
      <w:r w:rsidRPr="00074041">
        <w:rPr>
          <w:rFonts w:ascii="Times New Roman" w:hAnsi="Times New Roman" w:cs="Times New Roman"/>
          <w:bCs/>
          <w:sz w:val="24"/>
          <w:szCs w:val="24"/>
        </w:rPr>
        <w:lastRenderedPageBreak/>
        <w:t>mechanism for addressing government failure when profit is unlikely and the goods have a higher degree of publicness. Indeed, “Many nonprofit firms provide services that have the character of public goods” (Hansmann</w:t>
      </w:r>
      <w:r w:rsidR="00A44351">
        <w:rPr>
          <w:rFonts w:ascii="Times New Roman" w:hAnsi="Times New Roman" w:cs="Times New Roman"/>
          <w:bCs/>
          <w:sz w:val="24"/>
          <w:szCs w:val="24"/>
        </w:rPr>
        <w:t>,</w:t>
      </w:r>
      <w:r w:rsidRPr="00074041">
        <w:rPr>
          <w:rFonts w:ascii="Times New Roman" w:hAnsi="Times New Roman" w:cs="Times New Roman"/>
          <w:bCs/>
          <w:sz w:val="24"/>
          <w:szCs w:val="24"/>
        </w:rPr>
        <w:t xml:space="preserve"> 1987, p.29).</w:t>
      </w:r>
    </w:p>
    <w:p w14:paraId="36C9E695" w14:textId="77777777" w:rsidR="00EA1B19" w:rsidRPr="00074041" w:rsidRDefault="00EA1B19" w:rsidP="00EA1B19">
      <w:pPr>
        <w:spacing w:after="0" w:line="480" w:lineRule="auto"/>
        <w:rPr>
          <w:rFonts w:ascii="Times New Roman" w:hAnsi="Times New Roman" w:cs="Times New Roman"/>
          <w:b/>
          <w:i/>
          <w:iCs/>
          <w:sz w:val="24"/>
          <w:szCs w:val="24"/>
        </w:rPr>
      </w:pPr>
      <w:r w:rsidRPr="00074041">
        <w:rPr>
          <w:rFonts w:ascii="Times New Roman" w:hAnsi="Times New Roman" w:cs="Times New Roman"/>
          <w:b/>
          <w:i/>
          <w:iCs/>
          <w:sz w:val="24"/>
          <w:szCs w:val="24"/>
        </w:rPr>
        <w:t>Nonprofit Failure</w:t>
      </w:r>
    </w:p>
    <w:p w14:paraId="7A9FC16F" w14:textId="77777777"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The final component in three-failures theory is nonprofit failure. Nonprofits emerge to fill gaps left by the other two sectors, but are limited in their resources and thus fail to meet consumer demand. Salamon (1987) identified four voluntary sector failures and demonstrated that oftentimes for-profit and government step in to support or directly provide goods as a consequence of nonprofit failure. According to Salamon (1987), nonprofits fail due to: 1) resource insufficiencies and the presence of free riders, who consume goods without paying (philanthropic insufficiency);  2) an overemphasis on particular subgroups while ignoring others, thereby creating inefficiencies and unnecessary duplication of services (philanthropic particularism); 3) elite control by wealthy benefactors who may misidentify problems and produce ineffective solutions (philanthropic paternalism); and 4) disorganized practices stemming from a lack of professionalization and an overreliance on volunteer labor (philanthropic amateurism).</w:t>
      </w:r>
    </w:p>
    <w:p w14:paraId="5DCCC153" w14:textId="77777777"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In sum, the three-failures approach explains nonprofit existence by demonstrating the residual demand for goods left unproduced by market and government sectors. Notably, this approach also illuminates the importance of evaluating all sectors in an ecosystem when exploring questions pertaining to nonprofit sector growth and density.</w:t>
      </w:r>
    </w:p>
    <w:p w14:paraId="13216CB0" w14:textId="00AE55A2" w:rsidR="00EA1B19" w:rsidRPr="00074041" w:rsidRDefault="00EA1B19" w:rsidP="00EA1B19">
      <w:pPr>
        <w:spacing w:after="0" w:line="480" w:lineRule="auto"/>
        <w:rPr>
          <w:rFonts w:ascii="Times New Roman" w:hAnsi="Times New Roman" w:cs="Times New Roman"/>
          <w:bCs/>
          <w:sz w:val="24"/>
          <w:szCs w:val="24"/>
        </w:rPr>
      </w:pPr>
      <w:r w:rsidRPr="00074041">
        <w:rPr>
          <w:rFonts w:ascii="Times New Roman" w:hAnsi="Times New Roman" w:cs="Times New Roman"/>
          <w:b/>
          <w:sz w:val="24"/>
          <w:szCs w:val="24"/>
        </w:rPr>
        <w:t>Entrepr</w:t>
      </w:r>
      <w:r w:rsidR="00A44351">
        <w:rPr>
          <w:rFonts w:ascii="Times New Roman" w:hAnsi="Times New Roman" w:cs="Times New Roman"/>
          <w:b/>
          <w:sz w:val="24"/>
          <w:szCs w:val="24"/>
        </w:rPr>
        <w:t>en</w:t>
      </w:r>
      <w:r w:rsidRPr="00074041">
        <w:rPr>
          <w:rFonts w:ascii="Times New Roman" w:hAnsi="Times New Roman" w:cs="Times New Roman"/>
          <w:b/>
          <w:sz w:val="24"/>
          <w:szCs w:val="24"/>
        </w:rPr>
        <w:t>eurship Theory and Values-Based Theories of Nonprofit Existence</w:t>
      </w:r>
    </w:p>
    <w:p w14:paraId="0453661F" w14:textId="564B8874" w:rsidR="00EA1B19" w:rsidRPr="00074041" w:rsidRDefault="00EA1B19" w:rsidP="00EA1B19">
      <w:pPr>
        <w:spacing w:after="0" w:line="480" w:lineRule="auto"/>
        <w:ind w:firstLine="720"/>
        <w:rPr>
          <w:rFonts w:ascii="Times New Roman" w:hAnsi="Times New Roman" w:cs="Times New Roman"/>
          <w:bCs/>
          <w:sz w:val="24"/>
          <w:szCs w:val="24"/>
        </w:rPr>
      </w:pPr>
      <w:r w:rsidRPr="00074041">
        <w:rPr>
          <w:rFonts w:ascii="Times New Roman" w:hAnsi="Times New Roman" w:cs="Times New Roman"/>
          <w:bCs/>
          <w:sz w:val="24"/>
          <w:szCs w:val="24"/>
        </w:rPr>
        <w:t xml:space="preserve">In contrast to the demand-side emphasis of the three-failures approach, entrepreneurship theory “attempts to explain the existence of nonprofit organizations from a supply-side </w:t>
      </w:r>
      <w:r w:rsidRPr="00074041">
        <w:rPr>
          <w:rFonts w:ascii="Times New Roman" w:hAnsi="Times New Roman" w:cs="Times New Roman"/>
          <w:bCs/>
          <w:sz w:val="24"/>
          <w:szCs w:val="24"/>
        </w:rPr>
        <w:lastRenderedPageBreak/>
        <w:t>perspective” (Van Puyvelde and Brown, 2016). From this perspective, nonprofit organizations are arenas for experimentation and are founded by entrepreneurs seeking to maximize nonmonetary returns (Anheier et al., 2020). Social entrepreneurs are defined as “innovative, opportunity-oriented, resourceful, value-creating change agents” (Dees et al.</w:t>
      </w:r>
      <w:r w:rsidR="00553D85">
        <w:rPr>
          <w:rFonts w:ascii="Times New Roman" w:hAnsi="Times New Roman" w:cs="Times New Roman"/>
          <w:bCs/>
          <w:sz w:val="24"/>
          <w:szCs w:val="24"/>
        </w:rPr>
        <w:t>,</w:t>
      </w:r>
      <w:r w:rsidRPr="00074041">
        <w:rPr>
          <w:rFonts w:ascii="Times New Roman" w:hAnsi="Times New Roman" w:cs="Times New Roman"/>
          <w:bCs/>
          <w:sz w:val="24"/>
          <w:szCs w:val="24"/>
        </w:rPr>
        <w:t xml:space="preserve"> 2001, p. 4), who weigh their individual priorities for founding a new entity and the institutional benefits and costs of the nonprofit form (Steinberg, 2006). The primary factors social </w:t>
      </w:r>
      <w:r w:rsidR="00553D85" w:rsidRPr="00074041">
        <w:rPr>
          <w:rFonts w:ascii="Times New Roman" w:hAnsi="Times New Roman" w:cs="Times New Roman"/>
          <w:bCs/>
          <w:sz w:val="24"/>
          <w:szCs w:val="24"/>
        </w:rPr>
        <w:t>entrepreneurs</w:t>
      </w:r>
      <w:r w:rsidRPr="00074041">
        <w:rPr>
          <w:rFonts w:ascii="Times New Roman" w:hAnsi="Times New Roman" w:cs="Times New Roman"/>
          <w:bCs/>
          <w:sz w:val="24"/>
          <w:szCs w:val="24"/>
        </w:rPr>
        <w:t xml:space="preserve"> consider before starting their nonprofit include: the nature of the preference or consumption behavior they seek to modify in others, their own morals and values, potential funding support for the enterprise, their income and perks, and perceived trustworthiness (Steinberg, 2006; Witesman et al., 2019).</w:t>
      </w:r>
    </w:p>
    <w:p w14:paraId="0E815FFF" w14:textId="4C075A14" w:rsidR="00EA1B19" w:rsidRPr="00074041" w:rsidRDefault="00EA1B19" w:rsidP="00EA1B19">
      <w:pPr>
        <w:spacing w:after="0" w:line="480" w:lineRule="auto"/>
        <w:rPr>
          <w:rFonts w:ascii="Times New Roman" w:hAnsi="Times New Roman" w:cs="Times New Roman"/>
          <w:bCs/>
          <w:sz w:val="24"/>
          <w:szCs w:val="24"/>
        </w:rPr>
      </w:pPr>
      <w:r w:rsidRPr="00074041">
        <w:rPr>
          <w:rFonts w:ascii="Times New Roman" w:hAnsi="Times New Roman" w:cs="Times New Roman"/>
          <w:bCs/>
          <w:sz w:val="24"/>
          <w:szCs w:val="24"/>
        </w:rPr>
        <w:tab/>
        <w:t xml:space="preserve">Values-based theories of nonprofit existence suggest that nonprofits are formed for purely expressive purposes. Consistent with notions of pluralism, these nonprofits provide a vehicle for individuals to behave and act collectively in furtherance of certain goals (Carman </w:t>
      </w:r>
      <w:r w:rsidR="00553D85">
        <w:rPr>
          <w:rFonts w:ascii="Times New Roman" w:hAnsi="Times New Roman" w:cs="Times New Roman"/>
          <w:noProof/>
          <w:sz w:val="24"/>
          <w:szCs w:val="24"/>
        </w:rPr>
        <w:t xml:space="preserve">&amp; </w:t>
      </w:r>
      <w:r w:rsidRPr="00074041">
        <w:rPr>
          <w:rFonts w:ascii="Times New Roman" w:hAnsi="Times New Roman" w:cs="Times New Roman"/>
          <w:bCs/>
          <w:sz w:val="24"/>
          <w:szCs w:val="24"/>
        </w:rPr>
        <w:t xml:space="preserve">Nesbit, 2013). This class of nonprofit organizations include organizations that provide associational benefits and promote, protect, and actualize member values and preferences. These nonprofits are formed for various reasons and cut across the nonprofit landscape. Examples of these mutual benefit and advocacy organizations include: religious </w:t>
      </w:r>
      <w:r w:rsidR="00553D85" w:rsidRPr="00074041">
        <w:rPr>
          <w:rFonts w:ascii="Times New Roman" w:hAnsi="Times New Roman" w:cs="Times New Roman"/>
          <w:bCs/>
          <w:sz w:val="24"/>
          <w:szCs w:val="24"/>
        </w:rPr>
        <w:t>entities</w:t>
      </w:r>
      <w:r w:rsidRPr="00074041">
        <w:rPr>
          <w:rFonts w:ascii="Times New Roman" w:hAnsi="Times New Roman" w:cs="Times New Roman"/>
          <w:bCs/>
          <w:sz w:val="24"/>
          <w:szCs w:val="24"/>
        </w:rPr>
        <w:t xml:space="preserve">, service clubs, professional </w:t>
      </w:r>
      <w:r w:rsidR="00553D85" w:rsidRPr="00074041">
        <w:rPr>
          <w:rFonts w:ascii="Times New Roman" w:hAnsi="Times New Roman" w:cs="Times New Roman"/>
          <w:bCs/>
          <w:sz w:val="24"/>
          <w:szCs w:val="24"/>
        </w:rPr>
        <w:t>associations</w:t>
      </w:r>
      <w:r w:rsidRPr="00074041">
        <w:rPr>
          <w:rFonts w:ascii="Times New Roman" w:hAnsi="Times New Roman" w:cs="Times New Roman"/>
          <w:bCs/>
          <w:sz w:val="24"/>
          <w:szCs w:val="24"/>
        </w:rPr>
        <w:t>, labor unions, recreational leagues, and environmental protection firms. Nonprofits are deemed the appropriate organizational form by these groups for matters relating to transparency, trustworthiness, legitimacy, tax benefits, and other mission-specific purposes (Carman and Nesbit, 2013). With this theoretical basis established, we turn in the next section to the literature that informed our model and influenced the operationalization of our variables.</w:t>
      </w:r>
    </w:p>
    <w:p w14:paraId="144C7DF9" w14:textId="77777777" w:rsidR="00EA1B19" w:rsidRPr="00083D5F" w:rsidRDefault="00EA1B19" w:rsidP="00EA1B19">
      <w:pPr>
        <w:widowControl w:val="0"/>
        <w:spacing w:after="0" w:line="480" w:lineRule="auto"/>
        <w:rPr>
          <w:rFonts w:ascii="Times New Roman" w:hAnsi="Times New Roman" w:cs="Times New Roman"/>
          <w:b/>
          <w:sz w:val="24"/>
          <w:szCs w:val="24"/>
        </w:rPr>
      </w:pPr>
      <w:r w:rsidRPr="00074041">
        <w:rPr>
          <w:rFonts w:ascii="Times New Roman" w:hAnsi="Times New Roman" w:cs="Times New Roman"/>
          <w:b/>
          <w:sz w:val="24"/>
          <w:szCs w:val="24"/>
        </w:rPr>
        <w:t>Dependent Variable: Nonprofit Supp</w:t>
      </w:r>
      <w:r w:rsidRPr="00083D5F">
        <w:rPr>
          <w:rFonts w:ascii="Times New Roman" w:hAnsi="Times New Roman" w:cs="Times New Roman"/>
          <w:b/>
          <w:sz w:val="24"/>
          <w:szCs w:val="24"/>
        </w:rPr>
        <w:t>ly</w:t>
      </w:r>
    </w:p>
    <w:p w14:paraId="5589861C" w14:textId="47D98AF7" w:rsidR="00EA1B19" w:rsidRPr="00083D5F" w:rsidRDefault="00EA1B19" w:rsidP="00EA1B19">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Pennerstorfer and Rutherford</w:t>
      </w:r>
      <w:r w:rsidRPr="00083D5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0899764018819874","ISSN":"0899-7640","author":[{"dropping-particle":"","family":"Pennerstorfer","given":"Astrid","non-dropping-particle":"","parse-names":false,"suffix":""},{"dropping-particle":"","family":"Rutherford","given":"Alasdair C.","non-dropping-particle":"","parse-names":false,"suffix":""}],"container-title":"Nonprofit and Voluntary Sector Quarterly","id":"ITEM-1","issue":"2","issued":{"date-parts":[["2019","4","26"]]},"page":"440-456","title":"Measuring Growth of the Nonprofit Sector: The Choice of Indicator Matters","type":"article-journal","volume":"48"},"uris":["http://www.mendeley.com/documents/?uuid=00c7503e-206f-4662-aad4-ce62ec449419"]}],"mendeley":{"formattedCitation":"(Pennerstorfer and Rutherford 2019)","plainTextFormattedCitation":"(Pennerstorfer and Rutherford 2019)","previouslyFormattedCitation":"(Pennerstorfer and Rutherford 2019)"},"properties":{"noteIndex":0},"schema":"https://github.com/citation-style-language/schema/raw/master/csl-citation.json"}</w:instrText>
      </w:r>
      <w:r>
        <w:rPr>
          <w:rFonts w:ascii="Times New Roman" w:hAnsi="Times New Roman" w:cs="Times New Roman"/>
          <w:sz w:val="24"/>
          <w:szCs w:val="24"/>
        </w:rPr>
        <w:fldChar w:fldCharType="separate"/>
      </w:r>
      <w:r w:rsidRPr="00E2552E">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conduct</w:t>
      </w:r>
      <w:r w:rsidRPr="00083D5F">
        <w:rPr>
          <w:rFonts w:ascii="Times New Roman" w:hAnsi="Times New Roman" w:cs="Times New Roman"/>
          <w:sz w:val="24"/>
          <w:szCs w:val="24"/>
        </w:rPr>
        <w:t xml:space="preserve"> a systematic literature review of studies that </w:t>
      </w:r>
      <w:r w:rsidRPr="00083D5F">
        <w:rPr>
          <w:rFonts w:ascii="Times New Roman" w:hAnsi="Times New Roman" w:cs="Times New Roman"/>
          <w:sz w:val="24"/>
          <w:szCs w:val="24"/>
        </w:rPr>
        <w:lastRenderedPageBreak/>
        <w:t xml:space="preserve">capture nonprofit sector presence in a geographic area and identify the various measures employed by scholars. Despite the dual </w:t>
      </w:r>
      <w:r>
        <w:rPr>
          <w:rFonts w:ascii="Times New Roman" w:hAnsi="Times New Roman" w:cs="Times New Roman"/>
          <w:sz w:val="24"/>
          <w:szCs w:val="24"/>
        </w:rPr>
        <w:t>emphasis</w:t>
      </w:r>
      <w:r w:rsidRPr="00083D5F">
        <w:rPr>
          <w:rFonts w:ascii="Times New Roman" w:hAnsi="Times New Roman" w:cs="Times New Roman"/>
          <w:sz w:val="24"/>
          <w:szCs w:val="24"/>
        </w:rPr>
        <w:t xml:space="preserve"> in this literature on understanding if “we have enough or too many nonprofits in an area,” and whether “nonprofits are located where they are needed,” previous studies rely routinely on a simple count of nonprofit organizations</w:t>
      </w:r>
      <w:r>
        <w:rPr>
          <w:rFonts w:ascii="Times New Roman" w:hAnsi="Times New Roman" w:cs="Times New Roman"/>
          <w:sz w:val="24"/>
          <w:szCs w:val="24"/>
        </w:rPr>
        <w:t xml:space="preserve"> in a geographic area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{"citationItems":[{"id":"ITEM-1","itemData":{"DOI":"10.1016/j.ssresearch.2018.01.001","ISSN":"0049089X","author":[{"dropping-particle":"","family":"Wo","given":"James C.","non-dropping-particle":"","parse-names":false,"suffix":""}],"container-title":"Social Science Research","id":"ITEM-1","issued":{"date-parts":[["2018","3"]]},"page":"56-71","title":"Understanding the density of nonprofit organizations across Los Angeles neighborhoods: Does concentrated disadvantage and violent crime matter?","type":"article-journal","volume":"71"},"uris":["http://www.mendeley.com/documents/?uuid=0f3c5ef8-de1d-4ac7-b337-e1cde3a50312"]},{"id":"ITEM-2","itemData":{"author":[{"dropping-particle":"","family":"Kleinbaum","given":"David G","non-dropping-particle":"","parse-names":false,"suffix":""},{"dropping-particle":"","family":"Klein","given":"Mitchel","non-dropping-particle":"","parse-names":false,"suffix":""}],"container-title":"Survival Analysis: A Self-Learning Text","edition":"3rd","editor":[{"dropping-particle":"","family":"Gail","given":"M","non-dropping-particle":"","parse-names":false,"suffix":""},{"dropping-particle":"","family":"Krickeberg","given":"K","non-dropping-particle":"","parse-names":false,"suffix":""},{"dropping-particle":"","family":"Samet","given":"J M","non-dropping-particle":"","parse-names":false,"suffix":""},{"dropping-particle":"","family":"Tsiatis","given":"A","non-dropping-particle":"","parse-names":false,"suffix":""},{"dropping-particle":"","family":"Wong","given":"W","non-dropping-particle":"","parse-names":false,"suffix":""}],"id":"ITEM-2","issued":{"date-parts":[["2012"]]},"publisher":"Springer","publisher-place":"New York, NY","title":"Evaluating the Proportional Hazards Assumption","type":"chapter"},"uris":["http://www.mendeley.com/documents/?uuid=d0ca9247-b148-4e53-9c1e-caff15149c9b"]},{"id":"ITEM-3","itemData":{"DOI":"10.1007/s11266-015-9656-1","ISSN":"0957-8765","author":[{"dropping-particle":"","family":"Puyvelde","given":"Stijn","non-dropping-particle":"Van","parse-names":false,"suffix":""},{"dropping-particle":"","family":"Brown","given":"William A.","non-dropping-particle":"","parse-names":false,"suffix":""}],"container-title":"VOLUNTAS: International Journal of Voluntary and Nonprofit Organizations","id":"ITEM-3","issue":"3","issued":{"date-parts":[["2016","6","11"]]},"page":"1045-1063","title":"Determinants of Nonprofit Sector Density: A Stakeholder Approach","type":"article-journal","volume":"27"},"uris":["http://www.mendeley.com/documents/?uuid=45e05a1e-12f9-4df0-a7a1-fb4deb8f03b1"]},{"id":"ITEM-4","itemData":{"DOI":"10.1177/0899764016661032","ISSN":"0899-7640","author":[{"dropping-particle":"","family":"Polson","given":"Edward C.","non-dropping-particle":"","parse-names":false,"suffix":""}],"container-title":"Nonprofit and Voluntary Sector Quarterly","id":"ITEM-4","issue":"1","issued":{"date-parts":[["2017","2","27"]]},"page":"156-174","title":"Religious Environments and the Distribution of Anti-Poverty Nonprofit Organizations","type":"article-journal","volume":"46"},"uris":["http://www.mendeley.com/documents/?uuid=a2752bbe-fceb-4055-84d3-2bb58f137d94"]},{"id":"ITEM-5","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Statistician","id":"ITEM-5","issue":"4","issued":{"date-parts":[["2014","10","2"]]},"page":"243-252","title":"Are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Region","type":"article-journal","volume":"68"},"uris":["http://www.mendeley.com/documents/?uuid=0244e13a-fcc4-445a-9d78-620ee6072abf"]}],"mendeley":{"formattedCitation":"(Kleinbaum and Klein 2012; Polson 2017; Van Puyvelde and Brown 2016; Wo 2018; Yan et al. 2014)","plainTextFormattedCitation":"(Kleinbaum and Klein 2012; Polson 2017; Van Puyvelde and Brown 2016; Wo 2018; Yan et al. 2014)","previouslyFormattedCitation":"(Kleinbaum and Klein 2012; Polson 2017; Van Puyvelde and Brown 2016; Wo 2018; Yan et al. 2014)"},"properties":{"noteIndex":0},"schema":"https://github.com/citation-style-language/schema/raw/master/csl-citation.json"}</w:instrText>
      </w:r>
      <w:r>
        <w:rPr>
          <w:rFonts w:ascii="Times New Roman" w:hAnsi="Times New Roman" w:cs="Times New Roman"/>
          <w:sz w:val="24"/>
          <w:szCs w:val="24"/>
        </w:rPr>
        <w:fldChar w:fldCharType="separate"/>
      </w:r>
      <w:r w:rsidRPr="00E2552E">
        <w:rPr>
          <w:rFonts w:ascii="Times New Roman" w:hAnsi="Times New Roman" w:cs="Times New Roman"/>
          <w:noProof/>
          <w:sz w:val="24"/>
          <w:szCs w:val="24"/>
        </w:rPr>
        <w:t xml:space="preserve">(Kleinbaum </w:t>
      </w:r>
      <w:r w:rsidR="00553D85">
        <w:rPr>
          <w:rFonts w:ascii="Times New Roman" w:hAnsi="Times New Roman" w:cs="Times New Roman"/>
          <w:noProof/>
          <w:sz w:val="24"/>
          <w:szCs w:val="24"/>
        </w:rPr>
        <w:t>&amp;</w:t>
      </w:r>
      <w:r w:rsidRPr="00E2552E">
        <w:rPr>
          <w:rFonts w:ascii="Times New Roman" w:hAnsi="Times New Roman" w:cs="Times New Roman"/>
          <w:noProof/>
          <w:sz w:val="24"/>
          <w:szCs w:val="24"/>
        </w:rPr>
        <w:t xml:space="preserve"> Klein</w:t>
      </w:r>
      <w:r w:rsidR="00553D85">
        <w:rPr>
          <w:rFonts w:ascii="Times New Roman" w:hAnsi="Times New Roman" w:cs="Times New Roman"/>
          <w:noProof/>
          <w:sz w:val="24"/>
          <w:szCs w:val="24"/>
        </w:rPr>
        <w:t>,</w:t>
      </w:r>
      <w:r w:rsidRPr="00E2552E">
        <w:rPr>
          <w:rFonts w:ascii="Times New Roman" w:hAnsi="Times New Roman" w:cs="Times New Roman"/>
          <w:noProof/>
          <w:sz w:val="24"/>
          <w:szCs w:val="24"/>
        </w:rPr>
        <w:t xml:space="preserve"> 2012; Polson</w:t>
      </w:r>
      <w:r w:rsidR="00553D85">
        <w:rPr>
          <w:rFonts w:ascii="Times New Roman" w:hAnsi="Times New Roman" w:cs="Times New Roman"/>
          <w:noProof/>
          <w:sz w:val="24"/>
          <w:szCs w:val="24"/>
        </w:rPr>
        <w:t>,</w:t>
      </w:r>
      <w:r w:rsidRPr="00E2552E">
        <w:rPr>
          <w:rFonts w:ascii="Times New Roman" w:hAnsi="Times New Roman" w:cs="Times New Roman"/>
          <w:noProof/>
          <w:sz w:val="24"/>
          <w:szCs w:val="24"/>
        </w:rPr>
        <w:t xml:space="preserve"> 2017; Van Puyvelde </w:t>
      </w:r>
      <w:r w:rsidR="00553D85">
        <w:rPr>
          <w:rFonts w:ascii="Times New Roman" w:hAnsi="Times New Roman" w:cs="Times New Roman"/>
          <w:noProof/>
          <w:sz w:val="24"/>
          <w:szCs w:val="24"/>
        </w:rPr>
        <w:t>&amp;</w:t>
      </w:r>
      <w:r w:rsidRPr="00E2552E">
        <w:rPr>
          <w:rFonts w:ascii="Times New Roman" w:hAnsi="Times New Roman" w:cs="Times New Roman"/>
          <w:noProof/>
          <w:sz w:val="24"/>
          <w:szCs w:val="24"/>
        </w:rPr>
        <w:t xml:space="preserve"> Brown</w:t>
      </w:r>
      <w:r w:rsidR="00553D85">
        <w:rPr>
          <w:rFonts w:ascii="Times New Roman" w:hAnsi="Times New Roman" w:cs="Times New Roman"/>
          <w:noProof/>
          <w:sz w:val="24"/>
          <w:szCs w:val="24"/>
        </w:rPr>
        <w:t>,</w:t>
      </w:r>
      <w:r w:rsidRPr="00E2552E">
        <w:rPr>
          <w:rFonts w:ascii="Times New Roman" w:hAnsi="Times New Roman" w:cs="Times New Roman"/>
          <w:noProof/>
          <w:sz w:val="24"/>
          <w:szCs w:val="24"/>
        </w:rPr>
        <w:t xml:space="preserve"> 2016; Wo</w:t>
      </w:r>
      <w:r w:rsidR="00553D85">
        <w:rPr>
          <w:rFonts w:ascii="Times New Roman" w:hAnsi="Times New Roman" w:cs="Times New Roman"/>
          <w:noProof/>
          <w:sz w:val="24"/>
          <w:szCs w:val="24"/>
        </w:rPr>
        <w:t>,</w:t>
      </w:r>
      <w:r w:rsidRPr="00E2552E">
        <w:rPr>
          <w:rFonts w:ascii="Times New Roman" w:hAnsi="Times New Roman" w:cs="Times New Roman"/>
          <w:noProof/>
          <w:sz w:val="24"/>
          <w:szCs w:val="24"/>
        </w:rPr>
        <w:t xml:space="preserve"> 2018; Yan et al.</w:t>
      </w:r>
      <w:r w:rsidR="00553D85">
        <w:rPr>
          <w:rFonts w:ascii="Times New Roman" w:hAnsi="Times New Roman" w:cs="Times New Roman"/>
          <w:noProof/>
          <w:sz w:val="24"/>
          <w:szCs w:val="24"/>
        </w:rPr>
        <w:t>,</w:t>
      </w:r>
      <w:r w:rsidRPr="00E2552E">
        <w:rPr>
          <w:rFonts w:ascii="Times New Roman" w:hAnsi="Times New Roman" w:cs="Times New Roman"/>
          <w:noProof/>
          <w:sz w:val="24"/>
          <w:szCs w:val="24"/>
        </w:rPr>
        <w:t xml:space="preserve"> 2014)</w:t>
      </w:r>
      <w:r>
        <w:rPr>
          <w:rFonts w:ascii="Times New Roman" w:hAnsi="Times New Roman" w:cs="Times New Roman"/>
          <w:sz w:val="24"/>
          <w:szCs w:val="24"/>
        </w:rPr>
        <w:fldChar w:fldCharType="end"/>
      </w:r>
      <w:r w:rsidRPr="00083D5F">
        <w:rPr>
          <w:rFonts w:ascii="Times New Roman" w:hAnsi="Times New Roman" w:cs="Times New Roman"/>
          <w:sz w:val="24"/>
          <w:szCs w:val="24"/>
        </w:rPr>
        <w:t xml:space="preserve">. The problem with </w:t>
      </w:r>
      <w:r>
        <w:rPr>
          <w:rFonts w:ascii="Times New Roman" w:hAnsi="Times New Roman" w:cs="Times New Roman"/>
          <w:sz w:val="24"/>
          <w:szCs w:val="24"/>
        </w:rPr>
        <w:t>relying</w:t>
      </w:r>
      <w:r w:rsidRPr="00083D5F">
        <w:rPr>
          <w:rFonts w:ascii="Times New Roman" w:hAnsi="Times New Roman" w:cs="Times New Roman"/>
          <w:sz w:val="24"/>
          <w:szCs w:val="24"/>
        </w:rPr>
        <w:t xml:space="preserve"> on counts </w:t>
      </w:r>
      <w:r>
        <w:rPr>
          <w:rFonts w:ascii="Times New Roman" w:hAnsi="Times New Roman" w:cs="Times New Roman"/>
          <w:sz w:val="24"/>
          <w:szCs w:val="24"/>
        </w:rPr>
        <w:t xml:space="preserve">– i.e., the number of nonprofits in an area – </w:t>
      </w:r>
      <w:r w:rsidRPr="00083D5F">
        <w:rPr>
          <w:rFonts w:ascii="Times New Roman" w:hAnsi="Times New Roman" w:cs="Times New Roman"/>
          <w:sz w:val="24"/>
          <w:szCs w:val="24"/>
        </w:rPr>
        <w:t xml:space="preserve">is the great variety in the size of the nonprofits counted and the scope of their activities. For example, </w:t>
      </w:r>
      <w:r>
        <w:rPr>
          <w:rFonts w:ascii="Times New Roman" w:hAnsi="Times New Roman" w:cs="Times New Roman"/>
          <w:sz w:val="24"/>
          <w:szCs w:val="24"/>
        </w:rPr>
        <w:t>the</w:t>
      </w:r>
      <w:r w:rsidRPr="00083D5F">
        <w:rPr>
          <w:rFonts w:ascii="Times New Roman" w:hAnsi="Times New Roman" w:cs="Times New Roman"/>
          <w:sz w:val="24"/>
          <w:szCs w:val="24"/>
        </w:rPr>
        <w:t xml:space="preserve"> county </w:t>
      </w:r>
      <w:r>
        <w:rPr>
          <w:rFonts w:ascii="Times New Roman" w:hAnsi="Times New Roman" w:cs="Times New Roman"/>
          <w:sz w:val="24"/>
          <w:szCs w:val="24"/>
        </w:rPr>
        <w:t>where our university is located</w:t>
      </w:r>
      <w:r w:rsidRPr="00083D5F">
        <w:rPr>
          <w:rFonts w:ascii="Times New Roman" w:hAnsi="Times New Roman" w:cs="Times New Roman"/>
          <w:sz w:val="24"/>
          <w:szCs w:val="24"/>
        </w:rPr>
        <w:t xml:space="preserve"> is home </w:t>
      </w:r>
      <w:r>
        <w:rPr>
          <w:rFonts w:ascii="Times New Roman" w:hAnsi="Times New Roman" w:cs="Times New Roman"/>
          <w:sz w:val="24"/>
          <w:szCs w:val="24"/>
        </w:rPr>
        <w:t>to</w:t>
      </w:r>
      <w:r w:rsidRPr="00083D5F">
        <w:rPr>
          <w:rFonts w:ascii="Times New Roman" w:hAnsi="Times New Roman" w:cs="Times New Roman"/>
          <w:sz w:val="24"/>
          <w:szCs w:val="24"/>
        </w:rPr>
        <w:t xml:space="preserve"> 1,180 tax-exempt nonprofits, but only 364 of those organizations earned more than $25,000 in revenue and held at least $25,000 in assets in the most recent tax year. Considerably fewer of these nonprofits – 113 out of 1,180 – exceeded $500,000 in income and assets</w:t>
      </w:r>
      <w:r>
        <w:rPr>
          <w:rFonts w:ascii="Times New Roman" w:hAnsi="Times New Roman" w:cs="Times New Roman"/>
          <w:sz w:val="24"/>
          <w:szCs w:val="24"/>
        </w:rPr>
        <w:t xml:space="preserve"> (a relatively moderate cutoff for capturing organizational scale)</w:t>
      </w:r>
      <w:r w:rsidRPr="00083D5F">
        <w:rPr>
          <w:rFonts w:ascii="Times New Roman" w:hAnsi="Times New Roman" w:cs="Times New Roman"/>
          <w:sz w:val="24"/>
          <w:szCs w:val="24"/>
        </w:rPr>
        <w:t>. Treating observations within th</w:t>
      </w:r>
      <w:r>
        <w:rPr>
          <w:rFonts w:ascii="Times New Roman" w:hAnsi="Times New Roman" w:cs="Times New Roman"/>
          <w:sz w:val="24"/>
          <w:szCs w:val="24"/>
        </w:rPr>
        <w:t>ese</w:t>
      </w:r>
      <w:r w:rsidRPr="00083D5F">
        <w:rPr>
          <w:rFonts w:ascii="Times New Roman" w:hAnsi="Times New Roman" w:cs="Times New Roman"/>
          <w:sz w:val="24"/>
          <w:szCs w:val="24"/>
        </w:rPr>
        <w:t xml:space="preserve"> disparate group</w:t>
      </w:r>
      <w:r>
        <w:rPr>
          <w:rFonts w:ascii="Times New Roman" w:hAnsi="Times New Roman" w:cs="Times New Roman"/>
          <w:sz w:val="24"/>
          <w:szCs w:val="24"/>
        </w:rPr>
        <w:t>s</w:t>
      </w:r>
      <w:r w:rsidRPr="00083D5F">
        <w:rPr>
          <w:rFonts w:ascii="Times New Roman" w:hAnsi="Times New Roman" w:cs="Times New Roman"/>
          <w:sz w:val="24"/>
          <w:szCs w:val="24"/>
        </w:rPr>
        <w:t xml:space="preserve"> as co-equal does not account for the varied output they produce. The same problem presents in studies where the preferred measure for nonprofit presence is density (i.e., count of nonprofits divided by population). </w:t>
      </w:r>
      <w:r>
        <w:rPr>
          <w:rFonts w:ascii="Times New Roman" w:hAnsi="Times New Roman" w:cs="Times New Roman"/>
          <w:sz w:val="24"/>
          <w:szCs w:val="24"/>
        </w:rPr>
        <w:t>By relying on density as the preferred metric for capturing nonprofit presence, t</w:t>
      </w:r>
      <w:r w:rsidRPr="00083D5F">
        <w:rPr>
          <w:rFonts w:ascii="Times New Roman" w:hAnsi="Times New Roman" w:cs="Times New Roman"/>
          <w:sz w:val="24"/>
          <w:szCs w:val="24"/>
        </w:rPr>
        <w:t xml:space="preserve">hese studies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{"citationItems":[{"id":"ITEM-1","itemData":{"DOI":"10.1080/23303131.2015.1117554","ISSN":"2330-3131","author":[{"dropping-particle":"","family":"Prentice","given":"Christopher R.","non-dropping-particle":"","parse-names":false,"suffix":""},{"dropping-particle":"","family":"Brudney","given":"Jeffrey L.","non-dropping-particle":"","parse-names":false,"suffix":""}],"container-title":"Human Service Organizations: Management, Leadership &amp; Governance","id":"ITEM-1","issue":"3","issued":{"date-parts":[["2016","5","26"]]},"page":"193-207","title":"Definitions Do Make a Difference: County Managers and Their Conceptions of Collaboration","type":"article-journal","volume":"40"},"uris":["http://www.mendeley.com/documents/?uuid=aeb39a3e-2369-42eb-bc37-58f875df6b26"]},{"id":"ITEM-2","itemData":{"author":[{"dropping-particle":"","family":"Hayes","given":"C","non-dropping-particle":"","parse-names":false,"suffix":""},{"dropping-particle":"","family":"Kingsley","given":"T.G.","non-dropping-particle":"","parse-names":false,"suffix":""},{"dropping-particle":"","family":"Blackwood","given":"A.","non-dropping-particle":"","parse-names":false,"suffix":""},{"dropping-particle":"","family":"Pollak","given":"T.","non-dropping-particle":"","parse-names":false,"suffix":""}],"id":"ITEM-2","issue":"August","issued":{"date-parts":[["2015"]]},"title":"Community-Oriented Nonprofits and Neighborhood Poverty: Spatial Patterns","type":"report"},"uris":["http://www.mendeley.com/documents/?uuid=85daa9a3-e0a6-484e-8e81-13cdaffa8df2"]},{"id":"ITEM-3","itemData":{"DOI":"10.1093/ppmgov/gvz002","ISSN":"2398-4910","author":[{"dropping-particle":"","family":"Paarlberg","given":"Laurie E","non-dropping-particle":"","parse-names":false,"suffix":""},{"dropping-particle":"","family":"Zuhlke","given":"Samantha","non-dropping-particle":"","parse-names":false,"suffix":""}],"container-title":"Perspectives on Public Management and Governance","id":"ITEM-3","issue":"2","issued":{"date-parts":[["2019","5","25"]]},"page":"103-124","title":"Revisiting the Theory of Government Failure in the Face of Heterogeneous Demands","type":"article-journal","volume":"2"},"uris":["http://www.mendeley.com/documents/?uuid=3f0d77c7-be68-4f0b-8763-bf2886f2ea98"]}],"mendeley":{"formattedCitation":"(Hayes et al. 2015; Paarlberg and Zuhlke 2019; Prentice and Brudney 2016)","plainTextFormattedCitation":"(Hayes et al. 2015; Paarlberg and Zuhlke 2019; Prentice and Brudney 2016)","previouslyFormattedCitation":"(Hayes et al. 2015; Paarlberg and Zuhlke 2019; Prentice and Brudney 2016)"},"properties":{"noteIndex":0},"schema":"https://github.com/citation-style-language/schema/raw/master/csl-citation.json"}</w:instrText>
      </w:r>
      <w:r>
        <w:rPr>
          <w:rFonts w:ascii="Times New Roman" w:hAnsi="Times New Roman" w:cs="Times New Roman"/>
          <w:sz w:val="24"/>
          <w:szCs w:val="24"/>
        </w:rPr>
        <w:fldChar w:fldCharType="separate"/>
      </w:r>
      <w:r w:rsidRPr="00A079F7">
        <w:rPr>
          <w:rFonts w:ascii="Times New Roman" w:hAnsi="Times New Roman" w:cs="Times New Roman"/>
          <w:noProof/>
          <w:sz w:val="24"/>
          <w:szCs w:val="24"/>
        </w:rPr>
        <w:t>(</w:t>
      </w:r>
      <w:r w:rsidRPr="003D1B06">
        <w:rPr>
          <w:rFonts w:ascii="Times New Roman" w:hAnsi="Times New Roman" w:cs="Times New Roman"/>
          <w:noProof/>
          <w:color w:val="000000" w:themeColor="text1"/>
          <w:sz w:val="24"/>
          <w:szCs w:val="24"/>
        </w:rPr>
        <w:t>Brennan</w:t>
      </w:r>
      <w:r w:rsidR="00F72331">
        <w:rPr>
          <w:rFonts w:ascii="Times New Roman" w:hAnsi="Times New Roman" w:cs="Times New Roman"/>
          <w:noProof/>
          <w:color w:val="000000" w:themeColor="text1"/>
          <w:sz w:val="24"/>
          <w:szCs w:val="24"/>
        </w:rPr>
        <w:t xml:space="preserve"> et al.</w:t>
      </w:r>
      <w:r w:rsidRPr="003D1B06">
        <w:rPr>
          <w:rFonts w:ascii="Times New Roman" w:hAnsi="Times New Roman" w:cs="Times New Roman"/>
          <w:noProof/>
          <w:color w:val="000000" w:themeColor="text1"/>
          <w:sz w:val="24"/>
          <w:szCs w:val="24"/>
        </w:rPr>
        <w:t>, 2014</w:t>
      </w:r>
      <w:r>
        <w:rPr>
          <w:rFonts w:ascii="Times New Roman" w:hAnsi="Times New Roman" w:cs="Times New Roman"/>
          <w:noProof/>
          <w:sz w:val="24"/>
          <w:szCs w:val="24"/>
        </w:rPr>
        <w:t xml:space="preserve">; </w:t>
      </w:r>
      <w:r w:rsidRPr="00A079F7">
        <w:rPr>
          <w:rFonts w:ascii="Times New Roman" w:hAnsi="Times New Roman" w:cs="Times New Roman"/>
          <w:noProof/>
          <w:sz w:val="24"/>
          <w:szCs w:val="24"/>
        </w:rPr>
        <w:t>Hayes et al.</w:t>
      </w:r>
      <w:r w:rsidR="00553D85">
        <w:rPr>
          <w:rFonts w:ascii="Times New Roman" w:hAnsi="Times New Roman" w:cs="Times New Roman"/>
          <w:noProof/>
          <w:sz w:val="24"/>
          <w:szCs w:val="24"/>
        </w:rPr>
        <w:t>,</w:t>
      </w:r>
      <w:r w:rsidRPr="00A079F7">
        <w:rPr>
          <w:rFonts w:ascii="Times New Roman" w:hAnsi="Times New Roman" w:cs="Times New Roman"/>
          <w:noProof/>
          <w:sz w:val="24"/>
          <w:szCs w:val="24"/>
        </w:rPr>
        <w:t xml:space="preserve"> 2015; Paarlberg </w:t>
      </w:r>
      <w:r w:rsidR="00553D85">
        <w:rPr>
          <w:rFonts w:ascii="Times New Roman" w:hAnsi="Times New Roman" w:cs="Times New Roman"/>
          <w:noProof/>
          <w:sz w:val="24"/>
          <w:szCs w:val="24"/>
        </w:rPr>
        <w:t>&amp;</w:t>
      </w:r>
      <w:r w:rsidRPr="00A079F7">
        <w:rPr>
          <w:rFonts w:ascii="Times New Roman" w:hAnsi="Times New Roman" w:cs="Times New Roman"/>
          <w:noProof/>
          <w:sz w:val="24"/>
          <w:szCs w:val="24"/>
        </w:rPr>
        <w:t xml:space="preserve"> Zuhlke</w:t>
      </w:r>
      <w:r w:rsidR="00553D85">
        <w:rPr>
          <w:rFonts w:ascii="Times New Roman" w:hAnsi="Times New Roman" w:cs="Times New Roman"/>
          <w:noProof/>
          <w:sz w:val="24"/>
          <w:szCs w:val="24"/>
        </w:rPr>
        <w:t>,</w:t>
      </w:r>
      <w:r w:rsidRPr="00A079F7">
        <w:rPr>
          <w:rFonts w:ascii="Times New Roman" w:hAnsi="Times New Roman" w:cs="Times New Roman"/>
          <w:noProof/>
          <w:sz w:val="24"/>
          <w:szCs w:val="24"/>
        </w:rPr>
        <w:t xml:space="preserve"> 2019; Prentice </w:t>
      </w:r>
      <w:r w:rsidR="00553D85">
        <w:rPr>
          <w:rFonts w:ascii="Times New Roman" w:hAnsi="Times New Roman" w:cs="Times New Roman"/>
          <w:noProof/>
          <w:sz w:val="24"/>
          <w:szCs w:val="24"/>
        </w:rPr>
        <w:t>&amp;</w:t>
      </w:r>
      <w:r w:rsidRPr="00A079F7">
        <w:rPr>
          <w:rFonts w:ascii="Times New Roman" w:hAnsi="Times New Roman" w:cs="Times New Roman"/>
          <w:noProof/>
          <w:sz w:val="24"/>
          <w:szCs w:val="24"/>
        </w:rPr>
        <w:t xml:space="preserve"> Brudney 2016</w:t>
      </w:r>
      <w:r>
        <w:rPr>
          <w:rFonts w:ascii="Times New Roman" w:hAnsi="Times New Roman" w:cs="Times New Roman"/>
          <w:noProof/>
          <w:sz w:val="24"/>
          <w:szCs w:val="24"/>
        </w:rPr>
        <w:t>b</w:t>
      </w:r>
      <w:r w:rsidRPr="00A079F7">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fail to account for</w:t>
      </w:r>
      <w:r w:rsidRPr="00083D5F">
        <w:rPr>
          <w:rFonts w:ascii="Times New Roman" w:hAnsi="Times New Roman" w:cs="Times New Roman"/>
          <w:sz w:val="24"/>
          <w:szCs w:val="24"/>
        </w:rPr>
        <w:t xml:space="preserve"> varian</w:t>
      </w:r>
      <w:r>
        <w:rPr>
          <w:rFonts w:ascii="Times New Roman" w:hAnsi="Times New Roman" w:cs="Times New Roman"/>
          <w:sz w:val="24"/>
          <w:szCs w:val="24"/>
        </w:rPr>
        <w:t>ce</w:t>
      </w:r>
      <w:r w:rsidRPr="00083D5F">
        <w:rPr>
          <w:rFonts w:ascii="Times New Roman" w:hAnsi="Times New Roman" w:cs="Times New Roman"/>
          <w:sz w:val="24"/>
          <w:szCs w:val="24"/>
        </w:rPr>
        <w:t xml:space="preserve"> </w:t>
      </w:r>
      <w:r>
        <w:rPr>
          <w:rFonts w:ascii="Times New Roman" w:hAnsi="Times New Roman" w:cs="Times New Roman"/>
          <w:sz w:val="24"/>
          <w:szCs w:val="24"/>
        </w:rPr>
        <w:t>in the</w:t>
      </w:r>
      <w:r w:rsidRPr="00083D5F">
        <w:rPr>
          <w:rFonts w:ascii="Times New Roman" w:hAnsi="Times New Roman" w:cs="Times New Roman"/>
          <w:sz w:val="24"/>
          <w:szCs w:val="24"/>
        </w:rPr>
        <w:t xml:space="preserve"> size and scope</w:t>
      </w:r>
      <w:r>
        <w:rPr>
          <w:rFonts w:ascii="Times New Roman" w:hAnsi="Times New Roman" w:cs="Times New Roman"/>
          <w:sz w:val="24"/>
          <w:szCs w:val="24"/>
        </w:rPr>
        <w:t xml:space="preserve"> of the nonprofits under examination</w:t>
      </w:r>
      <w:r w:rsidRPr="00083D5F">
        <w:rPr>
          <w:rFonts w:ascii="Times New Roman" w:hAnsi="Times New Roman" w:cs="Times New Roman"/>
          <w:sz w:val="24"/>
          <w:szCs w:val="24"/>
        </w:rPr>
        <w:t>.</w:t>
      </w:r>
    </w:p>
    <w:p w14:paraId="17EAB30C" w14:textId="6B0D7EA7" w:rsidR="00EA1B19" w:rsidRPr="00083D5F"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Pennerstorfer and Rutherford </w:t>
      </w:r>
      <w:r w:rsidR="00705FC9">
        <w:rPr>
          <w:rFonts w:ascii="Times New Roman" w:hAnsi="Times New Roman" w:cs="Times New Roman"/>
          <w:sz w:val="24"/>
          <w:szCs w:val="24"/>
        </w:rPr>
        <w:t xml:space="preserve">(2019) </w:t>
      </w:r>
      <w:r>
        <w:rPr>
          <w:rFonts w:ascii="Times New Roman" w:hAnsi="Times New Roman" w:cs="Times New Roman"/>
          <w:sz w:val="24"/>
          <w:szCs w:val="24"/>
        </w:rPr>
        <w:t>contend</w:t>
      </w:r>
      <w:r w:rsidRPr="00083D5F">
        <w:rPr>
          <w:rFonts w:ascii="Times New Roman" w:hAnsi="Times New Roman" w:cs="Times New Roman"/>
          <w:sz w:val="24"/>
          <w:szCs w:val="24"/>
        </w:rPr>
        <w:t xml:space="preserve"> that nonprofit output is a superior measure for some studie</w:t>
      </w:r>
      <w:r w:rsidR="00705FC9">
        <w:rPr>
          <w:rFonts w:ascii="Times New Roman" w:hAnsi="Times New Roman" w:cs="Times New Roman"/>
          <w:sz w:val="24"/>
          <w:szCs w:val="24"/>
        </w:rPr>
        <w:t>s</w:t>
      </w:r>
      <w:r w:rsidRPr="00083D5F">
        <w:rPr>
          <w:rFonts w:ascii="Times New Roman" w:hAnsi="Times New Roman" w:cs="Times New Roman"/>
          <w:sz w:val="24"/>
          <w:szCs w:val="24"/>
        </w:rPr>
        <w:t>. We concur and accordingly measure nonprofit supply by capturing expense information from public charities in North Carolina</w:t>
      </w:r>
      <w:r>
        <w:rPr>
          <w:rFonts w:ascii="Times New Roman" w:hAnsi="Times New Roman" w:cs="Times New Roman"/>
          <w:sz w:val="24"/>
          <w:szCs w:val="24"/>
        </w:rPr>
        <w:t xml:space="preserve"> </w:t>
      </w:r>
      <w:r w:rsidRPr="00083D5F">
        <w:rPr>
          <w:rFonts w:ascii="Times New Roman" w:hAnsi="Times New Roman" w:cs="Times New Roman"/>
          <w:sz w:val="24"/>
          <w:szCs w:val="24"/>
        </w:rPr>
        <w:t>in this analysis. Expenses are a representative measure of the economic and programmatic product of nonprofit operations and, hence, are most appropriate for our inquiry.</w:t>
      </w:r>
      <w:r>
        <w:rPr>
          <w:rFonts w:ascii="Times New Roman" w:hAnsi="Times New Roman" w:cs="Times New Roman"/>
          <w:sz w:val="24"/>
          <w:szCs w:val="24"/>
        </w:rPr>
        <w:t xml:space="preserve"> We limit our analysis to p</w:t>
      </w:r>
      <w:r w:rsidRPr="00083D5F">
        <w:rPr>
          <w:rFonts w:ascii="Times New Roman" w:hAnsi="Times New Roman" w:cs="Times New Roman"/>
          <w:sz w:val="24"/>
          <w:szCs w:val="24"/>
        </w:rPr>
        <w:t>ublic charities</w:t>
      </w:r>
      <w:r>
        <w:rPr>
          <w:rFonts w:ascii="Times New Roman" w:hAnsi="Times New Roman" w:cs="Times New Roman"/>
          <w:sz w:val="24"/>
          <w:szCs w:val="24"/>
        </w:rPr>
        <w:t xml:space="preserve"> –</w:t>
      </w:r>
      <w:r w:rsidRPr="00083D5F">
        <w:rPr>
          <w:rFonts w:ascii="Times New Roman" w:hAnsi="Times New Roman" w:cs="Times New Roman"/>
          <w:sz w:val="24"/>
          <w:szCs w:val="24"/>
        </w:rPr>
        <w:t xml:space="preserve"> i.e., </w:t>
      </w:r>
      <w:r w:rsidRPr="00083D5F">
        <w:rPr>
          <w:rFonts w:ascii="Times New Roman" w:hAnsi="Times New Roman" w:cs="Times New Roman"/>
          <w:sz w:val="24"/>
          <w:szCs w:val="24"/>
        </w:rPr>
        <w:lastRenderedPageBreak/>
        <w:t>501(c)(3) organizations</w:t>
      </w:r>
      <w:r>
        <w:rPr>
          <w:rFonts w:ascii="Times New Roman" w:hAnsi="Times New Roman" w:cs="Times New Roman"/>
          <w:sz w:val="24"/>
          <w:szCs w:val="24"/>
        </w:rPr>
        <w:t>,</w:t>
      </w:r>
      <w:r w:rsidRPr="00083D5F">
        <w:rPr>
          <w:rFonts w:ascii="Times New Roman" w:hAnsi="Times New Roman" w:cs="Times New Roman"/>
          <w:sz w:val="24"/>
          <w:szCs w:val="24"/>
        </w:rPr>
        <w:t xml:space="preserve"> excluding private foundations</w:t>
      </w:r>
      <w:r>
        <w:rPr>
          <w:rFonts w:ascii="Times New Roman" w:hAnsi="Times New Roman" w:cs="Times New Roman"/>
          <w:sz w:val="24"/>
          <w:szCs w:val="24"/>
        </w:rPr>
        <w:t>. Public charities</w:t>
      </w:r>
      <w:r w:rsidRPr="00083D5F">
        <w:rPr>
          <w:rFonts w:ascii="Times New Roman" w:hAnsi="Times New Roman" w:cs="Times New Roman"/>
          <w:sz w:val="24"/>
          <w:szCs w:val="24"/>
        </w:rPr>
        <w:t xml:space="preserve"> constitute </w:t>
      </w:r>
      <w:r>
        <w:rPr>
          <w:rFonts w:ascii="Times New Roman" w:hAnsi="Times New Roman" w:cs="Times New Roman"/>
          <w:sz w:val="24"/>
          <w:szCs w:val="24"/>
        </w:rPr>
        <w:t>the</w:t>
      </w:r>
      <w:r w:rsidRPr="00083D5F">
        <w:rPr>
          <w:rFonts w:ascii="Times New Roman" w:hAnsi="Times New Roman" w:cs="Times New Roman"/>
          <w:sz w:val="24"/>
          <w:szCs w:val="24"/>
        </w:rPr>
        <w:t xml:space="preserve"> subgroup of tax-exempt </w:t>
      </w:r>
      <w:r>
        <w:rPr>
          <w:rFonts w:ascii="Times New Roman" w:hAnsi="Times New Roman" w:cs="Times New Roman"/>
          <w:sz w:val="24"/>
          <w:szCs w:val="24"/>
        </w:rPr>
        <w:t>nonprofits</w:t>
      </w:r>
      <w:r w:rsidRPr="00083D5F">
        <w:rPr>
          <w:rFonts w:ascii="Times New Roman" w:hAnsi="Times New Roman" w:cs="Times New Roman"/>
          <w:sz w:val="24"/>
          <w:szCs w:val="24"/>
        </w:rPr>
        <w:t xml:space="preserve"> </w:t>
      </w:r>
      <w:r>
        <w:rPr>
          <w:rFonts w:ascii="Times New Roman" w:hAnsi="Times New Roman" w:cs="Times New Roman"/>
          <w:sz w:val="24"/>
          <w:szCs w:val="24"/>
        </w:rPr>
        <w:t>that are</w:t>
      </w:r>
      <w:r w:rsidRPr="00083D5F">
        <w:rPr>
          <w:rFonts w:ascii="Times New Roman" w:hAnsi="Times New Roman" w:cs="Times New Roman"/>
          <w:sz w:val="24"/>
          <w:szCs w:val="24"/>
        </w:rPr>
        <w:t xml:space="preserve"> most likely to respond to service demands in their region</w:t>
      </w:r>
      <w:r>
        <w:rPr>
          <w:rFonts w:ascii="Times New Roman" w:hAnsi="Times New Roman" w:cs="Times New Roman"/>
          <w:sz w:val="24"/>
          <w:szCs w:val="24"/>
        </w:rPr>
        <w:t xml:space="preserve">, the focus of this analysis. </w:t>
      </w:r>
      <w:r w:rsidRPr="00083D5F">
        <w:rPr>
          <w:rFonts w:ascii="Times New Roman" w:hAnsi="Times New Roman" w:cs="Times New Roman"/>
          <w:sz w:val="24"/>
          <w:szCs w:val="24"/>
        </w:rPr>
        <w:t>Other nonprofits, including chambers of commerce, country clubs, and advocacy organizations fall into different tax-exempt classifications and are not of interest in this study. Given the potential for certain nonprofit subsectors to respond differently to client demand and market characteristics, we model our dependent variable – nonprofit supply – in three ways: total expenditures by all public charities, total expenditures by Health charities, and total expenditures by Arts charities. We selected these areas of nonprofit activity because they represent potentially important differences in market structures. Given the strong positive skew associated with these measures, we performed a natural log transformation to normalize the distributions.</w:t>
      </w:r>
    </w:p>
    <w:p w14:paraId="21E382CB" w14:textId="77777777" w:rsidR="00EA1B19" w:rsidRPr="00083D5F" w:rsidRDefault="00EA1B19" w:rsidP="00EA1B19">
      <w:pPr>
        <w:spacing w:after="0" w:line="480" w:lineRule="auto"/>
        <w:rPr>
          <w:rFonts w:ascii="Times New Roman" w:hAnsi="Times New Roman" w:cs="Times New Roman"/>
          <w:b/>
          <w:sz w:val="24"/>
          <w:szCs w:val="24"/>
        </w:rPr>
      </w:pPr>
      <w:r w:rsidRPr="00083D5F">
        <w:rPr>
          <w:rFonts w:ascii="Times New Roman" w:hAnsi="Times New Roman" w:cs="Times New Roman"/>
          <w:b/>
          <w:sz w:val="24"/>
          <w:szCs w:val="24"/>
        </w:rPr>
        <w:t>Independent Variables: Community Demand and Market Structure</w:t>
      </w:r>
    </w:p>
    <w:p w14:paraId="301D5866" w14:textId="7FB50868" w:rsidR="00EA1B19" w:rsidRPr="0029448F"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Two primary drivers may help to explain nonprofit supply in a given geography. First, and perhaps most common to this literature, are measures of community demand. If nonprofits emerge to fulfill unaddressed demand, as much nonprofit scholarship contends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{"citationItems":[{"id":"ITEM-1","itemData":{"author":[{"dropping-particle":"","family":"Salamon","given":"L.","non-dropping-particle":"","parse-names":false,"suffix":""}],"edition":"3rd","id":"ITEM-1","issued":{"date-parts":[["2012"]]},"publisher":"The Foundation Center","publisher-place":"New York, NY","title":"America’s nonprofit sector: A primer","type":"book"},"uris":["http://www.mendeley.com/documents/?uuid=ebd4be90-5cfc-4b34-a08b-cca82f6b7dc9"]}],"mendeley":{"formattedCitation":"(Salamon 2012)","plainTextFormattedCitation":"(Salamon 2012)","previouslyFormattedCitation":"(Salamon 2012)"},"properties":{"noteIndex":0},"schema":"https://github.com/citation-style-language/schema/raw/master/csl-citation.json"}</w:instrText>
      </w:r>
      <w:r>
        <w:rPr>
          <w:rFonts w:ascii="Times New Roman" w:hAnsi="Times New Roman" w:cs="Times New Roman"/>
          <w:sz w:val="24"/>
          <w:szCs w:val="24"/>
        </w:rPr>
        <w:fldChar w:fldCharType="separate"/>
      </w:r>
      <w:r w:rsidRPr="00C43F32">
        <w:rPr>
          <w:rFonts w:ascii="Times New Roman" w:hAnsi="Times New Roman" w:cs="Times New Roman"/>
          <w:noProof/>
          <w:sz w:val="24"/>
          <w:szCs w:val="24"/>
        </w:rPr>
        <w:t>(Salamon</w:t>
      </w:r>
      <w:r w:rsidR="00553D85">
        <w:rPr>
          <w:rFonts w:ascii="Times New Roman" w:hAnsi="Times New Roman" w:cs="Times New Roman"/>
          <w:noProof/>
          <w:sz w:val="24"/>
          <w:szCs w:val="24"/>
        </w:rPr>
        <w:t>,</w:t>
      </w:r>
      <w:r w:rsidRPr="00C43F32">
        <w:rPr>
          <w:rFonts w:ascii="Times New Roman" w:hAnsi="Times New Roman" w:cs="Times New Roman"/>
          <w:noProof/>
          <w:sz w:val="24"/>
          <w:szCs w:val="24"/>
        </w:rPr>
        <w:t xml:space="preserve"> 2012</w:t>
      </w:r>
      <w:r>
        <w:rPr>
          <w:rFonts w:ascii="Times New Roman" w:hAnsi="Times New Roman" w:cs="Times New Roman"/>
          <w:noProof/>
          <w:sz w:val="24"/>
          <w:szCs w:val="24"/>
        </w:rPr>
        <w:t xml:space="preserve">; </w:t>
      </w:r>
      <w:r>
        <w:rPr>
          <w:rFonts w:ascii="Times New Roman" w:hAnsi="Times New Roman" w:cs="Times New Roman"/>
          <w:sz w:val="24"/>
          <w:szCs w:val="24"/>
        </w:rPr>
        <w:t>Steinberg, 2006</w:t>
      </w:r>
      <w:r w:rsidRPr="00C43F32">
        <w:rPr>
          <w:rFonts w:ascii="Times New Roman" w:hAnsi="Times New Roman" w:cs="Times New Roman"/>
          <w:noProof/>
          <w:sz w:val="24"/>
          <w:szCs w:val="24"/>
        </w:rPr>
        <w:t>)</w:t>
      </w:r>
      <w:r>
        <w:rPr>
          <w:rFonts w:ascii="Times New Roman" w:hAnsi="Times New Roman" w:cs="Times New Roman"/>
          <w:sz w:val="24"/>
          <w:szCs w:val="24"/>
        </w:rPr>
        <w:fldChar w:fldCharType="end"/>
      </w:r>
      <w:r w:rsidRPr="00083D5F">
        <w:rPr>
          <w:rFonts w:ascii="Times New Roman" w:hAnsi="Times New Roman" w:cs="Times New Roman"/>
          <w:sz w:val="24"/>
          <w:szCs w:val="24"/>
        </w:rPr>
        <w:t xml:space="preserve">, then modeling that demand is of utmost importance for understanding nonprofit supply. The second driver consists of </w:t>
      </w:r>
      <w:r>
        <w:rPr>
          <w:rFonts w:ascii="Times New Roman" w:hAnsi="Times New Roman" w:cs="Times New Roman"/>
          <w:sz w:val="24"/>
          <w:szCs w:val="24"/>
        </w:rPr>
        <w:t xml:space="preserve">other </w:t>
      </w:r>
      <w:r w:rsidRPr="00083D5F">
        <w:rPr>
          <w:rFonts w:ascii="Times New Roman" w:hAnsi="Times New Roman" w:cs="Times New Roman"/>
          <w:sz w:val="24"/>
          <w:szCs w:val="24"/>
        </w:rPr>
        <w:t>market characteristics, which may also influence nonprofit supply. These characteristics include: 1) for-profit and governmental supply in industries where nonprofits operate, and 2) nonprofit-specific market structures that promote or inhibit nonprofit supply.</w:t>
      </w:r>
    </w:p>
    <w:p w14:paraId="70D512CC" w14:textId="77777777" w:rsidR="00EA1B19" w:rsidRPr="00083D5F" w:rsidRDefault="00EA1B19" w:rsidP="00EA1B19">
      <w:pPr>
        <w:spacing w:after="0" w:line="480" w:lineRule="auto"/>
        <w:rPr>
          <w:rFonts w:ascii="Times New Roman" w:hAnsi="Times New Roman" w:cs="Times New Roman"/>
          <w:b/>
          <w:i/>
          <w:iCs/>
          <w:sz w:val="24"/>
          <w:szCs w:val="24"/>
        </w:rPr>
      </w:pPr>
      <w:r w:rsidRPr="00083D5F">
        <w:rPr>
          <w:rFonts w:ascii="Times New Roman" w:hAnsi="Times New Roman" w:cs="Times New Roman"/>
          <w:b/>
          <w:i/>
          <w:iCs/>
          <w:sz w:val="24"/>
          <w:szCs w:val="24"/>
        </w:rPr>
        <w:t>Community Need and the Demand for Nonprofit Services</w:t>
      </w:r>
    </w:p>
    <w:p w14:paraId="393F22D5" w14:textId="3A15516F" w:rsidR="00EA1B19"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Prior studies model various community characteristics as proxies for community need to represent the “market for nonprofit services.” These studies use one or more of the following </w:t>
      </w:r>
      <w:r w:rsidRPr="00083D5F">
        <w:rPr>
          <w:rFonts w:ascii="Times New Roman" w:hAnsi="Times New Roman" w:cs="Times New Roman"/>
          <w:sz w:val="24"/>
          <w:szCs w:val="24"/>
        </w:rPr>
        <w:lastRenderedPageBreak/>
        <w:t xml:space="preserve">measures in their analyses: poverty rate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yes","given":"C","non-dropping-particle":"","parse-names":false,"suffix":""},{"dropping-particle":"","family":"Kingsley","given":"T.G.","non-dropping-particle":"","parse-names":false,"suffix":""},{"dropping-particle":"","family":"Blackwood","given":"A.","non-dropping-particle":"","parse-names":false,"suffix":""},{"dropping-particle":"","family":"Pollak","given":"T.","non-dropping-particle":"","parse-names":false,"suffix":""}],"id":"ITEM-1","issue":"August","issued":{"date-parts":[["2015"]]},"title":"Community-Oriented Nonprofits and Neighborhood Poverty: Spatial Patterns","type":"report"},"uris":["http://www.mendeley.com/documents/?uuid=85daa9a3-e0a6-484e-8e81-13cdaffa8df2"]},{"id":"ITEM-2","itemData":{"DOI":"10.1007/s11266-015-9656-1","ISSN":"0957-8765","author":[{"dropping-particle":"","family":"Puyvelde","given":"Stijn","non-dropping-particle":"Van","parse-names":false,"suffix":""},{"dropping-particle":"","family":"Brown","given":"William A.","non-dropping-particle":"","parse-names":false,"suffix":""}],"container-title":"VOLUNTAS: International Journal of Voluntary and Nonprofit Organizations","id":"ITEM-2","issue":"3","issued":{"date-parts":[["2016","6","11"]]},"page":"1045-1063","title":"Determinants of Nonprofit Sector Density: A Stakeholder Approach","type":"article-journal","volume":"27"},"uris":["http://www.mendeley.com/documents/?uuid=45e05a1e-12f9-4df0-a7a1-fb4deb8f03b1"]}],"mendeley":{"formattedCitation":"(Hayes et al. 2015; Van Puyvelde and Brown 2016)","plainTextFormattedCitation":"(Hayes et al. 2015; Van Puyvelde and Brown 2016)","previouslyFormattedCitation":"(Hayes et al. 2015; Van Puyvelde and Brown 2016)"},"properties":{"noteIndex":0},"schema":"https://github.com/citation-style-language/schema/raw/master/csl-citation.json"}</w:instrText>
      </w:r>
      <w:r>
        <w:rPr>
          <w:rFonts w:ascii="Times New Roman" w:hAnsi="Times New Roman" w:cs="Times New Roman"/>
          <w:sz w:val="24"/>
          <w:szCs w:val="24"/>
        </w:rPr>
        <w:fldChar w:fldCharType="separate"/>
      </w:r>
      <w:r w:rsidRPr="00061D0E">
        <w:rPr>
          <w:rFonts w:ascii="Times New Roman" w:hAnsi="Times New Roman" w:cs="Times New Roman"/>
          <w:noProof/>
          <w:sz w:val="24"/>
          <w:szCs w:val="24"/>
        </w:rPr>
        <w:t>(Hayes et al.</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2015; Van Puyvelde </w:t>
      </w:r>
      <w:r w:rsidR="00553D85">
        <w:rPr>
          <w:rFonts w:ascii="Times New Roman" w:hAnsi="Times New Roman" w:cs="Times New Roman"/>
          <w:noProof/>
          <w:sz w:val="24"/>
          <w:szCs w:val="24"/>
        </w:rPr>
        <w:t>&amp;</w:t>
      </w:r>
      <w:r w:rsidRPr="00061D0E">
        <w:rPr>
          <w:rFonts w:ascii="Times New Roman" w:hAnsi="Times New Roman" w:cs="Times New Roman"/>
          <w:noProof/>
          <w:sz w:val="24"/>
          <w:szCs w:val="24"/>
        </w:rPr>
        <w:t xml:space="preserve"> Brown</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2016)</w:t>
      </w:r>
      <w:r>
        <w:rPr>
          <w:rFonts w:ascii="Times New Roman" w:hAnsi="Times New Roman" w:cs="Times New Roman"/>
          <w:sz w:val="24"/>
          <w:szCs w:val="24"/>
        </w:rPr>
        <w:fldChar w:fldCharType="end"/>
      </w:r>
      <w:r w:rsidRPr="00083D5F">
        <w:rPr>
          <w:rFonts w:ascii="Times New Roman" w:hAnsi="Times New Roman" w:cs="Times New Roman"/>
          <w:sz w:val="24"/>
          <w:szCs w:val="24"/>
        </w:rPr>
        <w:t xml:space="preserve">, race or ethnicity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{"citationItems":[{"id":"ITEM-1","itemData":{"DOI":"10.1177/0899764006298963","ISSN":"0899-7640","author":[{"dropping-particle":"","family":"Peck","given":"Laura R.","non-dropping-particle":"","parse-names":false,"suffix":""}],"container-title":"Nonprofit and Voluntary Sector Quarterly","id":"ITEM-1","issue":"1","issued":{"date-parts":[["2008","3","27"]]},"page":"138-151","title":"Do Antipoverty Nonprofits Locate Where People Need Them? Evidence From a Spatial Analysis of Phoenix","type":"article-journal","volume":"37"},"uris":["http://www.mendeley.com/documents/?uuid=5e877d49-8f56-4297-8c31-6853605587ba"]},{"id":"ITEM-2","itemData":{"DOI":"10.1016/j.ssresearch.2018.01.001","ISSN":"0049089X","author":[{"dropping-particle":"","family":"Wo","given":"James C.","non-dropping-particle":"","parse-names":false,"suffix":""}],"container-title":"Social Science Research","id":"ITEM-2","issued":{"date-parts":[["2018","3"]]},"page":"56-71","title":"Understanding the density of nonprofit organizations across Los Angeles neighborhoods: Does concentrated disadvantage and violent crime matter?","type":"article-journal","volume":"71"},"uris":["http://www.mendeley.com/documents/?uuid=0f3c5ef8-de1d-4ac7-b337-e1cde3a50312"]},{"id":"ITEM-3","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Statistician","id":"ITEM-3","issue":"4","issued":{"date-parts":[["2014","10","2"]]},"page":"243-252","title":"Are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Region","type":"article-journal","volume":"68"},"uris":["http://www.mendeley.com/documents/?uuid=0244e13a-fcc4-445a-9d78-620ee6072abf"]}],"mendeley":{"formattedCitation":"(Peck 2008; Wo 2018; Yan et al. 2014)","plainTextFormattedCitation":"(Peck 2008; Wo 2018; Yan et al. 2014)","previouslyFormattedCitation":"(Peck 2008; Wo 2018; Yan et al. 2014)"},"properties":{"noteIndex":0},"schema":"https://github.com/citation-style-language/schema/raw/master/csl-citation.json"}</w:instrText>
      </w:r>
      <w:r>
        <w:rPr>
          <w:rFonts w:ascii="Times New Roman" w:hAnsi="Times New Roman" w:cs="Times New Roman"/>
          <w:sz w:val="24"/>
          <w:szCs w:val="24"/>
        </w:rPr>
        <w:fldChar w:fldCharType="separate"/>
      </w:r>
      <w:r w:rsidRPr="00061D0E">
        <w:rPr>
          <w:rFonts w:ascii="Times New Roman" w:hAnsi="Times New Roman" w:cs="Times New Roman"/>
          <w:noProof/>
          <w:sz w:val="24"/>
          <w:szCs w:val="24"/>
        </w:rPr>
        <w:t>(Peck</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2008; Wo</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2018; Yan et al.</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2014)</w:t>
      </w:r>
      <w:r>
        <w:rPr>
          <w:rFonts w:ascii="Times New Roman" w:hAnsi="Times New Roman" w:cs="Times New Roman"/>
          <w:sz w:val="24"/>
          <w:szCs w:val="24"/>
        </w:rPr>
        <w:fldChar w:fldCharType="end"/>
      </w:r>
      <w:r w:rsidRPr="00083D5F">
        <w:rPr>
          <w:rFonts w:ascii="Times New Roman" w:hAnsi="Times New Roman" w:cs="Times New Roman"/>
          <w:sz w:val="24"/>
          <w:szCs w:val="24"/>
        </w:rPr>
        <w:t xml:space="preserve">, housing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{"citationItems":[{"id":"ITEM-1","itemData":{"DOI":"10.1177/0899764006298963","ISSN":"0899-7640","author":[{"dropping-particle":"","family":"Peck","given":"Laura R.","non-dropping-particle":"","parse-names":false,"suffix":""}],"container-title":"Nonprofit and Voluntary Sector Quarterly","id":"ITEM-1","issue":"1","issued":{"date-parts":[["2008","3","27"]]},"page":"138-151","title":"Do Antipoverty Nonprofits Locate Where People Need Them? Evidence From a Spatial Analysis of Phoenix","type":"article-journal","volume":"37"},"uris":["http://www.mendeley.com/documents/?uuid=5e877d49-8f56-4297-8c31-6853605587ba"]},{"id":"ITEM-2","itemData":{"DOI":"10.1016/j.ssresearch.2018.01.001","ISSN":"0049089X","author":[{"dropping-particle":"","family":"Wo","given":"James C.","non-dropping-particle":"","parse-names":false,"suffix":""}],"container-title":"Social Science Research","id":"ITEM-2","issued":{"date-parts":[["2018","3"]]},"page":"56-71","title":"Understanding the density of nonprofit organizations across Los Angeles neighborhoods: Does concentrated disadvantage and violent crime matter?","type":"article-journal","volume":"71"},"uris":["http://www.mendeley.com/documents/?uuid=0f3c5ef8-de1d-4ac7-b337-e1cde3a50312"]},{"id":"ITEM-3","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Statistician","id":"ITEM-3","issue":"4","issued":{"date-parts":[["2014","10","2"]]},"page":"243-252","title":"Are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Region","type":"article-journal","volume":"68"},"uris":["http://www.mendeley.com/documents/?uuid=0244e13a-fcc4-445a-9d78-620ee6072abf"]}],"mendeley":{"formattedCitation":"(Peck 2008; Wo 2018; Yan et al. 2014)","plainTextFormattedCitation":"(Peck 2008; Wo 2018; Yan et al. 2014)","previouslyFormattedCitation":"(Peck 2008; Wo 2018; Yan et al. 2014)"},"properties":{"noteIndex":0},"schema":"https://github.com/citation-style-language/schema/raw/master/csl-citation.json"}</w:instrText>
      </w:r>
      <w:r>
        <w:rPr>
          <w:rFonts w:ascii="Times New Roman" w:hAnsi="Times New Roman" w:cs="Times New Roman"/>
          <w:sz w:val="24"/>
          <w:szCs w:val="24"/>
        </w:rPr>
        <w:fldChar w:fldCharType="separate"/>
      </w:r>
      <w:r w:rsidRPr="00061D0E">
        <w:rPr>
          <w:rFonts w:ascii="Times New Roman" w:hAnsi="Times New Roman" w:cs="Times New Roman"/>
          <w:noProof/>
          <w:sz w:val="24"/>
          <w:szCs w:val="24"/>
        </w:rPr>
        <w:t>(Peck</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2008; Wo</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2018; Yan et al.</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2014)</w:t>
      </w:r>
      <w:r>
        <w:rPr>
          <w:rFonts w:ascii="Times New Roman" w:hAnsi="Times New Roman" w:cs="Times New Roman"/>
          <w:sz w:val="24"/>
          <w:szCs w:val="24"/>
        </w:rPr>
        <w:fldChar w:fldCharType="end"/>
      </w:r>
      <w:r w:rsidRPr="00083D5F">
        <w:rPr>
          <w:rFonts w:ascii="Times New Roman" w:hAnsi="Times New Roman" w:cs="Times New Roman"/>
          <w:sz w:val="24"/>
          <w:szCs w:val="24"/>
        </w:rPr>
        <w:t>, violent crime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{"citationItems":[{"id":"ITEM-1","itemData":{"DOI":"10.1016/j.ssresearch.2018.01.001","ISSN":"0049089X","author":[{"dropping-particle":"","family":"Wo","given":"James C.","non-dropping-particle":"","parse-names":false,"suffix":""}],"container-title":"Social Science Research","id":"ITEM-1","issued":{"date-parts":[["2018","3"]]},"page":"56-71","title":"Understanding the density of nonprofit organizations across Los Angeles neighborhoods: Does concentrated disadvantage and violent crime matter?","type":"article-journal","volume":"71"},"uris":["http://www.mendeley.com/documents/?uuid=0f3c5ef8-de1d-4ac7-b337-e1cde3a50312"]}],"mendeley":{"formattedCitation":"(Wo 2018)","plainTextFormattedCitation":"(Wo 2018)","previouslyFormattedCitation":"(Wo 2018)"},"properties":{"noteIndex":0},"schema":"https://github.com/citation-style-language/schema/raw/master/csl-citation.json"}</w:instrText>
      </w:r>
      <w:r>
        <w:rPr>
          <w:rFonts w:ascii="Times New Roman" w:hAnsi="Times New Roman" w:cs="Times New Roman"/>
          <w:sz w:val="24"/>
          <w:szCs w:val="24"/>
        </w:rPr>
        <w:fldChar w:fldCharType="separate"/>
      </w:r>
      <w:r w:rsidRPr="00061D0E">
        <w:rPr>
          <w:rFonts w:ascii="Times New Roman" w:hAnsi="Times New Roman" w:cs="Times New Roman"/>
          <w:noProof/>
          <w:sz w:val="24"/>
          <w:szCs w:val="24"/>
        </w:rPr>
        <w:t>(Wo</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2018)</w:t>
      </w:r>
      <w:r>
        <w:rPr>
          <w:rFonts w:ascii="Times New Roman" w:hAnsi="Times New Roman" w:cs="Times New Roman"/>
          <w:sz w:val="24"/>
          <w:szCs w:val="24"/>
        </w:rPr>
        <w:fldChar w:fldCharType="end"/>
      </w:r>
      <w:r w:rsidRPr="00083D5F">
        <w:rPr>
          <w:rFonts w:ascii="Times New Roman" w:hAnsi="Times New Roman" w:cs="Times New Roman"/>
          <w:sz w:val="24"/>
          <w:szCs w:val="24"/>
        </w:rPr>
        <w:t>, education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11266-015-9656-1","ISSN":"0957-8765","author":[{"dropping-particle":"","family":"Puyvelde","given":"Stijn","non-dropping-particle":"Van","parse-names":false,"suffix":""},{"dropping-particle":"","family":"Brown","given":"William A.","non-dropping-particle":"","parse-names":false,"suffix":""}],"container-title":"VOLUNTAS: International Journal of Voluntary and Nonprofit Organizations","id":"ITEM-1","issue":"3","issued":{"date-parts":[["2016","6","11"]]},"page":"1045-1063","title":"Determinants of Nonprofit Sector Density: A Stakeholder Approach","type":"article-journal","volume":"27"},"uris":["http://www.mendeley.com/documents/?uuid=45e05a1e-12f9-4df0-a7a1-fb4deb8f03b1"]},{"id":"ITEM-2","itemData":{"DOI":"10.1177/0899764016661032","ISSN":"0899-7640","author":[{"dropping-particle":"","family":"Polson","given":"Edward C.","non-dropping-particle":"","parse-names":false,"suffix":""}],"container-title":"Nonprofit and Voluntary Sector Quarterly","id":"ITEM-2","issue":"1","issued":{"date-parts":[["2017","2","27"]]},"page":"156-174","title":"Religious Environments and the Distribution of Anti-Poverty Nonprofit Organizations","type":"article-journal","volume":"46"},"uris":["http://www.mendeley.com/documents/?uuid=a2752bbe-fceb-4055-84d3-2bb58f137d94"]}],"mendeley":{"formattedCitation":"(Polson 2017; Van Puyvelde and Brown 2016)","plainTextFormattedCitation":"(Polson 2017; Van Puyvelde and Brown 2016)","previouslyFormattedCitation":"(Polson 2017; Van Puyvelde and Brown 2016)"},"properties":{"noteIndex":0},"schema":"https://github.com/citation-style-language/schema/raw/master/csl-citation.json"}</w:instrText>
      </w:r>
      <w:r>
        <w:rPr>
          <w:rFonts w:ascii="Times New Roman" w:hAnsi="Times New Roman" w:cs="Times New Roman"/>
          <w:sz w:val="24"/>
          <w:szCs w:val="24"/>
        </w:rPr>
        <w:fldChar w:fldCharType="separate"/>
      </w:r>
      <w:r w:rsidRPr="00061D0E">
        <w:rPr>
          <w:rFonts w:ascii="Times New Roman" w:hAnsi="Times New Roman" w:cs="Times New Roman"/>
          <w:noProof/>
          <w:sz w:val="24"/>
          <w:szCs w:val="24"/>
        </w:rPr>
        <w:t>(Polson</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2017; Van Puyvelde </w:t>
      </w:r>
      <w:r w:rsidR="00553D85">
        <w:rPr>
          <w:rFonts w:ascii="Times New Roman" w:hAnsi="Times New Roman" w:cs="Times New Roman"/>
          <w:noProof/>
          <w:sz w:val="24"/>
          <w:szCs w:val="24"/>
        </w:rPr>
        <w:t>&amp;</w:t>
      </w:r>
      <w:r w:rsidRPr="00061D0E">
        <w:rPr>
          <w:rFonts w:ascii="Times New Roman" w:hAnsi="Times New Roman" w:cs="Times New Roman"/>
          <w:noProof/>
          <w:sz w:val="24"/>
          <w:szCs w:val="24"/>
        </w:rPr>
        <w:t xml:space="preserve"> Brown</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2016)</w:t>
      </w:r>
      <w:r>
        <w:rPr>
          <w:rFonts w:ascii="Times New Roman" w:hAnsi="Times New Roman" w:cs="Times New Roman"/>
          <w:sz w:val="24"/>
          <w:szCs w:val="24"/>
        </w:rPr>
        <w:fldChar w:fldCharType="end"/>
      </w:r>
      <w:r w:rsidRPr="00083D5F">
        <w:rPr>
          <w:rFonts w:ascii="Times New Roman" w:hAnsi="Times New Roman" w:cs="Times New Roman"/>
          <w:sz w:val="24"/>
          <w:szCs w:val="24"/>
        </w:rPr>
        <w:t xml:space="preserve">, and employment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Statistician","id":"ITEM-1","issue":"4","issued":{"date-parts":[["2014","10","2"]]},"page":"243-252","title":"Are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Region","type":"article-journal","volume":"68"},"uris":["http://www.mendeley.com/documents/?uuid=0244e13a-fcc4-445a-9d78-620ee6072abf"]}],"mendeley":{"formattedCitation":"(Yan et al. 2014)","plainTextFormattedCitation":"(Yan et al. 2014)","previouslyFormattedCitation":"(Yan et al. 2014)"},"properties":{"noteIndex":0},"schema":"https://github.com/citation-style-language/schema/raw/master/csl-citation.json"}</w:instrText>
      </w:r>
      <w:r>
        <w:rPr>
          <w:rFonts w:ascii="Times New Roman" w:hAnsi="Times New Roman" w:cs="Times New Roman"/>
          <w:sz w:val="24"/>
          <w:szCs w:val="24"/>
        </w:rPr>
        <w:fldChar w:fldCharType="separate"/>
      </w:r>
      <w:r w:rsidRPr="00061D0E">
        <w:rPr>
          <w:rFonts w:ascii="Times New Roman" w:hAnsi="Times New Roman" w:cs="Times New Roman"/>
          <w:noProof/>
          <w:sz w:val="24"/>
          <w:szCs w:val="24"/>
        </w:rPr>
        <w:t>(Yan et al.</w:t>
      </w:r>
      <w:r w:rsidR="00553D85">
        <w:rPr>
          <w:rFonts w:ascii="Times New Roman" w:hAnsi="Times New Roman" w:cs="Times New Roman"/>
          <w:noProof/>
          <w:sz w:val="24"/>
          <w:szCs w:val="24"/>
        </w:rPr>
        <w:t>,</w:t>
      </w:r>
      <w:r w:rsidRPr="00061D0E">
        <w:rPr>
          <w:rFonts w:ascii="Times New Roman" w:hAnsi="Times New Roman" w:cs="Times New Roman"/>
          <w:noProof/>
          <w:sz w:val="24"/>
          <w:szCs w:val="24"/>
        </w:rPr>
        <w:t xml:space="preserve"> 2014)</w:t>
      </w:r>
      <w:r>
        <w:rPr>
          <w:rFonts w:ascii="Times New Roman" w:hAnsi="Times New Roman" w:cs="Times New Roman"/>
          <w:sz w:val="24"/>
          <w:szCs w:val="24"/>
        </w:rPr>
        <w:fldChar w:fldCharType="end"/>
      </w:r>
      <w:r w:rsidRPr="00083D5F">
        <w:rPr>
          <w:rFonts w:ascii="Times New Roman" w:hAnsi="Times New Roman" w:cs="Times New Roman"/>
          <w:sz w:val="24"/>
          <w:szCs w:val="24"/>
        </w:rPr>
        <w:t xml:space="preserve">. Although useful, these measures are unidimensional constructs that capture only part of the multitudinous types of demand for nonprofit services in a region. Scholars in other fields (e.g., </w:t>
      </w:r>
      <w:r>
        <w:rPr>
          <w:rFonts w:ascii="Times New Roman" w:hAnsi="Times New Roman" w:cs="Times New Roman"/>
          <w:sz w:val="24"/>
          <w:szCs w:val="24"/>
        </w:rPr>
        <w:t xml:space="preserve">public health, </w:t>
      </w:r>
      <w:r w:rsidRPr="00083D5F">
        <w:rPr>
          <w:rFonts w:ascii="Times New Roman" w:hAnsi="Times New Roman" w:cs="Times New Roman"/>
          <w:sz w:val="24"/>
          <w:szCs w:val="24"/>
        </w:rPr>
        <w:t>disaster management, environmental resilience) use more comprehensive measures for understanding resource deprivation (e.g., Area Deprivation Index) and vulnerability in communities (</w:t>
      </w:r>
      <w:r>
        <w:rPr>
          <w:rFonts w:ascii="Times New Roman" w:hAnsi="Times New Roman" w:cs="Times New Roman"/>
          <w:sz w:val="24"/>
          <w:szCs w:val="24"/>
        </w:rPr>
        <w:t xml:space="preserve">e.g., </w:t>
      </w:r>
      <w:r w:rsidRPr="00083D5F">
        <w:rPr>
          <w:rFonts w:ascii="Times New Roman" w:hAnsi="Times New Roman" w:cs="Times New Roman"/>
          <w:sz w:val="24"/>
          <w:szCs w:val="24"/>
        </w:rPr>
        <w:t xml:space="preserve">Social Vulnerability Index, Baseline Resilience Indicators for Communities). These validated composite measures incorporate many of the metrics noted above (race, poverty, education, employment, etc.) and others (wealth, urbanicity, housing, rent, population growth, etc.), and are intended to provide a more multidimensional measure of community need. </w:t>
      </w:r>
    </w:p>
    <w:p w14:paraId="46280FA2" w14:textId="0B39C1D5" w:rsidR="00EA1B19" w:rsidRPr="00083D5F" w:rsidRDefault="00EA1B19" w:rsidP="00EA1B19">
      <w:pPr>
        <w:widowControl w:val="0"/>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For this study we use one such measure, the Social Vulnerability Index (SOVI), initially developed by Cutter</w:t>
      </w:r>
      <w:r w:rsidR="00F72331">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2764EE">
        <w:rPr>
          <w:rFonts w:ascii="Times New Roman" w:hAnsi="Times New Roman" w:cs="Times New Roman"/>
          <w:noProof/>
          <w:sz w:val="24"/>
          <w:szCs w:val="24"/>
        </w:rPr>
        <w:t>(2003</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{"citationItems":[{"id":"ITEM-1","itemData":{"DOI":"10.1111/1540-6237.8402002","ISSN":"0038-4941","author":[{"dropping-particle":"","family":"Cutter","given":"Susan L.","non-dropping-particle":"","parse-names":false,"suffix":""},{"dropping-particle":"","family":"Boruff","given":"Bryan J.","non-dropping-particle":"","parse-names":false,"suffix":""},{"dropping-particle":"","family":"Shirley","given":"W. Lynn","non-dropping-particle":"","parse-names":false,"suffix":""}],"container-title":"Social Science Quarterly","id":"ITEM-1","issue":"2","issued":{"date-parts":[["2003","6"]]},"page":"242-261","title":"Social Vulnerability to Environmental Hazards*","type":"article-journal","volume":"84"},"uris":["http://www.mendeley.com/documents/?uuid=9c30f603-b109-4f60-a66d-524b9f2fb286"]}],"mendeley":{"formattedCitation":"(Cutter et al. 2003)","plainTextFormattedCitation":"(Cutter et al. 2003)","previouslyFormattedCitation":"(Cutter et al. 2003)"},"properties":{"noteIndex":0},"schema":"https://github.com/citation-style-language/schema/raw/master/csl-citation.json"}</w:instrText>
      </w:r>
      <w:r>
        <w:rPr>
          <w:rFonts w:ascii="Times New Roman" w:hAnsi="Times New Roman" w:cs="Times New Roman"/>
          <w:sz w:val="24"/>
          <w:szCs w:val="24"/>
        </w:rPr>
        <w:fldChar w:fldCharType="separate"/>
      </w:r>
      <w:r w:rsidRPr="002764EE">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83D5F">
        <w:rPr>
          <w:rFonts w:ascii="Times New Roman" w:hAnsi="Times New Roman" w:cs="Times New Roman"/>
          <w:sz w:val="24"/>
          <w:szCs w:val="24"/>
        </w:rPr>
        <w:t xml:space="preserve">and refined over time. We followed the most recent SOVI Recipe (2016), and derived principal component analysis (PCA) scores for each zip code in North Carolina by performing dimension reduction on 29 key variables from the Census Bureau’s American Community Survey (2017, 5-year estimates). The statistical procedure entailed the normalization of the variables; and the performance of the PCA using a varimax rotation with the Kaiser criterion. The resulting components were in line with previous analyses with components characterized by loadings on wealth, age, poverty, ethnicity, and geographic variables. Higher scores on the SOVI represent greater social and economic vulnerability in a zip code, and lower scores demonstrate less vulnerability. </w:t>
      </w:r>
    </w:p>
    <w:p w14:paraId="09EC93EB" w14:textId="77777777" w:rsidR="00EA1B19" w:rsidRPr="00083D5F" w:rsidRDefault="00EA1B19" w:rsidP="00EA1B19">
      <w:pPr>
        <w:widowControl w:val="0"/>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Whereas SOVI captures latent community demand, we contend another form of demand </w:t>
      </w:r>
      <w:r w:rsidRPr="00083D5F">
        <w:rPr>
          <w:rFonts w:ascii="Times New Roman" w:hAnsi="Times New Roman" w:cs="Times New Roman"/>
          <w:sz w:val="24"/>
          <w:szCs w:val="24"/>
        </w:rPr>
        <w:lastRenderedPageBreak/>
        <w:t xml:space="preserve">– expressed demand – may also be consequential for understanding the extent to which certain areas have greater or lesser nonprofit output. NC 2-1-1 is an information referral service provided by the United Way of North Carolina with support from governments and nonprofits across the state. Individuals seeking assistance for themselves or others may call 211 to obtain referrals to local nonprofits which provide services that meet their needs (e.g., housing, transportation, health, financial assistance, education, legal assistance, etc.). Call centers are open 24/7/365, and the service may be accessed online as well. NC 2-1-1 provides roughly 170,000 referrals on average per year. For this analysis we aggregated three years of referral data (July 2016 – June 2019) by category – i.e., arts and health, and overall – for each North Carolina zip code. To ensure continuity between our datasets, we coded requests for services to match these nonprofit </w:t>
      </w:r>
      <w:r>
        <w:rPr>
          <w:rFonts w:ascii="Times New Roman" w:hAnsi="Times New Roman" w:cs="Times New Roman"/>
          <w:sz w:val="24"/>
          <w:szCs w:val="24"/>
        </w:rPr>
        <w:t>subsector</w:t>
      </w:r>
      <w:r w:rsidRPr="00083D5F">
        <w:rPr>
          <w:rFonts w:ascii="Times New Roman" w:hAnsi="Times New Roman" w:cs="Times New Roman"/>
          <w:sz w:val="24"/>
          <w:szCs w:val="24"/>
        </w:rPr>
        <w:t>s. Our study is the first to incorporate a direct measure of expressed citizen demand for nonprofit output in a geography (i.e., referral requests made to NC 2-1-1)</w:t>
      </w:r>
      <w:r>
        <w:rPr>
          <w:rFonts w:ascii="Times New Roman" w:hAnsi="Times New Roman" w:cs="Times New Roman"/>
          <w:sz w:val="24"/>
          <w:szCs w:val="24"/>
        </w:rPr>
        <w:t xml:space="preserve"> and was made possible through a data usage agreement executed with United Way of North Carolina, the nonprofit agency that operates NC 2-1-1</w:t>
      </w:r>
      <w:r w:rsidRPr="00083D5F">
        <w:rPr>
          <w:rFonts w:ascii="Times New Roman" w:hAnsi="Times New Roman" w:cs="Times New Roman"/>
          <w:sz w:val="24"/>
          <w:szCs w:val="24"/>
        </w:rPr>
        <w:t>.</w:t>
      </w:r>
    </w:p>
    <w:p w14:paraId="53F35E95" w14:textId="77777777" w:rsidR="00EA1B19" w:rsidRPr="00083D5F" w:rsidRDefault="00EA1B19" w:rsidP="00EA1B19">
      <w:pPr>
        <w:spacing w:after="0" w:line="480" w:lineRule="auto"/>
        <w:rPr>
          <w:rFonts w:ascii="Times New Roman" w:hAnsi="Times New Roman" w:cs="Times New Roman"/>
          <w:b/>
          <w:i/>
          <w:iCs/>
          <w:sz w:val="24"/>
          <w:szCs w:val="24"/>
        </w:rPr>
      </w:pPr>
      <w:r w:rsidRPr="00083D5F">
        <w:rPr>
          <w:rFonts w:ascii="Times New Roman" w:hAnsi="Times New Roman" w:cs="Times New Roman"/>
          <w:b/>
          <w:i/>
          <w:iCs/>
          <w:sz w:val="24"/>
          <w:szCs w:val="24"/>
        </w:rPr>
        <w:t>Market Structure</w:t>
      </w:r>
    </w:p>
    <w:p w14:paraId="3A806D85" w14:textId="5EE1D41B" w:rsidR="00EA1B19" w:rsidRPr="00083D5F"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Market structure is also </w:t>
      </w:r>
      <w:r>
        <w:rPr>
          <w:rFonts w:ascii="Times New Roman" w:hAnsi="Times New Roman" w:cs="Times New Roman"/>
          <w:sz w:val="24"/>
          <w:szCs w:val="24"/>
        </w:rPr>
        <w:t>consequential</w:t>
      </w:r>
      <w:r w:rsidRPr="00083D5F">
        <w:rPr>
          <w:rFonts w:ascii="Times New Roman" w:hAnsi="Times New Roman" w:cs="Times New Roman"/>
          <w:sz w:val="24"/>
          <w:szCs w:val="24"/>
        </w:rPr>
        <w:t xml:space="preserve"> for understanding nonprofit output. Yan et al. </w:t>
      </w:r>
      <w:r>
        <w:rPr>
          <w:rFonts w:ascii="Times New Roman" w:hAnsi="Times New Roman" w:cs="Times New Roman"/>
          <w:sz w:val="24"/>
          <w:szCs w:val="24"/>
        </w:rPr>
        <w:t xml:space="preserve">(2014) </w:t>
      </w:r>
      <w:r w:rsidRPr="00083D5F">
        <w:rPr>
          <w:rFonts w:ascii="Times New Roman" w:hAnsi="Times New Roman" w:cs="Times New Roman"/>
          <w:sz w:val="24"/>
          <w:szCs w:val="24"/>
        </w:rPr>
        <w:t xml:space="preserve">observe that where a nonprofit is located influences “its access to important financial and human resources [and] determines the intensity of competition and chances of collaboration”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00031305.2014.955211","ISSN":"0003-1305","author":[{"dropping-particle":"","family":"Yan","given":"Jun","non-dropping-particle":"","parse-names":false,"suffix":""},{"dropping-particle":"","family":"Guo","given":"Chao","non-dropping-particle":"","parse-names":false,"suffix":""},{"dropping-particle":"","family":"Paarlberg","given":"Laurie E.","non-dropping-particle":"","parse-names":false,"suffix":""}],"container-title":"The American Statistician","id":"ITEM-1","issue":"4","issued":{"date-parts":[["2014","10","2"]]},"page":"243-252","title":"Are Nonprofit Antipoverty Organizations Located Where They Are Needed? A Spatial Analysis of the Greater Hartford Region","type":"article-journal","volume":"68"},"uris":["http://www.mendeley.com/documents/?uuid=0244e13a-fcc4-445a-9d78-620ee6072abf"]}],"mendeley":{"formattedCitation":"(Yan et al. 2014)","plainTextFormattedCitation":"(Yan et al. 2014)","previouslyFormattedCitation":"(Yan et al. 2014)"},"properties":{"noteIndex":0},"schema":"https://github.com/citation-style-language/schema/raw/master/csl-citation.json"}</w:instrText>
      </w:r>
      <w:r>
        <w:rPr>
          <w:rFonts w:ascii="Times New Roman" w:hAnsi="Times New Roman" w:cs="Times New Roman"/>
          <w:sz w:val="24"/>
          <w:szCs w:val="24"/>
        </w:rPr>
        <w:fldChar w:fldCharType="separate"/>
      </w:r>
      <w:r w:rsidRPr="00C43F32">
        <w:rPr>
          <w:rFonts w:ascii="Times New Roman" w:hAnsi="Times New Roman" w:cs="Times New Roman"/>
          <w:noProof/>
          <w:sz w:val="24"/>
          <w:szCs w:val="24"/>
        </w:rPr>
        <w:t>(</w:t>
      </w:r>
      <w:r>
        <w:rPr>
          <w:rFonts w:ascii="Times New Roman" w:hAnsi="Times New Roman" w:cs="Times New Roman"/>
          <w:noProof/>
          <w:sz w:val="24"/>
          <w:szCs w:val="24"/>
        </w:rPr>
        <w:t>p. 243</w:t>
      </w:r>
      <w:r w:rsidRPr="00C43F32">
        <w:rPr>
          <w:rFonts w:ascii="Times New Roman" w:hAnsi="Times New Roman" w:cs="Times New Roman"/>
          <w:noProof/>
          <w:sz w:val="24"/>
          <w:szCs w:val="24"/>
        </w:rPr>
        <w:t>)</w:t>
      </w:r>
      <w:r>
        <w:rPr>
          <w:rFonts w:ascii="Times New Roman" w:hAnsi="Times New Roman" w:cs="Times New Roman"/>
          <w:sz w:val="24"/>
          <w:szCs w:val="24"/>
        </w:rPr>
        <w:fldChar w:fldCharType="end"/>
      </w:r>
      <w:r w:rsidRPr="00083D5F">
        <w:rPr>
          <w:rFonts w:ascii="Times New Roman" w:hAnsi="Times New Roman" w:cs="Times New Roman"/>
          <w:sz w:val="24"/>
          <w:szCs w:val="24"/>
        </w:rPr>
        <w:t>. For example, a strong social safety net with numerous health and human service programs offered by county government would attenuate demand and theoretically reduce the number of nonprofits, organizations that are commonly seen as “filling the gaps” left by the other sectors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{"citationItems":[{"id":"ITEM-1","itemData":{"author":[{"dropping-particle":"","family":"Salamon","given":"L.","non-dropping-particle":"","parse-names":false,"suffix":""}],"edition":"3rd","id":"ITEM-1","issued":{"date-parts":[["2012"]]},"publisher":"The Foundation Center","publisher-place":"New York, NY","title":"America’s nonprofit sector: A primer","type":"book"},"uris":["http://www.mendeley.com/documents/?uuid=ebd4be90-5cfc-4b34-a08b-cca82f6b7dc9"]}],"mendeley":{"formattedCitation":"(Salamon 2012)","plainTextFormattedCitation":"(Salamon 2012)","previouslyFormattedCitation":"(Salamon 2012)"},"properties":{"noteIndex":0},"schema":"https://github.com/citation-style-language/schema/raw/master/csl-citation.json"}</w:instrText>
      </w:r>
      <w:r>
        <w:rPr>
          <w:rFonts w:ascii="Times New Roman" w:hAnsi="Times New Roman" w:cs="Times New Roman"/>
          <w:sz w:val="24"/>
          <w:szCs w:val="24"/>
        </w:rPr>
        <w:fldChar w:fldCharType="separate"/>
      </w:r>
      <w:r w:rsidRPr="00C43F32">
        <w:rPr>
          <w:rFonts w:ascii="Times New Roman" w:hAnsi="Times New Roman" w:cs="Times New Roman"/>
          <w:noProof/>
          <w:sz w:val="24"/>
          <w:szCs w:val="24"/>
        </w:rPr>
        <w:t>(Salamon</w:t>
      </w:r>
      <w:r w:rsidR="00553D85">
        <w:rPr>
          <w:rFonts w:ascii="Times New Roman" w:hAnsi="Times New Roman" w:cs="Times New Roman"/>
          <w:noProof/>
          <w:sz w:val="24"/>
          <w:szCs w:val="24"/>
        </w:rPr>
        <w:t>,</w:t>
      </w:r>
      <w:r w:rsidRPr="00C43F32">
        <w:rPr>
          <w:rFonts w:ascii="Times New Roman" w:hAnsi="Times New Roman" w:cs="Times New Roman"/>
          <w:noProof/>
          <w:sz w:val="24"/>
          <w:szCs w:val="24"/>
        </w:rPr>
        <w:t xml:space="preserve"> 2012</w:t>
      </w:r>
      <w:r>
        <w:rPr>
          <w:rFonts w:ascii="Times New Roman" w:hAnsi="Times New Roman" w:cs="Times New Roman"/>
          <w:noProof/>
          <w:sz w:val="24"/>
          <w:szCs w:val="24"/>
        </w:rPr>
        <w:t xml:space="preserve">; </w:t>
      </w:r>
      <w:r>
        <w:rPr>
          <w:rFonts w:ascii="Times New Roman" w:hAnsi="Times New Roman" w:cs="Times New Roman"/>
          <w:sz w:val="24"/>
          <w:szCs w:val="24"/>
        </w:rPr>
        <w:t>Steinberg, 2006</w:t>
      </w:r>
      <w:r w:rsidRPr="00C43F32">
        <w:rPr>
          <w:rFonts w:ascii="Times New Roman" w:hAnsi="Times New Roman" w:cs="Times New Roman"/>
          <w:noProof/>
          <w:sz w:val="24"/>
          <w:szCs w:val="24"/>
        </w:rPr>
        <w:t>)</w:t>
      </w:r>
      <w:r>
        <w:rPr>
          <w:rFonts w:ascii="Times New Roman" w:hAnsi="Times New Roman" w:cs="Times New Roman"/>
          <w:sz w:val="24"/>
          <w:szCs w:val="24"/>
        </w:rPr>
        <w:fldChar w:fldCharType="end"/>
      </w:r>
      <w:r w:rsidRPr="00083D5F">
        <w:rPr>
          <w:rFonts w:ascii="Times New Roman" w:hAnsi="Times New Roman" w:cs="Times New Roman"/>
          <w:sz w:val="24"/>
          <w:szCs w:val="24"/>
        </w:rPr>
        <w:t xml:space="preserve">. Similarly, a robust for-profit market that has multiple providers, lower prices for goods, and in some cases requirements to provide charity care (e.g., </w:t>
      </w:r>
      <w:r w:rsidRPr="00083D5F">
        <w:rPr>
          <w:rFonts w:ascii="Times New Roman" w:hAnsi="Times New Roman" w:cs="Times New Roman"/>
          <w:sz w:val="24"/>
          <w:szCs w:val="24"/>
        </w:rPr>
        <w:lastRenderedPageBreak/>
        <w:t xml:space="preserve">hospitals) could reduce the </w:t>
      </w:r>
      <w:r>
        <w:rPr>
          <w:rFonts w:ascii="Times New Roman" w:hAnsi="Times New Roman" w:cs="Times New Roman"/>
          <w:sz w:val="24"/>
          <w:szCs w:val="24"/>
        </w:rPr>
        <w:t>demand</w:t>
      </w:r>
      <w:r w:rsidRPr="00083D5F">
        <w:rPr>
          <w:rFonts w:ascii="Times New Roman" w:hAnsi="Times New Roman" w:cs="Times New Roman"/>
          <w:sz w:val="24"/>
          <w:szCs w:val="24"/>
        </w:rPr>
        <w:t xml:space="preserve"> for nonprofit services. Jeong and Cui</w:t>
      </w:r>
      <w:r>
        <w:rPr>
          <w:rFonts w:ascii="Times New Roman" w:hAnsi="Times New Roman" w:cs="Times New Roman"/>
          <w:sz w:val="24"/>
          <w:szCs w:val="24"/>
        </w:rPr>
        <w:t xml:space="preserve"> (</w:t>
      </w:r>
      <w:r w:rsidRPr="00E2552E">
        <w:rPr>
          <w:rFonts w:ascii="Times New Roman" w:hAnsi="Times New Roman" w:cs="Times New Roman"/>
          <w:noProof/>
          <w:sz w:val="24"/>
          <w:szCs w:val="24"/>
        </w:rPr>
        <w:t>2020</w:t>
      </w:r>
      <w:r>
        <w:rPr>
          <w:rFonts w:ascii="Times New Roman" w:hAnsi="Times New Roman" w:cs="Times New Roman"/>
          <w:noProof/>
          <w:sz w:val="24"/>
          <w:szCs w:val="24"/>
        </w:rPr>
        <w:t>)</w:t>
      </w:r>
      <w:r>
        <w:rPr>
          <w:rFonts w:ascii="Times New Roman" w:hAnsi="Times New Roman" w:cs="Times New Roman"/>
          <w:sz w:val="24"/>
          <w:szCs w:val="24"/>
        </w:rPr>
        <w:t xml:space="preserve">, Van Puyvelde and Brown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11266-019-00175-8","ISSN":"0957-8765","author":[{"dropping-particle":"","family":"Jeong","given":"Joowon","non-dropping-particle":"","parse-names":false,"suffix":""},{"dropping-particle":"","family":"Cui","given":"Tracy Shicun","non-dropping-particle":"","parse-names":false,"suffix":""}],"container-title":"VOLUNTAS: International Journal of Voluntary and Nonprofit Organizations","id":"ITEM-1","issue":"1","issued":{"date-parts":[["2020","2","17"]]},"page":"213-226","title":"The Density of Nonprofit Organizations: Beyond Community Diversity and Resource Availability","type":"article-journal","volume":"31"},"uris":["http://www.mendeley.com/documents/?uuid=7c687873-151b-4112-b6a7-d324971a7f14"]},{"id":"ITEM-2","itemData":{"DOI":"10.1007/s11266-015-9656-1","ISSN":"0957-8765","author":[{"dropping-particle":"","family":"Puyvelde","given":"Stijn","non-dropping-particle":"Van","parse-names":false,"suffix":""},{"dropping-particle":"","family":"Brown","given":"William A.","non-dropping-particle":"","parse-names":false,"suffix":""}],"container-title":"VOLUNTAS: International Journal of Voluntary and Nonprofit Organizations","id":"ITEM-2","issue":"3","issued":{"date-parts":[["2016","6","11"]]},"page":"1045-1063","title":"Determinants of Nonprofit Sector Density: A Stakeholder Approach","type":"article-journal","volume":"27"},"uris":["http://www.mendeley.com/documents/?uuid=45e05a1e-12f9-4df0-a7a1-fb4deb8f03b1"]}],"mendeley":{"formattedCitation":"(Jeong and Cui 2020; Van Puyvelde and Brown 2016)","plainTextFormattedCitation":"(Jeong and Cui 2020; Van Puyvelde and Brown 2016)","previouslyFormattedCitation":"(Jeong and Cui 2020; Van Puyvelde and Brown 2016)"},"properties":{"noteIndex":0},"schema":"https://github.com/citation-style-language/schema/raw/master/csl-citation.json"}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E2552E">
        <w:rPr>
          <w:rFonts w:ascii="Times New Roman" w:hAnsi="Times New Roman" w:cs="Times New Roman"/>
          <w:noProof/>
          <w:sz w:val="24"/>
          <w:szCs w:val="24"/>
        </w:rPr>
        <w:t>2016)</w:t>
      </w:r>
      <w:r>
        <w:rPr>
          <w:rFonts w:ascii="Times New Roman" w:hAnsi="Times New Roman" w:cs="Times New Roman"/>
          <w:sz w:val="24"/>
          <w:szCs w:val="24"/>
        </w:rPr>
        <w:fldChar w:fldCharType="end"/>
      </w:r>
      <w:r w:rsidRPr="00083D5F">
        <w:rPr>
          <w:rFonts w:ascii="Times New Roman" w:hAnsi="Times New Roman" w:cs="Times New Roman"/>
          <w:sz w:val="24"/>
          <w:szCs w:val="24"/>
        </w:rPr>
        <w:t>, and others capture these market characteristics by including variables that measure government and for-profit presence.</w:t>
      </w:r>
    </w:p>
    <w:p w14:paraId="6BF656AA" w14:textId="1F4599B3" w:rsidR="00EA1B19" w:rsidRPr="00F10948" w:rsidRDefault="00EA1B19" w:rsidP="00EA1B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our argument</w:t>
      </w:r>
      <w:r w:rsidRPr="00083D5F">
        <w:rPr>
          <w:rFonts w:ascii="Times New Roman" w:hAnsi="Times New Roman" w:cs="Times New Roman"/>
          <w:sz w:val="24"/>
          <w:szCs w:val="24"/>
        </w:rPr>
        <w:t xml:space="preserve"> above</w:t>
      </w:r>
      <w:r>
        <w:rPr>
          <w:rFonts w:ascii="Times New Roman" w:hAnsi="Times New Roman" w:cs="Times New Roman"/>
          <w:sz w:val="24"/>
          <w:szCs w:val="24"/>
        </w:rPr>
        <w:t xml:space="preserve"> </w:t>
      </w:r>
      <w:proofErr w:type="gramStart"/>
      <w:r>
        <w:rPr>
          <w:rFonts w:ascii="Times New Roman" w:hAnsi="Times New Roman" w:cs="Times New Roman"/>
          <w:sz w:val="24"/>
          <w:szCs w:val="24"/>
        </w:rPr>
        <w:t>that simple counts</w:t>
      </w:r>
      <w:proofErr w:type="gramEnd"/>
      <w:r>
        <w:rPr>
          <w:rFonts w:ascii="Times New Roman" w:hAnsi="Times New Roman" w:cs="Times New Roman"/>
          <w:sz w:val="24"/>
          <w:szCs w:val="24"/>
        </w:rPr>
        <w:t xml:space="preserve"> are insufficient</w:t>
      </w:r>
      <w:r w:rsidRPr="00083D5F">
        <w:rPr>
          <w:rFonts w:ascii="Times New Roman" w:hAnsi="Times New Roman" w:cs="Times New Roman"/>
          <w:sz w:val="24"/>
          <w:szCs w:val="24"/>
        </w:rPr>
        <w:t xml:space="preserve">, we attempt to </w:t>
      </w:r>
      <w:r>
        <w:rPr>
          <w:rFonts w:ascii="Times New Roman" w:hAnsi="Times New Roman" w:cs="Times New Roman"/>
          <w:sz w:val="24"/>
          <w:szCs w:val="24"/>
        </w:rPr>
        <w:t xml:space="preserve">capture the relative output of </w:t>
      </w:r>
      <w:r w:rsidRPr="00083D5F">
        <w:rPr>
          <w:rFonts w:ascii="Times New Roman" w:hAnsi="Times New Roman" w:cs="Times New Roman"/>
          <w:sz w:val="24"/>
          <w:szCs w:val="24"/>
        </w:rPr>
        <w:t xml:space="preserve">government and for-profit entities. Similar to our construction of the dependent variable and given the potential for certain </w:t>
      </w:r>
      <w:r>
        <w:rPr>
          <w:rFonts w:ascii="Times New Roman" w:hAnsi="Times New Roman" w:cs="Times New Roman"/>
          <w:sz w:val="24"/>
          <w:szCs w:val="24"/>
        </w:rPr>
        <w:t>subsector</w:t>
      </w:r>
      <w:r w:rsidRPr="00083D5F">
        <w:rPr>
          <w:rFonts w:ascii="Times New Roman" w:hAnsi="Times New Roman" w:cs="Times New Roman"/>
          <w:sz w:val="24"/>
          <w:szCs w:val="24"/>
        </w:rPr>
        <w:t xml:space="preserve">s to respond differently to client demand and market characteristics, we estimate for-profit output at the zip code level in three ways: total number of for-profit employees, total number of employees in health for-profits, and total number of employees in arts for-profits. Data on for-profit employees derive from the County Business Patterns’ </w:t>
      </w:r>
      <w:r w:rsidR="00553D85">
        <w:rPr>
          <w:rFonts w:ascii="Times New Roman" w:hAnsi="Times New Roman" w:cs="Times New Roman"/>
          <w:sz w:val="24"/>
          <w:szCs w:val="24"/>
        </w:rPr>
        <w:t>z</w:t>
      </w:r>
      <w:r w:rsidRPr="00083D5F">
        <w:rPr>
          <w:rFonts w:ascii="Times New Roman" w:hAnsi="Times New Roman" w:cs="Times New Roman"/>
          <w:sz w:val="24"/>
          <w:szCs w:val="24"/>
        </w:rPr>
        <w:t>ip code industry detail files for 2016 and are available by North American Industry Classification System codes</w:t>
      </w:r>
      <w:r>
        <w:rPr>
          <w:rFonts w:ascii="Times New Roman" w:hAnsi="Times New Roman" w:cs="Times New Roman"/>
          <w:sz w:val="24"/>
          <w:szCs w:val="24"/>
        </w:rPr>
        <w:t>. For this analysis we captured data for all industries for use in the sector-wide model, h</w:t>
      </w:r>
      <w:r w:rsidRPr="00F10948">
        <w:rPr>
          <w:rFonts w:ascii="Times New Roman" w:hAnsi="Times New Roman" w:cs="Times New Roman"/>
          <w:sz w:val="24"/>
          <w:szCs w:val="24"/>
        </w:rPr>
        <w:t>ealth</w:t>
      </w:r>
      <w:r>
        <w:rPr>
          <w:rFonts w:ascii="Times New Roman" w:hAnsi="Times New Roman" w:cs="Times New Roman"/>
          <w:sz w:val="24"/>
          <w:szCs w:val="24"/>
        </w:rPr>
        <w:t xml:space="preserve"> industry data (codes</w:t>
      </w:r>
      <w:r w:rsidRPr="00F10948">
        <w:rPr>
          <w:rFonts w:ascii="Times New Roman" w:hAnsi="Times New Roman" w:cs="Times New Roman"/>
          <w:sz w:val="24"/>
          <w:szCs w:val="24"/>
        </w:rPr>
        <w:t xml:space="preserve"> 62---- through 623220</w:t>
      </w:r>
      <w:r>
        <w:rPr>
          <w:rFonts w:ascii="Times New Roman" w:hAnsi="Times New Roman" w:cs="Times New Roman"/>
          <w:sz w:val="24"/>
          <w:szCs w:val="24"/>
        </w:rPr>
        <w:t>) for the health sector only model</w:t>
      </w:r>
      <w:r w:rsidRPr="00F10948">
        <w:rPr>
          <w:rFonts w:ascii="Times New Roman" w:hAnsi="Times New Roman" w:cs="Times New Roman"/>
          <w:sz w:val="24"/>
          <w:szCs w:val="24"/>
        </w:rPr>
        <w:t xml:space="preserve">, </w:t>
      </w:r>
      <w:r>
        <w:rPr>
          <w:rFonts w:ascii="Times New Roman" w:hAnsi="Times New Roman" w:cs="Times New Roman"/>
          <w:sz w:val="24"/>
          <w:szCs w:val="24"/>
        </w:rPr>
        <w:t>and arts industry data (codes</w:t>
      </w:r>
      <w:r w:rsidRPr="00F10948">
        <w:rPr>
          <w:rFonts w:ascii="Times New Roman" w:hAnsi="Times New Roman" w:cs="Times New Roman"/>
          <w:sz w:val="24"/>
          <w:szCs w:val="24"/>
        </w:rPr>
        <w:t xml:space="preserve"> 71---- through 712110)</w:t>
      </w:r>
      <w:r>
        <w:rPr>
          <w:rFonts w:ascii="Times New Roman" w:hAnsi="Times New Roman" w:cs="Times New Roman"/>
          <w:sz w:val="24"/>
          <w:szCs w:val="24"/>
        </w:rPr>
        <w:t xml:space="preserve"> for the arts sector only model</w:t>
      </w:r>
      <w:r w:rsidRPr="00083D5F">
        <w:rPr>
          <w:rFonts w:ascii="Times New Roman" w:hAnsi="Times New Roman" w:cs="Times New Roman"/>
          <w:sz w:val="24"/>
          <w:szCs w:val="24"/>
        </w:rPr>
        <w:t>.</w:t>
      </w:r>
      <w:r>
        <w:rPr>
          <w:rFonts w:ascii="Times New Roman" w:hAnsi="Times New Roman" w:cs="Times New Roman"/>
          <w:sz w:val="24"/>
          <w:szCs w:val="24"/>
        </w:rPr>
        <w:t xml:space="preserve"> Rather than provide actual counts of employees by establishment, the County Business Pat</w:t>
      </w:r>
      <w:r w:rsidR="00553D85">
        <w:rPr>
          <w:rFonts w:ascii="Times New Roman" w:hAnsi="Times New Roman" w:cs="Times New Roman"/>
          <w:sz w:val="24"/>
          <w:szCs w:val="24"/>
        </w:rPr>
        <w:t>t</w:t>
      </w:r>
      <w:r>
        <w:rPr>
          <w:rFonts w:ascii="Times New Roman" w:hAnsi="Times New Roman" w:cs="Times New Roman"/>
          <w:sz w:val="24"/>
          <w:szCs w:val="24"/>
        </w:rPr>
        <w:t xml:space="preserve">erns data bins the information by </w:t>
      </w:r>
      <w:r w:rsidRPr="00F10948">
        <w:rPr>
          <w:rFonts w:ascii="Times New Roman" w:hAnsi="Times New Roman" w:cs="Times New Roman"/>
          <w:sz w:val="24"/>
          <w:szCs w:val="24"/>
        </w:rPr>
        <w:t>category (&lt;5</w:t>
      </w:r>
      <w:r>
        <w:rPr>
          <w:rFonts w:ascii="Times New Roman" w:hAnsi="Times New Roman" w:cs="Times New Roman"/>
          <w:sz w:val="24"/>
          <w:szCs w:val="24"/>
        </w:rPr>
        <w:t xml:space="preserve"> employees</w:t>
      </w:r>
      <w:r w:rsidRPr="00F10948">
        <w:rPr>
          <w:rFonts w:ascii="Times New Roman" w:hAnsi="Times New Roman" w:cs="Times New Roman"/>
          <w:sz w:val="24"/>
          <w:szCs w:val="24"/>
        </w:rPr>
        <w:t xml:space="preserve">, 5-9, 10-19, 20-49, 50-99, 100-249, 250-499, 500-999, </w:t>
      </w:r>
      <w:r>
        <w:rPr>
          <w:rFonts w:ascii="Times New Roman" w:hAnsi="Times New Roman" w:cs="Times New Roman"/>
          <w:sz w:val="24"/>
          <w:szCs w:val="24"/>
        </w:rPr>
        <w:t xml:space="preserve">and </w:t>
      </w:r>
      <w:r w:rsidRPr="00F10948">
        <w:rPr>
          <w:rFonts w:ascii="Times New Roman" w:hAnsi="Times New Roman" w:cs="Times New Roman"/>
          <w:sz w:val="24"/>
          <w:szCs w:val="24"/>
        </w:rPr>
        <w:t>&gt;1000</w:t>
      </w:r>
      <w:r>
        <w:rPr>
          <w:rFonts w:ascii="Times New Roman" w:hAnsi="Times New Roman" w:cs="Times New Roman"/>
          <w:sz w:val="24"/>
          <w:szCs w:val="24"/>
        </w:rPr>
        <w:t xml:space="preserve"> employees</w:t>
      </w:r>
      <w:r w:rsidRPr="00F10948">
        <w:rPr>
          <w:rFonts w:ascii="Times New Roman" w:hAnsi="Times New Roman" w:cs="Times New Roman"/>
          <w:sz w:val="24"/>
          <w:szCs w:val="24"/>
        </w:rPr>
        <w:t xml:space="preserve">). </w:t>
      </w:r>
      <w:r>
        <w:rPr>
          <w:rFonts w:ascii="Times New Roman" w:hAnsi="Times New Roman" w:cs="Times New Roman"/>
          <w:sz w:val="24"/>
          <w:szCs w:val="24"/>
        </w:rPr>
        <w:t xml:space="preserve">In order to </w:t>
      </w:r>
      <w:r w:rsidRPr="00F10948">
        <w:rPr>
          <w:rFonts w:ascii="Times New Roman" w:hAnsi="Times New Roman" w:cs="Times New Roman"/>
          <w:sz w:val="24"/>
          <w:szCs w:val="24"/>
        </w:rPr>
        <w:t xml:space="preserve">estimate of the number of employees by zip code </w:t>
      </w:r>
      <m:oMath>
        <m:r>
          <w:rPr>
            <w:rFonts w:ascii="Cambria Math" w:hAnsi="Cambria Math" w:cs="Times New Roman"/>
            <w:sz w:val="24"/>
            <w:szCs w:val="24"/>
          </w:rPr>
          <m:t>i</m:t>
        </m:r>
      </m:oMath>
      <w:r w:rsidRPr="00F10948">
        <w:rPr>
          <w:rFonts w:ascii="Times New Roman" w:hAnsi="Times New Roman" w:cs="Times New Roman"/>
          <w:sz w:val="24"/>
          <w:szCs w:val="24"/>
        </w:rPr>
        <w:t xml:space="preserve"> </w:t>
      </w:r>
      <w:r>
        <w:rPr>
          <w:rFonts w:ascii="Times New Roman" w:hAnsi="Times New Roman" w:cs="Times New Roman"/>
          <w:sz w:val="24"/>
          <w:szCs w:val="24"/>
        </w:rPr>
        <w:t>we used the</w:t>
      </w:r>
      <w:r w:rsidRPr="00F10948">
        <w:rPr>
          <w:rFonts w:ascii="Times New Roman" w:hAnsi="Times New Roman" w:cs="Times New Roman"/>
          <w:sz w:val="24"/>
          <w:szCs w:val="24"/>
        </w:rPr>
        <w:t xml:space="preserve"> following calculation: </w:t>
      </w:r>
    </w:p>
    <w:p w14:paraId="64679F4F" w14:textId="77777777" w:rsidR="00EA1B19" w:rsidRPr="00F10948" w:rsidRDefault="0088197B" w:rsidP="00EA1B19">
      <w:pPr>
        <w:spacing w:after="0" w:line="480" w:lineRule="auto"/>
        <w:ind w:firstLine="7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9</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e>
          </m:nary>
        </m:oMath>
      </m:oMathPara>
    </w:p>
    <w:p w14:paraId="765774BC" w14:textId="77777777" w:rsidR="00EA1B19" w:rsidRDefault="00EA1B19" w:rsidP="00EA1B19">
      <w:pPr>
        <w:spacing w:after="0" w:line="480" w:lineRule="auto"/>
        <w:rPr>
          <w:rFonts w:ascii="Times New Roman" w:hAnsi="Times New Roman" w:cs="Times New Roman"/>
          <w:sz w:val="24"/>
          <w:szCs w:val="24"/>
        </w:rPr>
      </w:pPr>
      <w:r w:rsidRPr="00F10948">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w:r w:rsidRPr="00F10948">
        <w:rPr>
          <w:rFonts w:ascii="Times New Roman" w:hAnsi="Times New Roman" w:cs="Times New Roman"/>
          <w:sz w:val="24"/>
          <w:szCs w:val="24"/>
        </w:rPr>
        <w:t xml:space="preserve"> represents the estimated number of employees by zip code,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Pr="00F10948">
        <w:rPr>
          <w:rFonts w:ascii="Times New Roman" w:hAnsi="Times New Roman" w:cs="Times New Roman"/>
          <w:sz w:val="24"/>
          <w:szCs w:val="24"/>
        </w:rPr>
        <w:t xml:space="preserve"> represents the counts of establishments by zip code and establishment size category, and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oMath>
      <w:r w:rsidRPr="00F10948">
        <w:rPr>
          <w:rFonts w:ascii="Times New Roman" w:hAnsi="Times New Roman" w:cs="Times New Roman"/>
          <w:sz w:val="24"/>
          <w:szCs w:val="24"/>
        </w:rPr>
        <w:t xml:space="preserve"> represents the mid-range value to represent the number of employees within each establishment by organization size class (</w:t>
      </w:r>
      <m:oMath>
        <m:r>
          <m:rPr>
            <m:sty m:val="bi"/>
          </m:rPr>
          <w:rPr>
            <w:rFonts w:ascii="Cambria Math" w:hAnsi="Cambria Math" w:cs="Times New Roman"/>
            <w:sz w:val="24"/>
            <w:szCs w:val="24"/>
          </w:rPr>
          <m:t>m</m:t>
        </m:r>
        <m:r>
          <w:rPr>
            <w:rFonts w:ascii="Cambria Math" w:hAnsi="Cambria Math" w:cs="Times New Roman"/>
            <w:sz w:val="24"/>
            <w:szCs w:val="24"/>
          </w:rPr>
          <m:t>={3, 7, 14.5, 34.5, 74.5, 174.5, 374.5, 749.5, 1499.5}</m:t>
        </m:r>
      </m:oMath>
      <w:r w:rsidRPr="00F10948">
        <w:rPr>
          <w:rFonts w:ascii="Times New Roman" w:hAnsi="Times New Roman" w:cs="Times New Roman"/>
          <w:sz w:val="24"/>
          <w:szCs w:val="24"/>
        </w:rPr>
        <w:t xml:space="preserve">. Any values labeled as ‘N’ were </w:t>
      </w:r>
      <w:r w:rsidRPr="00F10948">
        <w:rPr>
          <w:rFonts w:ascii="Times New Roman" w:hAnsi="Times New Roman" w:cs="Times New Roman"/>
          <w:sz w:val="24"/>
          <w:szCs w:val="24"/>
        </w:rPr>
        <w:lastRenderedPageBreak/>
        <w:t xml:space="preserve">assumed zero indicating zero industries/employees for that particular zip code and employee size class. Figure </w:t>
      </w:r>
      <w:r>
        <w:rPr>
          <w:rFonts w:ascii="Times New Roman" w:hAnsi="Times New Roman" w:cs="Times New Roman"/>
          <w:sz w:val="24"/>
          <w:szCs w:val="24"/>
        </w:rPr>
        <w:t>S</w:t>
      </w:r>
      <w:r w:rsidRPr="00F10948">
        <w:rPr>
          <w:rFonts w:ascii="Times New Roman" w:hAnsi="Times New Roman" w:cs="Times New Roman"/>
          <w:sz w:val="24"/>
          <w:szCs w:val="24"/>
        </w:rPr>
        <w:t xml:space="preserve">1 </w:t>
      </w:r>
      <w:r>
        <w:rPr>
          <w:rFonts w:ascii="Times New Roman" w:hAnsi="Times New Roman" w:cs="Times New Roman"/>
          <w:sz w:val="24"/>
          <w:szCs w:val="24"/>
        </w:rPr>
        <w:t xml:space="preserve">in the supplemental file </w:t>
      </w:r>
      <w:r w:rsidRPr="00F10948">
        <w:rPr>
          <w:rFonts w:ascii="Times New Roman" w:hAnsi="Times New Roman" w:cs="Times New Roman"/>
          <w:sz w:val="24"/>
          <w:szCs w:val="24"/>
        </w:rPr>
        <w:t>provides histogram representations of these variables.</w:t>
      </w:r>
      <w:r w:rsidRPr="00D86CA8">
        <w:rPr>
          <w:rStyle w:val="Hyperlink"/>
          <w:rFonts w:ascii="Times New Roman" w:hAnsi="Times New Roman" w:cs="Times New Roman"/>
          <w:color w:val="000000" w:themeColor="text1"/>
          <w:sz w:val="24"/>
          <w:szCs w:val="24"/>
          <w:vertAlign w:val="superscript"/>
        </w:rPr>
        <w:footnoteReference w:id="1"/>
      </w:r>
      <w:r>
        <w:rPr>
          <w:rFonts w:ascii="Times New Roman" w:hAnsi="Times New Roman" w:cs="Times New Roman"/>
          <w:sz w:val="24"/>
          <w:szCs w:val="24"/>
        </w:rPr>
        <w:t xml:space="preserve"> We perform</w:t>
      </w:r>
      <w:r w:rsidRPr="00083D5F">
        <w:rPr>
          <w:rFonts w:ascii="Times New Roman" w:hAnsi="Times New Roman" w:cs="Times New Roman"/>
          <w:sz w:val="24"/>
          <w:szCs w:val="24"/>
        </w:rPr>
        <w:t xml:space="preserve"> a natural logarithm transformation on these variables for model fitting</w:t>
      </w:r>
      <w:r>
        <w:rPr>
          <w:rFonts w:ascii="Times New Roman" w:hAnsi="Times New Roman" w:cs="Times New Roman"/>
          <w:sz w:val="24"/>
          <w:szCs w:val="24"/>
        </w:rPr>
        <w:t xml:space="preserve"> due to heavy skewness in the data</w:t>
      </w:r>
      <w:r w:rsidRPr="00083D5F">
        <w:rPr>
          <w:rFonts w:ascii="Times New Roman" w:hAnsi="Times New Roman" w:cs="Times New Roman"/>
          <w:sz w:val="24"/>
          <w:szCs w:val="24"/>
        </w:rPr>
        <w:t>.</w:t>
      </w:r>
    </w:p>
    <w:p w14:paraId="142644BD" w14:textId="77777777" w:rsidR="00EA1B19" w:rsidRPr="00083D5F"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Counties in North Carolina are the primary governmental provider of health and human services in their region. To account for the potential downward influence these services may bring to the market, we calculated a suitable proxy for expenditures by these entities. </w:t>
      </w:r>
      <w:r>
        <w:rPr>
          <w:rFonts w:ascii="Times New Roman" w:hAnsi="Times New Roman" w:cs="Times New Roman"/>
          <w:sz w:val="24"/>
          <w:szCs w:val="24"/>
        </w:rPr>
        <w:t>F</w:t>
      </w:r>
      <w:r w:rsidRPr="00083D5F">
        <w:rPr>
          <w:rFonts w:ascii="Times New Roman" w:hAnsi="Times New Roman" w:cs="Times New Roman"/>
          <w:sz w:val="24"/>
          <w:szCs w:val="24"/>
        </w:rPr>
        <w:t>or this analysis we use Internal Revenue Service Statistics of Income (SOI) 2017 property tax data by zip code as a proxy. SOI property tax data are associated very strongly and significantly with county government expenditures (</w:t>
      </w:r>
      <m:oMath>
        <m:r>
          <w:rPr>
            <w:rFonts w:ascii="Cambria Math" w:hAnsi="Cambria Math" w:cs="Times New Roman"/>
            <w:sz w:val="24"/>
            <w:szCs w:val="24"/>
          </w:rPr>
          <m:t>r</m:t>
        </m:r>
      </m:oMath>
      <w:r w:rsidRPr="00083D5F">
        <w:rPr>
          <w:rFonts w:ascii="Times New Roman" w:hAnsi="Times New Roman" w:cs="Times New Roman"/>
          <w:sz w:val="24"/>
          <w:szCs w:val="24"/>
        </w:rPr>
        <w:t xml:space="preserve"> = .986</w:t>
      </w:r>
      <m:oMath>
        <m:r>
          <w:rPr>
            <w:rFonts w:ascii="Cambria Math" w:hAnsi="Cambria Math" w:cs="Times New Roman"/>
            <w:sz w:val="24"/>
            <w:szCs w:val="24"/>
          </w:rPr>
          <m:t>, p</m:t>
        </m:r>
      </m:oMath>
      <w:r w:rsidRPr="00083D5F">
        <w:rPr>
          <w:rFonts w:ascii="Times New Roman" w:hAnsi="Times New Roman" w:cs="Times New Roman"/>
          <w:sz w:val="24"/>
          <w:szCs w:val="24"/>
        </w:rPr>
        <w:t xml:space="preserve"> &lt; .001). Whereas county government expenditures are only available at the county level, SOI property tax data are reported at the zip code level.</w:t>
      </w:r>
    </w:p>
    <w:p w14:paraId="1B27C4A1" w14:textId="6ADBC4A4" w:rsidR="00EA1B19" w:rsidRPr="00E721B6"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The final market characteristic we include accounts for the degree to which resources are (un)evenly distributed across nonprofit organizations in a </w:t>
      </w:r>
      <w:r>
        <w:rPr>
          <w:rFonts w:ascii="Times New Roman" w:hAnsi="Times New Roman" w:cs="Times New Roman"/>
          <w:sz w:val="24"/>
          <w:szCs w:val="24"/>
        </w:rPr>
        <w:t xml:space="preserve">region. Paarlberg </w:t>
      </w:r>
      <w:r w:rsidR="00013591">
        <w:rPr>
          <w:rFonts w:ascii="Times New Roman" w:hAnsi="Times New Roman" w:cs="Times New Roman"/>
          <w:sz w:val="24"/>
          <w:szCs w:val="24"/>
        </w:rPr>
        <w:t>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{"citationItems":[{"id":"ITEM-1","itemData":{"DOI":"10.1093/ppmgov/gvz002","ISSN":"2398-4910","author":[{"dropping-particle":"","family":"Paarlberg","given":"Laurie E","non-dropping-particle":"","parse-names":false,"suffix":""},{"dropping-particle":"","family":"Zuhlke","given":"Samantha","non-dropping-particle":"","parse-names":false,"suffix":""}],"container-title":"Perspectives on Public Management and Governance","id":"ITEM-1","issue":"2","issued":{"date-parts":[["2019","5","25"]]},"page":"103-124","title":"Revisiting the Theory of Government Failure in the Face of Heterogeneous Demands","type":"article-journal","volume":"2"},"uris":["http://www.mendeley.com/documents/?uuid=3f0d77c7-be68-4f0b-8763-bf2886f2ea98"]}],"mendeley":{"formattedCitation":"(Paarlberg and Zuhlke 2019)","plainTextFormattedCitation":"(Paarlberg and Zuhlke 2019)","previouslyFormattedCitation":"(Paarlberg and Zuhlke 2019)"},"properties":{"noteIndex":0},"schema":"https://github.com/citation-style-language/schema/raw/master/csl-citation.json"}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E2552E">
        <w:rPr>
          <w:rFonts w:ascii="Times New Roman" w:hAnsi="Times New Roman" w:cs="Times New Roman"/>
          <w:noProof/>
          <w:sz w:val="24"/>
          <w:szCs w:val="24"/>
        </w:rPr>
        <w:t>201</w:t>
      </w:r>
      <w:r w:rsidR="00013591">
        <w:rPr>
          <w:rFonts w:ascii="Times New Roman" w:hAnsi="Times New Roman" w:cs="Times New Roman"/>
          <w:noProof/>
          <w:sz w:val="24"/>
          <w:szCs w:val="24"/>
        </w:rPr>
        <w:t>8</w:t>
      </w:r>
      <w:r w:rsidRPr="00E2552E">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83D5F">
        <w:rPr>
          <w:rFonts w:ascii="Times New Roman" w:hAnsi="Times New Roman" w:cs="Times New Roman"/>
          <w:sz w:val="24"/>
          <w:szCs w:val="24"/>
        </w:rPr>
        <w:t xml:space="preserve">contend that more oligopolistic markets decrease efficiency and negatively affect the financial health of some nonprofits. They introduce the </w:t>
      </w:r>
      <w:proofErr w:type="spellStart"/>
      <w:r w:rsidRPr="00083D5F">
        <w:rPr>
          <w:rFonts w:ascii="Times New Roman" w:hAnsi="Times New Roman" w:cs="Times New Roman"/>
          <w:sz w:val="24"/>
          <w:szCs w:val="24"/>
        </w:rPr>
        <w:t>Blau</w:t>
      </w:r>
      <w:proofErr w:type="spellEnd"/>
      <w:r w:rsidRPr="00083D5F">
        <w:rPr>
          <w:rFonts w:ascii="Times New Roman" w:hAnsi="Times New Roman" w:cs="Times New Roman"/>
          <w:sz w:val="24"/>
          <w:szCs w:val="24"/>
        </w:rPr>
        <w:t xml:space="preserve"> Index to this field of inquiry to calculate the (un)evenness of the nonprofit market</w:t>
      </w:r>
      <w:r>
        <w:rPr>
          <w:rFonts w:ascii="Times New Roman" w:hAnsi="Times New Roman" w:cs="Times New Roman"/>
          <w:sz w:val="24"/>
          <w:szCs w:val="24"/>
        </w:rPr>
        <w:t>, and w</w:t>
      </w:r>
      <w:r w:rsidRPr="00083D5F">
        <w:rPr>
          <w:rFonts w:ascii="Times New Roman" w:hAnsi="Times New Roman" w:cs="Times New Roman"/>
          <w:sz w:val="24"/>
          <w:szCs w:val="24"/>
        </w:rPr>
        <w:t>e adopt their measure</w:t>
      </w:r>
      <w:r>
        <w:rPr>
          <w:rFonts w:ascii="Times New Roman" w:hAnsi="Times New Roman" w:cs="Times New Roman"/>
          <w:sz w:val="24"/>
          <w:szCs w:val="24"/>
        </w:rPr>
        <w:t xml:space="preserve"> and calculate the index as follows:</w:t>
      </w:r>
    </w:p>
    <w:p w14:paraId="5FAF1048" w14:textId="77777777" w:rsidR="00EA1B19" w:rsidRPr="00E721B6" w:rsidRDefault="00EA1B19" w:rsidP="00EA1B19">
      <w:pPr>
        <w:spacing w:after="0" w:line="480" w:lineRule="auto"/>
        <w:rPr>
          <w:rFonts w:ascii="Times New Roman" w:hAnsi="Times New Roman" w:cs="Times New Roman"/>
          <w:sz w:val="24"/>
          <w:szCs w:val="24"/>
        </w:rPr>
      </w:pPr>
      <m:oMathPara>
        <m:oMath>
          <m:r>
            <m:rPr>
              <m:sty m:val="p"/>
            </m:rPr>
            <w:rPr>
              <w:rFonts w:ascii="Cambria Math" w:hAnsi="Cambria Math" w:cs="Times New Roman"/>
              <w:sz w:val="24"/>
              <w:szCs w:val="24"/>
            </w:rPr>
            <m:t>Blau index</m:t>
          </m:r>
          <m:r>
            <w:rPr>
              <w:rFonts w:ascii="Cambria Math" w:hAnsi="Cambria Math" w:cs="Times New Roman"/>
              <w:sz w:val="24"/>
              <w:szCs w:val="24"/>
            </w:rPr>
            <m:t>=1-</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organization share of nonprofit expenditures in zip</m:t>
                      </m:r>
                    </m:e>
                  </m:d>
                </m:e>
                <m:sup>
                  <m:r>
                    <w:rPr>
                      <w:rFonts w:ascii="Cambria Math" w:hAnsi="Cambria Math" w:cs="Times New Roman"/>
                      <w:sz w:val="24"/>
                      <w:szCs w:val="24"/>
                    </w:rPr>
                    <m:t>2</m:t>
                  </m:r>
                </m:sup>
              </m:sSup>
            </m:e>
          </m:nary>
        </m:oMath>
      </m:oMathPara>
    </w:p>
    <w:p w14:paraId="5A10720C" w14:textId="77777777" w:rsidR="00EA1B19" w:rsidRPr="00E721B6" w:rsidRDefault="00EA1B19" w:rsidP="00EA1B19">
      <w:pPr>
        <w:spacing w:after="0" w:line="480" w:lineRule="auto"/>
        <w:rPr>
          <w:rFonts w:ascii="Times New Roman" w:hAnsi="Times New Roman" w:cs="Times New Roman"/>
          <w:sz w:val="24"/>
          <w:szCs w:val="24"/>
        </w:rPr>
      </w:pPr>
      <m:oMathPara>
        <m:oMath>
          <m:r>
            <w:rPr>
              <w:rFonts w:ascii="Cambria Math" w:hAnsi="Cambria Math" w:cs="Times New Roman"/>
              <w:sz w:val="24"/>
              <w:szCs w:val="24"/>
            </w:rPr>
            <m:t xml:space="preserve">=1- </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expenditures</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m:rPr>
                                  <m:sty m:val="p"/>
                                </m:rPr>
                                <w:rPr>
                                  <w:rFonts w:ascii="Cambria Math" w:hAnsi="Cambria Math" w:cs="Times New Roman"/>
                                  <w:sz w:val="24"/>
                                  <w:szCs w:val="24"/>
                                </w:rPr>
                                <m:t>total expenditures</m:t>
                              </m:r>
                            </m:e>
                            <m:sub>
                              <m:r>
                                <w:rPr>
                                  <w:rFonts w:ascii="Cambria Math" w:hAnsi="Cambria Math" w:cs="Times New Roman"/>
                                  <w:sz w:val="24"/>
                                  <w:szCs w:val="24"/>
                                </w:rPr>
                                <m:t>j</m:t>
                              </m:r>
                            </m:sub>
                          </m:sSub>
                        </m:den>
                      </m:f>
                    </m:e>
                  </m:d>
                </m:e>
                <m:sup>
                  <m:r>
                    <w:rPr>
                      <w:rFonts w:ascii="Cambria Math" w:hAnsi="Cambria Math" w:cs="Times New Roman"/>
                      <w:sz w:val="24"/>
                      <w:szCs w:val="24"/>
                    </w:rPr>
                    <m:t>2</m:t>
                  </m:r>
                </m:sup>
              </m:sSup>
            </m:e>
          </m:nary>
        </m:oMath>
      </m:oMathPara>
    </w:p>
    <w:p w14:paraId="43F412AC" w14:textId="77777777" w:rsidR="00EA1B19" w:rsidRPr="00083D5F" w:rsidRDefault="00EA1B19" w:rsidP="00EA1B19">
      <w:pPr>
        <w:spacing w:after="0" w:line="480" w:lineRule="auto"/>
        <w:rPr>
          <w:rFonts w:ascii="Times New Roman" w:hAnsi="Times New Roman" w:cs="Times New Roman"/>
          <w:sz w:val="24"/>
          <w:szCs w:val="24"/>
        </w:rPr>
      </w:pPr>
      <w:r w:rsidRPr="00E721B6">
        <w:rPr>
          <w:rFonts w:ascii="Times New Roman" w:hAnsi="Times New Roman" w:cs="Times New Roman"/>
          <w:sz w:val="24"/>
          <w:szCs w:val="24"/>
        </w:rPr>
        <w:lastRenderedPageBreak/>
        <w:t xml:space="preserve">Where </w:t>
      </w:r>
      <m:oMath>
        <m:r>
          <w:rPr>
            <w:rFonts w:ascii="Cambria Math" w:hAnsi="Cambria Math" w:cs="Times New Roman"/>
            <w:sz w:val="24"/>
            <w:szCs w:val="24"/>
          </w:rPr>
          <m:t>i</m:t>
        </m:r>
      </m:oMath>
      <w:r w:rsidRPr="00E721B6">
        <w:rPr>
          <w:rFonts w:ascii="Times New Roman" w:hAnsi="Times New Roman" w:cs="Times New Roman"/>
          <w:sz w:val="24"/>
          <w:szCs w:val="24"/>
        </w:rPr>
        <w:t xml:space="preserve"> represents an individual nonprofit and </w:t>
      </w:r>
      <m:oMath>
        <m:r>
          <w:rPr>
            <w:rFonts w:ascii="Cambria Math" w:hAnsi="Cambria Math" w:cs="Times New Roman"/>
            <w:sz w:val="24"/>
            <w:szCs w:val="24"/>
          </w:rPr>
          <m:t>j</m:t>
        </m:r>
      </m:oMath>
      <w:r w:rsidRPr="00E721B6">
        <w:rPr>
          <w:rFonts w:ascii="Times New Roman" w:hAnsi="Times New Roman" w:cs="Times New Roman"/>
          <w:sz w:val="24"/>
          <w:szCs w:val="24"/>
        </w:rPr>
        <w:t xml:space="preserve"> represents nonprofits aggregated at the zip level.</w:t>
      </w:r>
      <w:r>
        <w:rPr>
          <w:rFonts w:ascii="Times New Roman" w:hAnsi="Times New Roman" w:cs="Times New Roman"/>
          <w:sz w:val="24"/>
          <w:szCs w:val="24"/>
        </w:rPr>
        <w:t xml:space="preserve"> </w:t>
      </w:r>
      <w:r w:rsidRPr="00083D5F">
        <w:rPr>
          <w:rFonts w:ascii="Times New Roman" w:eastAsiaTheme="minorEastAsia" w:hAnsi="Times New Roman" w:cs="Times New Roman"/>
          <w:sz w:val="24"/>
          <w:szCs w:val="24"/>
        </w:rPr>
        <w:t>The index ranges from 0 to 1, with higher scores indicating a more even market (i.e., output is more evenly distributed across nonprofits), and lower scores indicating more oligopolistic market where fewer large organizations account for a large portion of the nonprofit output.</w:t>
      </w:r>
    </w:p>
    <w:p w14:paraId="057D21EF" w14:textId="77777777" w:rsidR="00EA1B19" w:rsidRPr="00083D5F" w:rsidRDefault="00EA1B19" w:rsidP="00EA1B19">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Data and </w:t>
      </w:r>
      <w:r w:rsidRPr="00083D5F">
        <w:rPr>
          <w:rFonts w:ascii="Times New Roman" w:hAnsi="Times New Roman" w:cs="Times New Roman"/>
          <w:b/>
          <w:sz w:val="24"/>
          <w:szCs w:val="24"/>
        </w:rPr>
        <w:t>Method</w:t>
      </w:r>
      <w:r>
        <w:rPr>
          <w:rFonts w:ascii="Times New Roman" w:hAnsi="Times New Roman" w:cs="Times New Roman"/>
          <w:b/>
          <w:sz w:val="24"/>
          <w:szCs w:val="24"/>
        </w:rPr>
        <w:t>ology</w:t>
      </w:r>
    </w:p>
    <w:p w14:paraId="2C8B924F" w14:textId="77777777" w:rsidR="00EA1B19"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Table 1 displays summary descriptive statistics </w:t>
      </w:r>
      <w:r>
        <w:rPr>
          <w:rFonts w:ascii="Times New Roman" w:hAnsi="Times New Roman" w:cs="Times New Roman"/>
          <w:sz w:val="24"/>
          <w:szCs w:val="24"/>
        </w:rPr>
        <w:t>for total</w:t>
      </w:r>
      <w:r w:rsidRPr="00083D5F">
        <w:rPr>
          <w:rFonts w:ascii="Times New Roman" w:hAnsi="Times New Roman" w:cs="Times New Roman"/>
          <w:sz w:val="24"/>
          <w:szCs w:val="24"/>
        </w:rPr>
        <w:t xml:space="preserve"> nonprofit supply </w:t>
      </w:r>
      <w:r>
        <w:rPr>
          <w:rFonts w:ascii="Times New Roman" w:hAnsi="Times New Roman" w:cs="Times New Roman"/>
          <w:sz w:val="24"/>
          <w:szCs w:val="24"/>
        </w:rPr>
        <w:t>and</w:t>
      </w:r>
      <w:r w:rsidRPr="00083D5F">
        <w:rPr>
          <w:rFonts w:ascii="Times New Roman" w:hAnsi="Times New Roman" w:cs="Times New Roman"/>
          <w:sz w:val="24"/>
          <w:szCs w:val="24"/>
        </w:rPr>
        <w:t xml:space="preserve"> for </w:t>
      </w:r>
      <w:r>
        <w:rPr>
          <w:rFonts w:ascii="Times New Roman" w:hAnsi="Times New Roman" w:cs="Times New Roman"/>
          <w:sz w:val="24"/>
          <w:szCs w:val="24"/>
        </w:rPr>
        <w:t>nonprofit supply in the health and arts subsectors</w:t>
      </w:r>
      <w:r w:rsidRPr="00083D5F">
        <w:rPr>
          <w:rFonts w:ascii="Times New Roman" w:hAnsi="Times New Roman" w:cs="Times New Roman"/>
          <w:sz w:val="24"/>
          <w:szCs w:val="24"/>
        </w:rPr>
        <w:t xml:space="preserve">. The values displayed in the table are </w:t>
      </w:r>
      <w:r>
        <w:rPr>
          <w:rFonts w:ascii="Times New Roman" w:hAnsi="Times New Roman" w:cs="Times New Roman"/>
          <w:sz w:val="24"/>
          <w:szCs w:val="24"/>
        </w:rPr>
        <w:t xml:space="preserve">presented </w:t>
      </w:r>
      <w:r w:rsidRPr="00083D5F">
        <w:rPr>
          <w:rFonts w:ascii="Times New Roman" w:hAnsi="Times New Roman" w:cs="Times New Roman"/>
          <w:sz w:val="24"/>
          <w:szCs w:val="24"/>
        </w:rPr>
        <w:t xml:space="preserve">prior to the natural logarithm transformation and suggest, as expected, that total nonprofit supply is the largest, and that the health </w:t>
      </w:r>
      <w:r>
        <w:rPr>
          <w:rFonts w:ascii="Times New Roman" w:hAnsi="Times New Roman" w:cs="Times New Roman"/>
          <w:sz w:val="24"/>
          <w:szCs w:val="24"/>
        </w:rPr>
        <w:t>subsector</w:t>
      </w:r>
      <w:r w:rsidRPr="00083D5F">
        <w:rPr>
          <w:rFonts w:ascii="Times New Roman" w:hAnsi="Times New Roman" w:cs="Times New Roman"/>
          <w:sz w:val="24"/>
          <w:szCs w:val="24"/>
        </w:rPr>
        <w:t xml:space="preserve"> dominates much of that supply. Also as expected, arts constitute a much smaller segment. These values demonstrate the necessity for a transformation prior to model fit due to skewness. Choropleth maps of the transformed variables are available in </w:t>
      </w:r>
      <w:r>
        <w:rPr>
          <w:rFonts w:ascii="Times New Roman" w:hAnsi="Times New Roman" w:cs="Times New Roman"/>
          <w:sz w:val="24"/>
          <w:szCs w:val="24"/>
        </w:rPr>
        <w:t>s</w:t>
      </w:r>
      <w:r w:rsidRPr="00083D5F">
        <w:rPr>
          <w:rFonts w:ascii="Times New Roman" w:hAnsi="Times New Roman" w:cs="Times New Roman"/>
          <w:sz w:val="24"/>
          <w:szCs w:val="24"/>
        </w:rPr>
        <w:t xml:space="preserve">upplemental </w:t>
      </w:r>
      <w:r>
        <w:rPr>
          <w:rFonts w:ascii="Times New Roman" w:hAnsi="Times New Roman" w:cs="Times New Roman"/>
          <w:sz w:val="24"/>
          <w:szCs w:val="24"/>
        </w:rPr>
        <w:t>f</w:t>
      </w:r>
      <w:r w:rsidRPr="00083D5F">
        <w:rPr>
          <w:rFonts w:ascii="Times New Roman" w:hAnsi="Times New Roman" w:cs="Times New Roman"/>
          <w:sz w:val="24"/>
          <w:szCs w:val="24"/>
        </w:rPr>
        <w:t xml:space="preserve">igure </w:t>
      </w:r>
      <w:r>
        <w:rPr>
          <w:rFonts w:ascii="Times New Roman" w:hAnsi="Times New Roman" w:cs="Times New Roman"/>
          <w:sz w:val="24"/>
          <w:szCs w:val="24"/>
        </w:rPr>
        <w:t>S</w:t>
      </w:r>
      <w:r w:rsidRPr="00083D5F">
        <w:rPr>
          <w:rFonts w:ascii="Times New Roman" w:hAnsi="Times New Roman" w:cs="Times New Roman"/>
          <w:sz w:val="24"/>
          <w:szCs w:val="24"/>
        </w:rPr>
        <w:t>4.</w:t>
      </w:r>
    </w:p>
    <w:p w14:paraId="0178BB4B" w14:textId="77777777" w:rsidR="00EA1B19" w:rsidRDefault="00EA1B19" w:rsidP="00EA1B19">
      <w:pPr>
        <w:spacing w:after="0" w:line="240" w:lineRule="auto"/>
        <w:rPr>
          <w:rFonts w:ascii="Times New Roman" w:hAnsi="Times New Roman" w:cs="Times New Roman"/>
          <w:sz w:val="24"/>
          <w:szCs w:val="24"/>
        </w:rPr>
      </w:pPr>
    </w:p>
    <w:p w14:paraId="0FB5D084" w14:textId="77777777" w:rsidR="00EA1B19" w:rsidRPr="00083D5F" w:rsidRDefault="00EA1B19" w:rsidP="00EA1B19">
      <w:pPr>
        <w:spacing w:after="0" w:line="240" w:lineRule="auto"/>
        <w:rPr>
          <w:rFonts w:ascii="Times New Roman" w:hAnsi="Times New Roman" w:cs="Times New Roman"/>
          <w:sz w:val="24"/>
          <w:szCs w:val="24"/>
        </w:rPr>
      </w:pPr>
      <w:r w:rsidRPr="00083D5F">
        <w:rPr>
          <w:rFonts w:ascii="Times New Roman" w:hAnsi="Times New Roman" w:cs="Times New Roman"/>
          <w:sz w:val="24"/>
          <w:szCs w:val="24"/>
        </w:rPr>
        <w:t xml:space="preserve">Table 1: Nonprofit supply by nonprofit </w:t>
      </w:r>
      <w:r>
        <w:rPr>
          <w:rFonts w:ascii="Times New Roman" w:hAnsi="Times New Roman" w:cs="Times New Roman"/>
          <w:sz w:val="24"/>
          <w:szCs w:val="24"/>
        </w:rPr>
        <w:t>subsector</w:t>
      </w:r>
      <w:r w:rsidRPr="00083D5F">
        <w:rPr>
          <w:rFonts w:ascii="Times New Roman" w:hAnsi="Times New Roman" w:cs="Times New Roman"/>
          <w:sz w:val="24"/>
          <w:szCs w:val="24"/>
        </w:rPr>
        <w:t xml:space="preserve"> in USD</w:t>
      </w:r>
      <w:r>
        <w:rPr>
          <w:rFonts w:ascii="Times New Roman" w:hAnsi="Times New Roman" w:cs="Times New Roman"/>
          <w:sz w:val="24"/>
          <w:szCs w:val="24"/>
        </w:rPr>
        <w:t xml:space="preserve"> across all 770 NC zip codes</w:t>
      </w:r>
    </w:p>
    <w:tbl>
      <w:tblPr>
        <w:tblW w:w="0" w:type="auto"/>
        <w:tblLook w:val="04A0" w:firstRow="1" w:lastRow="0" w:firstColumn="1" w:lastColumn="0" w:noHBand="0" w:noVBand="1"/>
      </w:tblPr>
      <w:tblGrid>
        <w:gridCol w:w="2006"/>
        <w:gridCol w:w="1932"/>
        <w:gridCol w:w="1862"/>
        <w:gridCol w:w="1775"/>
        <w:gridCol w:w="1775"/>
      </w:tblGrid>
      <w:tr w:rsidR="00EA1B19" w:rsidRPr="00083D5F" w14:paraId="3FCFCCFF" w14:textId="77777777" w:rsidTr="00AA0DDD">
        <w:tc>
          <w:tcPr>
            <w:tcW w:w="2006" w:type="dxa"/>
            <w:tcBorders>
              <w:top w:val="single" w:sz="4" w:space="0" w:color="auto"/>
              <w:bottom w:val="single" w:sz="4" w:space="0" w:color="auto"/>
            </w:tcBorders>
          </w:tcPr>
          <w:p w14:paraId="4D0D0822"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Variable</w:t>
            </w:r>
          </w:p>
        </w:tc>
        <w:tc>
          <w:tcPr>
            <w:tcW w:w="1932" w:type="dxa"/>
            <w:tcBorders>
              <w:top w:val="single" w:sz="4" w:space="0" w:color="auto"/>
              <w:bottom w:val="single" w:sz="4" w:space="0" w:color="auto"/>
            </w:tcBorders>
          </w:tcPr>
          <w:p w14:paraId="07FDDDD4"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Mean</w:t>
            </w:r>
          </w:p>
        </w:tc>
        <w:tc>
          <w:tcPr>
            <w:tcW w:w="1862" w:type="dxa"/>
            <w:tcBorders>
              <w:top w:val="single" w:sz="4" w:space="0" w:color="auto"/>
              <w:bottom w:val="single" w:sz="4" w:space="0" w:color="auto"/>
            </w:tcBorders>
          </w:tcPr>
          <w:p w14:paraId="3133C52A"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SD</w:t>
            </w:r>
          </w:p>
        </w:tc>
        <w:tc>
          <w:tcPr>
            <w:tcW w:w="1775" w:type="dxa"/>
            <w:tcBorders>
              <w:top w:val="single" w:sz="4" w:space="0" w:color="auto"/>
              <w:bottom w:val="single" w:sz="4" w:space="0" w:color="auto"/>
            </w:tcBorders>
          </w:tcPr>
          <w:p w14:paraId="2A1FAA1C"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Minimum</w:t>
            </w:r>
          </w:p>
        </w:tc>
        <w:tc>
          <w:tcPr>
            <w:tcW w:w="1775" w:type="dxa"/>
            <w:tcBorders>
              <w:top w:val="single" w:sz="4" w:space="0" w:color="auto"/>
              <w:bottom w:val="single" w:sz="4" w:space="0" w:color="auto"/>
            </w:tcBorders>
          </w:tcPr>
          <w:p w14:paraId="1BCDC373"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Maximum</w:t>
            </w:r>
          </w:p>
        </w:tc>
      </w:tr>
      <w:tr w:rsidR="00EA1B19" w:rsidRPr="00083D5F" w14:paraId="4942C27E" w14:textId="77777777" w:rsidTr="00AA0DDD">
        <w:tc>
          <w:tcPr>
            <w:tcW w:w="2006" w:type="dxa"/>
            <w:tcBorders>
              <w:top w:val="single" w:sz="4" w:space="0" w:color="auto"/>
            </w:tcBorders>
          </w:tcPr>
          <w:p w14:paraId="21F831A6"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Total</w:t>
            </w:r>
            <w:r>
              <w:rPr>
                <w:rFonts w:ascii="Times New Roman" w:hAnsi="Times New Roman" w:cs="Times New Roman"/>
                <w:sz w:val="24"/>
                <w:szCs w:val="24"/>
              </w:rPr>
              <w:t xml:space="preserve"> Nonprofit Expenses</w:t>
            </w:r>
          </w:p>
        </w:tc>
        <w:tc>
          <w:tcPr>
            <w:tcW w:w="1932" w:type="dxa"/>
            <w:tcBorders>
              <w:top w:val="single" w:sz="4" w:space="0" w:color="auto"/>
            </w:tcBorders>
          </w:tcPr>
          <w:p w14:paraId="49956D12" w14:textId="77777777" w:rsidR="00EA1B19" w:rsidRPr="00083D5F" w:rsidRDefault="00EA1B19" w:rsidP="00AA0DDD">
            <w:pPr>
              <w:contextualSpacing/>
              <w:rPr>
                <w:rFonts w:ascii="Times New Roman" w:hAnsi="Times New Roman" w:cs="Times New Roman"/>
                <w:sz w:val="24"/>
                <w:szCs w:val="24"/>
                <w:vertAlign w:val="superscript"/>
              </w:rPr>
            </w:pPr>
            <w:r w:rsidRPr="00083D5F">
              <w:rPr>
                <w:rFonts w:ascii="Times New Roman" w:hAnsi="Times New Roman" w:cs="Times New Roman"/>
                <w:sz w:val="24"/>
                <w:szCs w:val="24"/>
              </w:rPr>
              <w:t>5.4 x 10</w:t>
            </w:r>
            <w:r w:rsidRPr="00083D5F">
              <w:rPr>
                <w:rFonts w:ascii="Times New Roman" w:hAnsi="Times New Roman" w:cs="Times New Roman"/>
                <w:sz w:val="24"/>
                <w:szCs w:val="24"/>
                <w:vertAlign w:val="superscript"/>
              </w:rPr>
              <w:t>7</w:t>
            </w:r>
          </w:p>
        </w:tc>
        <w:tc>
          <w:tcPr>
            <w:tcW w:w="1862" w:type="dxa"/>
            <w:tcBorders>
              <w:top w:val="single" w:sz="4" w:space="0" w:color="auto"/>
            </w:tcBorders>
          </w:tcPr>
          <w:p w14:paraId="0486151F"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3.3 x 10</w:t>
            </w:r>
            <w:r w:rsidRPr="00083D5F">
              <w:rPr>
                <w:rFonts w:ascii="Times New Roman" w:hAnsi="Times New Roman" w:cs="Times New Roman"/>
                <w:sz w:val="24"/>
                <w:szCs w:val="24"/>
                <w:vertAlign w:val="superscript"/>
              </w:rPr>
              <w:t>8</w:t>
            </w:r>
          </w:p>
        </w:tc>
        <w:tc>
          <w:tcPr>
            <w:tcW w:w="1775" w:type="dxa"/>
            <w:tcBorders>
              <w:top w:val="single" w:sz="4" w:space="0" w:color="auto"/>
            </w:tcBorders>
          </w:tcPr>
          <w:p w14:paraId="26E507FA"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0</w:t>
            </w:r>
          </w:p>
        </w:tc>
        <w:tc>
          <w:tcPr>
            <w:tcW w:w="1775" w:type="dxa"/>
            <w:tcBorders>
              <w:top w:val="single" w:sz="4" w:space="0" w:color="auto"/>
            </w:tcBorders>
          </w:tcPr>
          <w:p w14:paraId="3B6FC0C3"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6.4 x 10</w:t>
            </w:r>
            <w:r w:rsidRPr="00083D5F">
              <w:rPr>
                <w:rFonts w:ascii="Times New Roman" w:hAnsi="Times New Roman" w:cs="Times New Roman"/>
                <w:sz w:val="24"/>
                <w:szCs w:val="24"/>
                <w:vertAlign w:val="superscript"/>
              </w:rPr>
              <w:t>9</w:t>
            </w:r>
          </w:p>
        </w:tc>
      </w:tr>
      <w:tr w:rsidR="00EA1B19" w:rsidRPr="00083D5F" w14:paraId="616DB9BE" w14:textId="77777777" w:rsidTr="00AA0DDD">
        <w:tc>
          <w:tcPr>
            <w:tcW w:w="2006" w:type="dxa"/>
          </w:tcPr>
          <w:p w14:paraId="212C4AD2"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Health</w:t>
            </w:r>
            <w:r>
              <w:rPr>
                <w:rFonts w:ascii="Times New Roman" w:hAnsi="Times New Roman" w:cs="Times New Roman"/>
                <w:sz w:val="24"/>
                <w:szCs w:val="24"/>
              </w:rPr>
              <w:t xml:space="preserve"> Subsector Expenses</w:t>
            </w:r>
          </w:p>
        </w:tc>
        <w:tc>
          <w:tcPr>
            <w:tcW w:w="1932" w:type="dxa"/>
          </w:tcPr>
          <w:p w14:paraId="3B3F151C"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2.9 x 10</w:t>
            </w:r>
            <w:r w:rsidRPr="00083D5F">
              <w:rPr>
                <w:rFonts w:ascii="Times New Roman" w:hAnsi="Times New Roman" w:cs="Times New Roman"/>
                <w:sz w:val="24"/>
                <w:szCs w:val="24"/>
                <w:vertAlign w:val="superscript"/>
              </w:rPr>
              <w:t>7</w:t>
            </w:r>
          </w:p>
        </w:tc>
        <w:tc>
          <w:tcPr>
            <w:tcW w:w="1862" w:type="dxa"/>
          </w:tcPr>
          <w:p w14:paraId="7E199D33"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2.7 x 10</w:t>
            </w:r>
            <w:r w:rsidRPr="00083D5F">
              <w:rPr>
                <w:rFonts w:ascii="Times New Roman" w:hAnsi="Times New Roman" w:cs="Times New Roman"/>
                <w:sz w:val="24"/>
                <w:szCs w:val="24"/>
                <w:vertAlign w:val="superscript"/>
              </w:rPr>
              <w:t>8</w:t>
            </w:r>
          </w:p>
        </w:tc>
        <w:tc>
          <w:tcPr>
            <w:tcW w:w="1775" w:type="dxa"/>
          </w:tcPr>
          <w:p w14:paraId="37B0990D"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0</w:t>
            </w:r>
          </w:p>
        </w:tc>
        <w:tc>
          <w:tcPr>
            <w:tcW w:w="1775" w:type="dxa"/>
          </w:tcPr>
          <w:p w14:paraId="0CEC5461"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6.3 x 10</w:t>
            </w:r>
            <w:r w:rsidRPr="00083D5F">
              <w:rPr>
                <w:rFonts w:ascii="Times New Roman" w:hAnsi="Times New Roman" w:cs="Times New Roman"/>
                <w:sz w:val="24"/>
                <w:szCs w:val="24"/>
                <w:vertAlign w:val="superscript"/>
              </w:rPr>
              <w:t>9</w:t>
            </w:r>
          </w:p>
        </w:tc>
      </w:tr>
      <w:tr w:rsidR="00EA1B19" w:rsidRPr="00083D5F" w14:paraId="18A8BBC1" w14:textId="77777777" w:rsidTr="00AA0DDD">
        <w:tc>
          <w:tcPr>
            <w:tcW w:w="2006" w:type="dxa"/>
            <w:tcBorders>
              <w:bottom w:val="single" w:sz="4" w:space="0" w:color="auto"/>
            </w:tcBorders>
          </w:tcPr>
          <w:p w14:paraId="497BAA2E"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Arts</w:t>
            </w:r>
            <w:r>
              <w:rPr>
                <w:rFonts w:ascii="Times New Roman" w:hAnsi="Times New Roman" w:cs="Times New Roman"/>
                <w:sz w:val="24"/>
                <w:szCs w:val="24"/>
              </w:rPr>
              <w:t xml:space="preserve"> Subsector Expenses</w:t>
            </w:r>
          </w:p>
        </w:tc>
        <w:tc>
          <w:tcPr>
            <w:tcW w:w="1932" w:type="dxa"/>
            <w:tcBorders>
              <w:bottom w:val="single" w:sz="4" w:space="0" w:color="auto"/>
            </w:tcBorders>
          </w:tcPr>
          <w:p w14:paraId="283C7FBA"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5.3 x 10</w:t>
            </w:r>
            <w:r w:rsidRPr="00083D5F">
              <w:rPr>
                <w:rFonts w:ascii="Times New Roman" w:hAnsi="Times New Roman" w:cs="Times New Roman"/>
                <w:sz w:val="24"/>
                <w:szCs w:val="24"/>
                <w:vertAlign w:val="superscript"/>
              </w:rPr>
              <w:t>5</w:t>
            </w:r>
          </w:p>
        </w:tc>
        <w:tc>
          <w:tcPr>
            <w:tcW w:w="1862" w:type="dxa"/>
            <w:tcBorders>
              <w:bottom w:val="single" w:sz="4" w:space="0" w:color="auto"/>
            </w:tcBorders>
          </w:tcPr>
          <w:p w14:paraId="33FCD451"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2.7 x 10</w:t>
            </w:r>
            <w:r w:rsidRPr="00083D5F">
              <w:rPr>
                <w:rFonts w:ascii="Times New Roman" w:hAnsi="Times New Roman" w:cs="Times New Roman"/>
                <w:sz w:val="24"/>
                <w:szCs w:val="24"/>
                <w:vertAlign w:val="superscript"/>
              </w:rPr>
              <w:t>6</w:t>
            </w:r>
          </w:p>
        </w:tc>
        <w:tc>
          <w:tcPr>
            <w:tcW w:w="1775" w:type="dxa"/>
            <w:tcBorders>
              <w:bottom w:val="single" w:sz="4" w:space="0" w:color="auto"/>
            </w:tcBorders>
          </w:tcPr>
          <w:p w14:paraId="056A07CA"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0</w:t>
            </w:r>
          </w:p>
        </w:tc>
        <w:tc>
          <w:tcPr>
            <w:tcW w:w="1775" w:type="dxa"/>
            <w:tcBorders>
              <w:bottom w:val="single" w:sz="4" w:space="0" w:color="auto"/>
            </w:tcBorders>
          </w:tcPr>
          <w:p w14:paraId="4FB9741F" w14:textId="77777777" w:rsidR="00EA1B19" w:rsidRPr="00083D5F" w:rsidRDefault="00EA1B19" w:rsidP="00AA0DDD">
            <w:pPr>
              <w:contextualSpacing/>
              <w:rPr>
                <w:rFonts w:ascii="Times New Roman" w:hAnsi="Times New Roman" w:cs="Times New Roman"/>
                <w:sz w:val="24"/>
                <w:szCs w:val="24"/>
              </w:rPr>
            </w:pPr>
            <w:r w:rsidRPr="00083D5F">
              <w:rPr>
                <w:rFonts w:ascii="Times New Roman" w:hAnsi="Times New Roman" w:cs="Times New Roman"/>
                <w:sz w:val="24"/>
                <w:szCs w:val="24"/>
              </w:rPr>
              <w:t>5.7 x 10</w:t>
            </w:r>
            <w:r w:rsidRPr="00083D5F">
              <w:rPr>
                <w:rFonts w:ascii="Times New Roman" w:hAnsi="Times New Roman" w:cs="Times New Roman"/>
                <w:sz w:val="24"/>
                <w:szCs w:val="24"/>
                <w:vertAlign w:val="superscript"/>
              </w:rPr>
              <w:t>7</w:t>
            </w:r>
          </w:p>
        </w:tc>
      </w:tr>
    </w:tbl>
    <w:p w14:paraId="1C37A392" w14:textId="77777777" w:rsidR="00EA1B19" w:rsidRDefault="00EA1B19" w:rsidP="00EA1B19">
      <w:pPr>
        <w:spacing w:after="0" w:line="240" w:lineRule="auto"/>
        <w:rPr>
          <w:rFonts w:ascii="Times New Roman" w:hAnsi="Times New Roman" w:cs="Times New Roman"/>
        </w:rPr>
      </w:pPr>
      <w:r w:rsidRPr="006D332E">
        <w:rPr>
          <w:rFonts w:ascii="Times New Roman" w:hAnsi="Times New Roman" w:cs="Times New Roman"/>
          <w:i/>
          <w:iCs/>
        </w:rPr>
        <w:t>Notes:</w:t>
      </w:r>
      <w:r w:rsidRPr="006D332E">
        <w:rPr>
          <w:rFonts w:ascii="Times New Roman" w:hAnsi="Times New Roman" w:cs="Times New Roman"/>
        </w:rPr>
        <w:t xml:space="preserve"> </w:t>
      </w:r>
      <w:r>
        <w:rPr>
          <w:rFonts w:ascii="Times New Roman" w:hAnsi="Times New Roman" w:cs="Times New Roman"/>
        </w:rPr>
        <w:t>Values</w:t>
      </w:r>
      <w:r w:rsidRPr="006D332E">
        <w:rPr>
          <w:rFonts w:ascii="Times New Roman" w:hAnsi="Times New Roman" w:cs="Times New Roman"/>
        </w:rPr>
        <w:t xml:space="preserve"> are presented before natural log transformation. </w:t>
      </w:r>
      <w:r>
        <w:rPr>
          <w:rFonts w:ascii="Times New Roman" w:hAnsi="Times New Roman" w:cs="Times New Roman"/>
        </w:rPr>
        <w:t>Variables</w:t>
      </w:r>
      <w:r w:rsidRPr="006D332E">
        <w:rPr>
          <w:rFonts w:ascii="Times New Roman" w:hAnsi="Times New Roman" w:cs="Times New Roman"/>
        </w:rPr>
        <w:t xml:space="preserve"> are calculated by adding all expenses for all nonprofit organizations</w:t>
      </w:r>
      <w:r>
        <w:rPr>
          <w:rFonts w:ascii="Times New Roman" w:hAnsi="Times New Roman" w:cs="Times New Roman"/>
        </w:rPr>
        <w:t xml:space="preserve">, health subsector expenses, and arts subsector expenses </w:t>
      </w:r>
      <w:r w:rsidRPr="006D332E">
        <w:rPr>
          <w:rFonts w:ascii="Times New Roman" w:hAnsi="Times New Roman" w:cs="Times New Roman"/>
        </w:rPr>
        <w:t>in a zip code</w:t>
      </w:r>
      <w:r>
        <w:rPr>
          <w:rFonts w:ascii="Times New Roman" w:hAnsi="Times New Roman" w:cs="Times New Roman"/>
        </w:rPr>
        <w:t>.</w:t>
      </w:r>
      <w:r w:rsidRPr="006D332E">
        <w:rPr>
          <w:rFonts w:ascii="Times New Roman" w:hAnsi="Times New Roman" w:cs="Times New Roman"/>
        </w:rPr>
        <w:t xml:space="preserve"> </w:t>
      </w:r>
      <w:r>
        <w:rPr>
          <w:rFonts w:ascii="Times New Roman" w:hAnsi="Times New Roman" w:cs="Times New Roman"/>
        </w:rPr>
        <w:t>Data are sourced from the National Center for Charitable Statistics’ 2015 Core files.</w:t>
      </w:r>
    </w:p>
    <w:p w14:paraId="1D8AE452" w14:textId="77777777" w:rsidR="00EA1B19" w:rsidRDefault="00EA1B19" w:rsidP="00EA1B19">
      <w:pPr>
        <w:spacing w:after="0" w:line="480" w:lineRule="auto"/>
        <w:rPr>
          <w:rFonts w:ascii="Times New Roman" w:hAnsi="Times New Roman" w:cs="Times New Roman"/>
        </w:rPr>
      </w:pPr>
    </w:p>
    <w:p w14:paraId="7465CDD1" w14:textId="77777777" w:rsidR="00EA1B19" w:rsidRPr="00083D5F" w:rsidRDefault="00EA1B19" w:rsidP="00EA1B19">
      <w:pPr>
        <w:spacing w:after="0" w:line="480" w:lineRule="auto"/>
        <w:rPr>
          <w:rFonts w:ascii="Times New Roman" w:hAnsi="Times New Roman" w:cs="Times New Roman"/>
          <w:b/>
          <w:i/>
          <w:sz w:val="24"/>
          <w:szCs w:val="24"/>
        </w:rPr>
      </w:pPr>
      <w:r w:rsidRPr="00083D5F">
        <w:rPr>
          <w:rFonts w:ascii="Times New Roman" w:hAnsi="Times New Roman" w:cs="Times New Roman"/>
          <w:b/>
          <w:i/>
          <w:sz w:val="24"/>
          <w:szCs w:val="24"/>
        </w:rPr>
        <w:t>Dealing with missing information</w:t>
      </w:r>
    </w:p>
    <w:p w14:paraId="0095B554" w14:textId="77777777" w:rsidR="00EA1B19" w:rsidRPr="00083D5F"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All variables, aside from the number of for-profit employees, had some level of missing data (see the specific amounts and distributions in </w:t>
      </w:r>
      <w:r>
        <w:rPr>
          <w:rFonts w:ascii="Times New Roman" w:hAnsi="Times New Roman" w:cs="Times New Roman"/>
          <w:sz w:val="24"/>
          <w:szCs w:val="24"/>
        </w:rPr>
        <w:t>s</w:t>
      </w:r>
      <w:r w:rsidRPr="00083D5F">
        <w:rPr>
          <w:rFonts w:ascii="Times New Roman" w:hAnsi="Times New Roman" w:cs="Times New Roman"/>
          <w:sz w:val="24"/>
          <w:szCs w:val="24"/>
        </w:rPr>
        <w:t xml:space="preserve">upplemental </w:t>
      </w:r>
      <w:r>
        <w:rPr>
          <w:rFonts w:ascii="Times New Roman" w:hAnsi="Times New Roman" w:cs="Times New Roman"/>
          <w:sz w:val="24"/>
          <w:szCs w:val="24"/>
        </w:rPr>
        <w:t>t</w:t>
      </w:r>
      <w:r w:rsidRPr="00083D5F">
        <w:rPr>
          <w:rFonts w:ascii="Times New Roman" w:hAnsi="Times New Roman" w:cs="Times New Roman"/>
          <w:sz w:val="24"/>
          <w:szCs w:val="24"/>
        </w:rPr>
        <w:t xml:space="preserve">able </w:t>
      </w:r>
      <w:r>
        <w:rPr>
          <w:rFonts w:ascii="Times New Roman" w:hAnsi="Times New Roman" w:cs="Times New Roman"/>
          <w:sz w:val="24"/>
          <w:szCs w:val="24"/>
        </w:rPr>
        <w:t>S</w:t>
      </w:r>
      <w:r w:rsidRPr="00083D5F">
        <w:rPr>
          <w:rFonts w:ascii="Times New Roman" w:hAnsi="Times New Roman" w:cs="Times New Roman"/>
          <w:sz w:val="24"/>
          <w:szCs w:val="24"/>
        </w:rPr>
        <w:t xml:space="preserve">1 and </w:t>
      </w:r>
      <w:r>
        <w:rPr>
          <w:rFonts w:ascii="Times New Roman" w:hAnsi="Times New Roman" w:cs="Times New Roman"/>
          <w:sz w:val="24"/>
          <w:szCs w:val="24"/>
        </w:rPr>
        <w:t>f</w:t>
      </w:r>
      <w:r w:rsidRPr="00083D5F">
        <w:rPr>
          <w:rFonts w:ascii="Times New Roman" w:hAnsi="Times New Roman" w:cs="Times New Roman"/>
          <w:sz w:val="24"/>
          <w:szCs w:val="24"/>
        </w:rPr>
        <w:t>igure 2</w:t>
      </w:r>
      <w:r>
        <w:rPr>
          <w:rFonts w:ascii="Times New Roman" w:hAnsi="Times New Roman" w:cs="Times New Roman"/>
          <w:sz w:val="24"/>
          <w:szCs w:val="24"/>
        </w:rPr>
        <w:t>S</w:t>
      </w:r>
      <w:r w:rsidRPr="00083D5F">
        <w:rPr>
          <w:rFonts w:ascii="Times New Roman" w:hAnsi="Times New Roman" w:cs="Times New Roman"/>
          <w:sz w:val="24"/>
          <w:szCs w:val="24"/>
        </w:rPr>
        <w:t xml:space="preserve">). 632 of </w:t>
      </w:r>
      <w:r w:rsidRPr="00083D5F">
        <w:rPr>
          <w:rFonts w:ascii="Times New Roman" w:hAnsi="Times New Roman" w:cs="Times New Roman"/>
          <w:sz w:val="24"/>
          <w:szCs w:val="24"/>
        </w:rPr>
        <w:lastRenderedPageBreak/>
        <w:t xml:space="preserve">the 770 (82.1%) NC zip codes have no missing information, and of those with missing, most were missing in more than one variable. While the missing data appear spatially random across the state, relationships with the outcomes were detected such that areas with missing information have significantly less nonprofit supply, after imputation. </w:t>
      </w:r>
      <w:r>
        <w:rPr>
          <w:rFonts w:ascii="Times New Roman" w:hAnsi="Times New Roman" w:cs="Times New Roman"/>
          <w:sz w:val="24"/>
          <w:szCs w:val="24"/>
        </w:rPr>
        <w:t>The amount of missing data and the spatial patterns in</w:t>
      </w:r>
      <w:r w:rsidRPr="00083D5F">
        <w:rPr>
          <w:rFonts w:ascii="Times New Roman" w:hAnsi="Times New Roman" w:cs="Times New Roman"/>
          <w:sz w:val="24"/>
          <w:szCs w:val="24"/>
        </w:rPr>
        <w:t xml:space="preserve"> </w:t>
      </w:r>
      <w:r>
        <w:rPr>
          <w:rFonts w:ascii="Times New Roman" w:hAnsi="Times New Roman" w:cs="Times New Roman"/>
          <w:sz w:val="24"/>
          <w:szCs w:val="24"/>
        </w:rPr>
        <w:t>those</w:t>
      </w:r>
      <w:r w:rsidRPr="00083D5F">
        <w:rPr>
          <w:rFonts w:ascii="Times New Roman" w:hAnsi="Times New Roman" w:cs="Times New Roman"/>
          <w:sz w:val="24"/>
          <w:szCs w:val="24"/>
        </w:rPr>
        <w:t xml:space="preserve"> </w:t>
      </w:r>
      <w:r>
        <w:rPr>
          <w:rFonts w:ascii="Times New Roman" w:hAnsi="Times New Roman" w:cs="Times New Roman"/>
          <w:sz w:val="24"/>
          <w:szCs w:val="24"/>
        </w:rPr>
        <w:t>missing d</w:t>
      </w:r>
      <w:r w:rsidRPr="00083D5F">
        <w:rPr>
          <w:rFonts w:ascii="Times New Roman" w:hAnsi="Times New Roman" w:cs="Times New Roman"/>
          <w:sz w:val="24"/>
          <w:szCs w:val="24"/>
        </w:rPr>
        <w:t xml:space="preserve">ata are the same across all </w:t>
      </w:r>
      <w:r>
        <w:rPr>
          <w:rFonts w:ascii="Times New Roman" w:hAnsi="Times New Roman" w:cs="Times New Roman"/>
          <w:sz w:val="24"/>
          <w:szCs w:val="24"/>
        </w:rPr>
        <w:t>three models – i.e., for the total nonprofit sector as well as in the health and arts subsectors</w:t>
      </w:r>
      <w:r w:rsidRPr="00083D5F">
        <w:rPr>
          <w:rFonts w:ascii="Times New Roman" w:hAnsi="Times New Roman" w:cs="Times New Roman"/>
          <w:sz w:val="24"/>
          <w:szCs w:val="24"/>
        </w:rPr>
        <w:t>.</w:t>
      </w:r>
    </w:p>
    <w:p w14:paraId="0A5A084C" w14:textId="48DA3C69" w:rsidR="00EA1B19" w:rsidRPr="00083D5F"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To deal with the missing data, we performed a method of imputation whereby missing values were replaced with the median value of the available first-degree neighboring zip codes</w:t>
      </w:r>
      <w:r>
        <w:rPr>
          <w:rFonts w:ascii="Times New Roman" w:hAnsi="Times New Roman" w:cs="Times New Roman"/>
          <w:sz w:val="24"/>
          <w:szCs w:val="24"/>
        </w:rPr>
        <w:t xml:space="preserve"> – i.e., zip codes that share a common border</w:t>
      </w:r>
      <w:r w:rsidRPr="00083D5F">
        <w:rPr>
          <w:rFonts w:ascii="Times New Roman" w:hAnsi="Times New Roman" w:cs="Times New Roman"/>
          <w:sz w:val="24"/>
          <w:szCs w:val="24"/>
        </w:rPr>
        <w:t xml:space="preserve">. We consider this approach an appropriate method because of the strong spatial autocorrelation present in all variables. We assessed this spatial autocorrelation via the Moran’s I statistic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{"citationItems":[{"id":"ITEM-1","itemData":{"DOI":"10.2307/2332142","ISSN":"00063444","author":[{"dropping-particle":"","family":"Moran","given":"P. A. P.","non-dropping-particle":"","parse-names":false,"suffix":""}],"container-title":"Biometrika","id":"ITEM-1","issue":"1/2","issued":{"date-parts":[["1950","6"]]},"page":"17","title":"Notes on Continuous Stochastic Phenomena","type":"article-journal","volume":"37"},"uris":["http://www.mendeley.com/documents/?uuid=085ad614-53fa-4472-bb77-a7a6a17f9d66"]},{"id":"ITEM-2","itemData":{"DOI":"10.1111/j.1538-4632.2007.00708.x","ISSN":"0016-7363","author":[{"dropping-particle":"","family":"Li","given":"Hongfei","non-dropping-particle":"","parse-names":false,"suffix":""},{"dropping-particle":"","family":"Calder","given":"Catherine A.","non-dropping-particle":"","parse-names":false,"suffix":""},{"dropping-particle":"","family":"Cressie","given":"Noel","non-dropping-particle":"","parse-names":false,"suffix":""}],"container-title":"Geographical Analysis","id":"ITEM-2","issue":"4","issued":{"date-parts":[["2007","10"]]},"page":"357-375","title":"Beyond Moran's I: Testing for Spatial Dependence Based on the Spatial Autoregressive Model","type":"article-journal","volume":"39"},"uris":["http://www.mendeley.com/documents/?uuid=5c093482-df0e-4eea-9e88-f9c710b55caf"]}],"mendeley":{"formattedCitation":"(Li et al. 2007; Moran 1950)","plainTextFormattedCitation":"(Li et al. 2007; Moran 1950)","previouslyFormattedCitation":"(Li et al. 2007; Moran 1950)"},"properties":{"noteIndex":0},"schema":"https://github.com/citation-style-language/schema/raw/master/csl-citation.json"}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(Li et al.</w:t>
      </w:r>
      <w:r w:rsidR="00F72331">
        <w:rPr>
          <w:rFonts w:ascii="Times New Roman" w:hAnsi="Times New Roman" w:cs="Times New Roman"/>
          <w:noProof/>
          <w:sz w:val="24"/>
          <w:szCs w:val="24"/>
        </w:rPr>
        <w:t>,</w:t>
      </w:r>
      <w:r w:rsidRPr="00083D5F">
        <w:rPr>
          <w:rFonts w:ascii="Times New Roman" w:hAnsi="Times New Roman" w:cs="Times New Roman"/>
          <w:noProof/>
          <w:sz w:val="24"/>
          <w:szCs w:val="24"/>
        </w:rPr>
        <w:t xml:space="preserve"> 2007; Moran</w:t>
      </w:r>
      <w:r w:rsidR="00F72331">
        <w:rPr>
          <w:rFonts w:ascii="Times New Roman" w:hAnsi="Times New Roman" w:cs="Times New Roman"/>
          <w:noProof/>
          <w:sz w:val="24"/>
          <w:szCs w:val="24"/>
        </w:rPr>
        <w:t>,</w:t>
      </w:r>
      <w:r w:rsidRPr="00083D5F">
        <w:rPr>
          <w:rFonts w:ascii="Times New Roman" w:hAnsi="Times New Roman" w:cs="Times New Roman"/>
          <w:noProof/>
          <w:sz w:val="24"/>
          <w:szCs w:val="24"/>
        </w:rPr>
        <w:t xml:space="preserve"> 1950)</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and all p-values were less than 0.001 indicating</w:t>
      </w:r>
      <w:r>
        <w:rPr>
          <w:rFonts w:ascii="Times New Roman" w:hAnsi="Times New Roman" w:cs="Times New Roman"/>
          <w:sz w:val="24"/>
          <w:szCs w:val="24"/>
        </w:rPr>
        <w:t xml:space="preserve"> a highly</w:t>
      </w:r>
      <w:r w:rsidRPr="00083D5F">
        <w:rPr>
          <w:rFonts w:ascii="Times New Roman" w:hAnsi="Times New Roman" w:cs="Times New Roman"/>
          <w:sz w:val="24"/>
          <w:szCs w:val="24"/>
        </w:rPr>
        <w:t xml:space="preserve"> significant presence of spatial autocorrelation (see details about this statistic in </w:t>
      </w:r>
      <w:r>
        <w:rPr>
          <w:rFonts w:ascii="Times New Roman" w:hAnsi="Times New Roman" w:cs="Times New Roman"/>
          <w:sz w:val="24"/>
          <w:szCs w:val="24"/>
        </w:rPr>
        <w:t>s</w:t>
      </w:r>
      <w:r w:rsidRPr="00083D5F">
        <w:rPr>
          <w:rFonts w:ascii="Times New Roman" w:hAnsi="Times New Roman" w:cs="Times New Roman"/>
          <w:sz w:val="24"/>
          <w:szCs w:val="24"/>
        </w:rPr>
        <w:t xml:space="preserve">upplemental </w:t>
      </w:r>
      <w:r>
        <w:rPr>
          <w:rFonts w:ascii="Times New Roman" w:hAnsi="Times New Roman" w:cs="Times New Roman"/>
          <w:sz w:val="24"/>
          <w:szCs w:val="24"/>
        </w:rPr>
        <w:t>m</w:t>
      </w:r>
      <w:r w:rsidRPr="00083D5F">
        <w:rPr>
          <w:rFonts w:ascii="Times New Roman" w:hAnsi="Times New Roman" w:cs="Times New Roman"/>
          <w:sz w:val="24"/>
          <w:szCs w:val="24"/>
        </w:rPr>
        <w:t xml:space="preserve">aterials </w:t>
      </w:r>
      <w:r>
        <w:rPr>
          <w:rFonts w:ascii="Times New Roman" w:hAnsi="Times New Roman" w:cs="Times New Roman"/>
          <w:sz w:val="24"/>
          <w:szCs w:val="24"/>
        </w:rPr>
        <w:t>s</w:t>
      </w:r>
      <w:r w:rsidRPr="00083D5F">
        <w:rPr>
          <w:rFonts w:ascii="Times New Roman" w:hAnsi="Times New Roman" w:cs="Times New Roman"/>
          <w:sz w:val="24"/>
          <w:szCs w:val="24"/>
        </w:rPr>
        <w:t>ection 1.</w:t>
      </w:r>
      <w:r>
        <w:rPr>
          <w:rFonts w:ascii="Times New Roman" w:hAnsi="Times New Roman" w:cs="Times New Roman"/>
          <w:sz w:val="24"/>
          <w:szCs w:val="24"/>
        </w:rPr>
        <w:t>1</w:t>
      </w:r>
      <w:r w:rsidRPr="00083D5F">
        <w:rPr>
          <w:rFonts w:ascii="Times New Roman" w:hAnsi="Times New Roman" w:cs="Times New Roman"/>
          <w:sz w:val="24"/>
          <w:szCs w:val="24"/>
        </w:rPr>
        <w:t xml:space="preserve">. and the associated Moran’s I </w:t>
      </w:r>
      <w:proofErr w:type="gramStart"/>
      <w:r w:rsidRPr="00083D5F">
        <w:rPr>
          <w:rFonts w:ascii="Times New Roman" w:hAnsi="Times New Roman" w:cs="Times New Roman"/>
          <w:sz w:val="24"/>
          <w:szCs w:val="24"/>
        </w:rPr>
        <w:t>values</w:t>
      </w:r>
      <w:proofErr w:type="gramEnd"/>
      <w:r w:rsidRPr="00083D5F">
        <w:rPr>
          <w:rFonts w:ascii="Times New Roman" w:hAnsi="Times New Roman" w:cs="Times New Roman"/>
          <w:sz w:val="24"/>
          <w:szCs w:val="24"/>
        </w:rPr>
        <w:t xml:space="preserve"> in </w:t>
      </w:r>
      <w:r>
        <w:rPr>
          <w:rFonts w:ascii="Times New Roman" w:hAnsi="Times New Roman" w:cs="Times New Roman"/>
          <w:sz w:val="24"/>
          <w:szCs w:val="24"/>
        </w:rPr>
        <w:t>s</w:t>
      </w:r>
      <w:r w:rsidRPr="00083D5F">
        <w:rPr>
          <w:rFonts w:ascii="Times New Roman" w:hAnsi="Times New Roman" w:cs="Times New Roman"/>
          <w:sz w:val="24"/>
          <w:szCs w:val="24"/>
        </w:rPr>
        <w:t xml:space="preserve">upplemental </w:t>
      </w:r>
      <w:r>
        <w:rPr>
          <w:rFonts w:ascii="Times New Roman" w:hAnsi="Times New Roman" w:cs="Times New Roman"/>
          <w:sz w:val="24"/>
          <w:szCs w:val="24"/>
        </w:rPr>
        <w:t>t</w:t>
      </w:r>
      <w:r w:rsidRPr="00083D5F">
        <w:rPr>
          <w:rFonts w:ascii="Times New Roman" w:hAnsi="Times New Roman" w:cs="Times New Roman"/>
          <w:sz w:val="24"/>
          <w:szCs w:val="24"/>
        </w:rPr>
        <w:t xml:space="preserve">able </w:t>
      </w:r>
      <w:r>
        <w:rPr>
          <w:rFonts w:ascii="Times New Roman" w:hAnsi="Times New Roman" w:cs="Times New Roman"/>
          <w:sz w:val="24"/>
          <w:szCs w:val="24"/>
        </w:rPr>
        <w:t>S</w:t>
      </w:r>
      <w:r w:rsidRPr="00083D5F">
        <w:rPr>
          <w:rFonts w:ascii="Times New Roman" w:hAnsi="Times New Roman" w:cs="Times New Roman"/>
          <w:sz w:val="24"/>
          <w:szCs w:val="24"/>
        </w:rPr>
        <w:t xml:space="preserve">2). Supplemental </w:t>
      </w:r>
      <w:r>
        <w:rPr>
          <w:rFonts w:ascii="Times New Roman" w:hAnsi="Times New Roman" w:cs="Times New Roman"/>
          <w:sz w:val="24"/>
          <w:szCs w:val="24"/>
        </w:rPr>
        <w:t>f</w:t>
      </w:r>
      <w:r w:rsidRPr="00083D5F">
        <w:rPr>
          <w:rFonts w:ascii="Times New Roman" w:hAnsi="Times New Roman" w:cs="Times New Roman"/>
          <w:sz w:val="24"/>
          <w:szCs w:val="24"/>
        </w:rPr>
        <w:t xml:space="preserve">igures </w:t>
      </w:r>
      <w:r>
        <w:rPr>
          <w:rFonts w:ascii="Times New Roman" w:hAnsi="Times New Roman" w:cs="Times New Roman"/>
          <w:sz w:val="24"/>
          <w:szCs w:val="24"/>
        </w:rPr>
        <w:t>S</w:t>
      </w:r>
      <w:r w:rsidRPr="00083D5F">
        <w:rPr>
          <w:rFonts w:ascii="Times New Roman" w:hAnsi="Times New Roman" w:cs="Times New Roman"/>
          <w:sz w:val="24"/>
          <w:szCs w:val="24"/>
        </w:rPr>
        <w:t xml:space="preserve">3-5 display choropleth maps and correlation matrices </w:t>
      </w:r>
      <w:r>
        <w:rPr>
          <w:rFonts w:ascii="Times New Roman" w:hAnsi="Times New Roman" w:cs="Times New Roman"/>
          <w:sz w:val="24"/>
          <w:szCs w:val="24"/>
        </w:rPr>
        <w:t>for</w:t>
      </w:r>
      <w:r w:rsidRPr="00083D5F">
        <w:rPr>
          <w:rFonts w:ascii="Times New Roman" w:hAnsi="Times New Roman" w:cs="Times New Roman"/>
          <w:sz w:val="24"/>
          <w:szCs w:val="24"/>
        </w:rPr>
        <w:t xml:space="preserve"> all variables</w:t>
      </w:r>
      <w:r>
        <w:rPr>
          <w:rFonts w:ascii="Times New Roman" w:hAnsi="Times New Roman" w:cs="Times New Roman"/>
          <w:sz w:val="24"/>
          <w:szCs w:val="24"/>
        </w:rPr>
        <w:t>, and are organized by nonprofit subsector when appropriate</w:t>
      </w:r>
      <w:r w:rsidRPr="00083D5F">
        <w:rPr>
          <w:rFonts w:ascii="Times New Roman" w:hAnsi="Times New Roman" w:cs="Times New Roman"/>
          <w:sz w:val="24"/>
          <w:szCs w:val="24"/>
        </w:rPr>
        <w:t>.</w:t>
      </w:r>
      <w:r>
        <w:rPr>
          <w:rFonts w:ascii="Times New Roman" w:hAnsi="Times New Roman" w:cs="Times New Roman"/>
          <w:sz w:val="24"/>
          <w:szCs w:val="24"/>
        </w:rPr>
        <w:t xml:space="preserve"> These maps visually confirm the strong spatial nature of and moderate to high correlation among all variables considered. We also note similar spatial patterns between the total, health, and arts nonprofit subsectors, where health accounts for a larger portion of the total than arts.</w:t>
      </w:r>
    </w:p>
    <w:p w14:paraId="3AFD089A" w14:textId="77777777" w:rsidR="00EA1B19" w:rsidRPr="00083D5F" w:rsidRDefault="00EA1B19" w:rsidP="00EA1B19">
      <w:pPr>
        <w:spacing w:after="0" w:line="480" w:lineRule="auto"/>
        <w:rPr>
          <w:rFonts w:ascii="Times New Roman" w:hAnsi="Times New Roman" w:cs="Times New Roman"/>
          <w:b/>
          <w:i/>
          <w:sz w:val="24"/>
          <w:szCs w:val="24"/>
        </w:rPr>
      </w:pPr>
      <w:r w:rsidRPr="00083D5F">
        <w:rPr>
          <w:rFonts w:ascii="Times New Roman" w:hAnsi="Times New Roman" w:cs="Times New Roman"/>
          <w:b/>
          <w:i/>
          <w:sz w:val="24"/>
          <w:szCs w:val="24"/>
        </w:rPr>
        <w:t>Spatially dependent linear regression</w:t>
      </w:r>
    </w:p>
    <w:p w14:paraId="183FDBBE" w14:textId="045BCAD0" w:rsidR="00EA1B19" w:rsidRPr="00083D5F"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A spatially dependent Bayesian linear regression model furnished our means of examining the relationships of nonprofit supply with community need and market structure. </w:t>
      </w:r>
      <w:r>
        <w:rPr>
          <w:rFonts w:ascii="Times New Roman" w:hAnsi="Times New Roman" w:cs="Times New Roman"/>
          <w:sz w:val="24"/>
          <w:szCs w:val="24"/>
        </w:rPr>
        <w:t xml:space="preserve">This model is superior to more common methodologies in public affairs (e.g., ordinary least squares) because it accounts for spatial autocorrelation evident in most geographic data. </w:t>
      </w:r>
      <w:r w:rsidRPr="00083D5F">
        <w:rPr>
          <w:rFonts w:ascii="Times New Roman" w:hAnsi="Times New Roman" w:cs="Times New Roman"/>
          <w:sz w:val="24"/>
          <w:szCs w:val="24"/>
        </w:rPr>
        <w:t xml:space="preserve">For each of the </w:t>
      </w:r>
      <w:r w:rsidRPr="00083D5F">
        <w:rPr>
          <w:rFonts w:ascii="Times New Roman" w:hAnsi="Times New Roman" w:cs="Times New Roman"/>
          <w:sz w:val="24"/>
          <w:szCs w:val="24"/>
        </w:rPr>
        <w:lastRenderedPageBreak/>
        <w:t xml:space="preserve">nonprofit </w:t>
      </w:r>
      <w:r>
        <w:rPr>
          <w:rFonts w:ascii="Times New Roman" w:hAnsi="Times New Roman" w:cs="Times New Roman"/>
          <w:sz w:val="24"/>
          <w:szCs w:val="24"/>
        </w:rPr>
        <w:t>subsectors</w:t>
      </w:r>
      <w:r w:rsidRPr="00083D5F">
        <w:rPr>
          <w:rFonts w:ascii="Times New Roman" w:hAnsi="Times New Roman" w:cs="Times New Roman"/>
          <w:sz w:val="24"/>
          <w:szCs w:val="24"/>
        </w:rPr>
        <w:t>, we considered a baseline model with no spatial random effect</w:t>
      </w:r>
      <w:r>
        <w:rPr>
          <w:rFonts w:ascii="Times New Roman" w:hAnsi="Times New Roman" w:cs="Times New Roman"/>
          <w:sz w:val="24"/>
          <w:szCs w:val="24"/>
        </w:rPr>
        <w:t>s</w:t>
      </w:r>
      <w:r w:rsidRPr="00083D5F">
        <w:rPr>
          <w:rFonts w:ascii="Times New Roman" w:hAnsi="Times New Roman" w:cs="Times New Roman"/>
          <w:sz w:val="24"/>
          <w:szCs w:val="24"/>
        </w:rPr>
        <w:t>, an uncorrelated random effect</w:t>
      </w:r>
      <w:r>
        <w:rPr>
          <w:rFonts w:ascii="Times New Roman" w:hAnsi="Times New Roman" w:cs="Times New Roman"/>
          <w:sz w:val="24"/>
          <w:szCs w:val="24"/>
        </w:rPr>
        <w:t>s</w:t>
      </w:r>
      <w:r w:rsidRPr="00083D5F">
        <w:rPr>
          <w:rFonts w:ascii="Times New Roman" w:hAnsi="Times New Roman" w:cs="Times New Roman"/>
          <w:sz w:val="24"/>
          <w:szCs w:val="24"/>
        </w:rPr>
        <w:t xml:space="preserve"> model, and a correlated random effect</w:t>
      </w:r>
      <w:r>
        <w:rPr>
          <w:rFonts w:ascii="Times New Roman" w:hAnsi="Times New Roman" w:cs="Times New Roman"/>
          <w:sz w:val="24"/>
          <w:szCs w:val="24"/>
        </w:rPr>
        <w:t>s</w:t>
      </w:r>
      <w:r w:rsidRPr="00083D5F">
        <w:rPr>
          <w:rFonts w:ascii="Times New Roman" w:hAnsi="Times New Roman" w:cs="Times New Roman"/>
          <w:sz w:val="24"/>
          <w:szCs w:val="24"/>
        </w:rPr>
        <w:t xml:space="preserve"> model. </w:t>
      </w:r>
      <w:r>
        <w:rPr>
          <w:rFonts w:ascii="Times New Roman" w:hAnsi="Times New Roman" w:cs="Times New Roman"/>
          <w:sz w:val="24"/>
          <w:szCs w:val="24"/>
        </w:rPr>
        <w:t xml:space="preserve">The baseline model is functionally equivalent to ordinary least squares regression and is included as a basis for comparison. The uncorrelated random effects and correlated random effects models offer advances upon the baseline by including the spatial random effects to account for and estimate any additional spatial variation in the outcome (expenditure) beyond what can be explained by the independent variables. </w:t>
      </w:r>
      <w:r w:rsidRPr="00083D5F">
        <w:rPr>
          <w:rFonts w:ascii="Times New Roman" w:hAnsi="Times New Roman" w:cs="Times New Roman"/>
          <w:sz w:val="24"/>
          <w:szCs w:val="24"/>
        </w:rPr>
        <w:t xml:space="preserve">Full hierarchical specification of these models is expressed as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bs.host.2017.05.001","ISBN":"01697161","author":[{"dropping-particle":"","family":"Lawson","given":"Andrew","non-dropping-particle":"","parse-names":false,"suffix":""},{"dropping-particle":"","family":"Lee","given":"Duncan","non-dropping-particle":"","parse-names":false,"suffix":""}],"id":"ITEM-1","issued":{"date-parts":[["2017"]]},"page":"443-481","title":"Bayesian Disease Mapping for Public Health","type":"chapter","volume":"36"},"uris":["http://www.mendeley.com/documents/?uuid=0dd04b5d-9ec0-4662-b6c4-9697f2d8f444"]},{"id":"ITEM-2","itemData":{"DOI":"10.1002/978-1-119-94241-2","ISBN":"978-0-470-01823-1","author":[{"dropping-particle":"","family":"Lesaffre","given":"E","non-dropping-particle":"","parse-names":false,"suffix":""},{"dropping-particle":"","family":"Lawson","given":"A B","non-dropping-particle":"","parse-names":false,"suffix":""}],"edition":"1","id":"ITEM-2","issued":{"date-parts":[["2013"]]},"number-of-pages":"534","publisher":"Wiley","publisher-place":"West Sussex, U.K.","title":"Bayesian Biostatistics","type":"book"},"uris":["http://www.mendeley.com/documents/?uuid=f4942430-eca1-4dd4-bf89-bd093ff87289"]},{"id":"ITEM-3","itemData":{"author":[{"dropping-particle":"","family":"Lawson","given":"A B","non-dropping-particle":"","parse-names":false,"suffix":""}],"edition":"2","id":"ITEM-3","issued":{"date-parts":[["2013"]]},"publisher":"CRC Press","publisher-place":"Boca Raton, FL","title":"Bayesian disease mapping: Hierarchical modeling in spatial epidemiology","type":"book"},"uris":["http://www.mendeley.com/documents/?uuid=95d0da35-e8fc-437d-a6d1-86b3f8f1458e"]}],"mendeley":{"formattedCitation":"(Lawson 2013; Lawson and Lee 2017; Lesaffre and Lawson 2013)","plainTextFormattedCitation":"(Lawson 2013; Lawson and Lee 2017; Lesaffre and Lawson 2013)","previouslyFormattedCitation":"(Lawson 2013; Lawson and Lee 2017; Lesaffre and Lawson 2013)"},"properties":{"noteIndex":0},"schema":"https://github.com/citation-style-language/schema/raw/master/csl-citation.json"}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(Lawson</w:t>
      </w:r>
      <w:r w:rsidR="00291A15">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2013; Lawson </w:t>
      </w:r>
      <w:r w:rsidR="00291A15">
        <w:rPr>
          <w:rFonts w:ascii="Times New Roman" w:hAnsi="Times New Roman" w:cs="Times New Roman"/>
          <w:noProof/>
          <w:sz w:val="24"/>
          <w:szCs w:val="24"/>
        </w:rPr>
        <w:t>&amp;</w:t>
      </w:r>
      <w:r w:rsidRPr="00083D5F">
        <w:rPr>
          <w:rFonts w:ascii="Times New Roman" w:hAnsi="Times New Roman" w:cs="Times New Roman"/>
          <w:noProof/>
          <w:sz w:val="24"/>
          <w:szCs w:val="24"/>
        </w:rPr>
        <w:t xml:space="preserve"> Lee</w:t>
      </w:r>
      <w:r w:rsidR="00291A15">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2017; Lesaffre </w:t>
      </w:r>
      <w:r w:rsidR="00291A15">
        <w:rPr>
          <w:rFonts w:ascii="Times New Roman" w:hAnsi="Times New Roman" w:cs="Times New Roman"/>
          <w:noProof/>
          <w:sz w:val="24"/>
          <w:szCs w:val="24"/>
        </w:rPr>
        <w:t>&amp;</w:t>
      </w:r>
      <w:r w:rsidRPr="00083D5F">
        <w:rPr>
          <w:rFonts w:ascii="Times New Roman" w:hAnsi="Times New Roman" w:cs="Times New Roman"/>
          <w:noProof/>
          <w:sz w:val="24"/>
          <w:szCs w:val="24"/>
        </w:rPr>
        <w:t xml:space="preserve"> Lawson</w:t>
      </w:r>
      <w:r w:rsidR="00291A15">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2013)</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w:t>
      </w:r>
    </w:p>
    <w:tbl>
      <w:tblPr>
        <w:tblW w:w="0" w:type="auto"/>
        <w:tblLook w:val="04A0" w:firstRow="1" w:lastRow="0" w:firstColumn="1" w:lastColumn="0" w:noHBand="0" w:noVBand="1"/>
      </w:tblPr>
      <w:tblGrid>
        <w:gridCol w:w="535"/>
        <w:gridCol w:w="8280"/>
        <w:gridCol w:w="535"/>
      </w:tblGrid>
      <w:tr w:rsidR="00EA1B19" w:rsidRPr="00083D5F" w14:paraId="61AEC0BB" w14:textId="77777777" w:rsidTr="00AA0DDD">
        <w:tc>
          <w:tcPr>
            <w:tcW w:w="535" w:type="dxa"/>
            <w:vAlign w:val="center"/>
          </w:tcPr>
          <w:p w14:paraId="64DDD772" w14:textId="77777777" w:rsidR="00EA1B19" w:rsidRPr="00083D5F" w:rsidRDefault="00EA1B19" w:rsidP="00AA0DDD">
            <w:pPr>
              <w:spacing w:line="480" w:lineRule="auto"/>
              <w:jc w:val="center"/>
              <w:rPr>
                <w:rFonts w:ascii="Times New Roman" w:hAnsi="Times New Roman" w:cs="Times New Roman"/>
                <w:sz w:val="24"/>
                <w:szCs w:val="24"/>
              </w:rPr>
            </w:pPr>
          </w:p>
        </w:tc>
        <w:tc>
          <w:tcPr>
            <w:tcW w:w="8280" w:type="dxa"/>
            <w:vAlign w:val="center"/>
          </w:tcPr>
          <w:p w14:paraId="2D9F1EEF" w14:textId="77777777" w:rsidR="00EA1B19" w:rsidRPr="00083D5F" w:rsidRDefault="0088197B" w:rsidP="00AA0DDD">
            <w:pPr>
              <w:spacing w:line="480" w:lineRule="auto"/>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func>
                <m:r>
                  <w:rPr>
                    <w:rFonts w:ascii="Cambria Math" w:hAnsi="Cambria Math" w:cs="Times New Roman"/>
                    <w:sz w:val="24"/>
                    <w:szCs w:val="24"/>
                  </w:rPr>
                  <m:t>~Norm</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y</m:t>
                        </m:r>
                      </m:sub>
                      <m:sup>
                        <m:r>
                          <w:rPr>
                            <w:rFonts w:ascii="Cambria Math" w:hAnsi="Cambria Math" w:cs="Times New Roman"/>
                            <w:sz w:val="24"/>
                            <w:szCs w:val="24"/>
                          </w:rPr>
                          <m:t>-1</m:t>
                        </m:r>
                      </m:sup>
                    </m:sSubSup>
                  </m:e>
                </m:d>
              </m:oMath>
            </m:oMathPara>
          </w:p>
        </w:tc>
        <w:tc>
          <w:tcPr>
            <w:tcW w:w="535" w:type="dxa"/>
            <w:vAlign w:val="center"/>
          </w:tcPr>
          <w:p w14:paraId="4C728D97" w14:textId="77777777" w:rsidR="00EA1B19" w:rsidRPr="00083D5F" w:rsidRDefault="00EA1B19" w:rsidP="00AA0DDD">
            <w:pPr>
              <w:spacing w:line="480" w:lineRule="auto"/>
              <w:jc w:val="center"/>
              <w:rPr>
                <w:rFonts w:ascii="Times New Roman" w:hAnsi="Times New Roman" w:cs="Times New Roman"/>
                <w:sz w:val="24"/>
                <w:szCs w:val="24"/>
              </w:rPr>
            </w:pPr>
            <w:r w:rsidRPr="00083D5F">
              <w:rPr>
                <w:rFonts w:ascii="Times New Roman" w:hAnsi="Times New Roman" w:cs="Times New Roman"/>
                <w:sz w:val="24"/>
                <w:szCs w:val="24"/>
              </w:rPr>
              <w:t>(</w:t>
            </w:r>
            <w:r>
              <w:rPr>
                <w:rFonts w:ascii="Times New Roman" w:hAnsi="Times New Roman" w:cs="Times New Roman"/>
                <w:sz w:val="24"/>
                <w:szCs w:val="24"/>
              </w:rPr>
              <w:t>1</w:t>
            </w:r>
            <w:r w:rsidRPr="00083D5F">
              <w:rPr>
                <w:rFonts w:ascii="Times New Roman" w:hAnsi="Times New Roman" w:cs="Times New Roman"/>
                <w:sz w:val="24"/>
                <w:szCs w:val="24"/>
              </w:rPr>
              <w:t>)</w:t>
            </w:r>
          </w:p>
        </w:tc>
      </w:tr>
      <w:tr w:rsidR="00EA1B19" w:rsidRPr="00083D5F" w14:paraId="2AD4033A" w14:textId="77777777" w:rsidTr="00AA0DDD">
        <w:tc>
          <w:tcPr>
            <w:tcW w:w="535" w:type="dxa"/>
            <w:vAlign w:val="center"/>
          </w:tcPr>
          <w:p w14:paraId="0824AED6" w14:textId="77777777" w:rsidR="00EA1B19" w:rsidRPr="00083D5F" w:rsidRDefault="00EA1B19" w:rsidP="00AA0DDD">
            <w:pPr>
              <w:spacing w:line="480" w:lineRule="auto"/>
              <w:jc w:val="center"/>
              <w:rPr>
                <w:rFonts w:ascii="Times New Roman" w:hAnsi="Times New Roman" w:cs="Times New Roman"/>
                <w:sz w:val="24"/>
                <w:szCs w:val="24"/>
              </w:rPr>
            </w:pPr>
          </w:p>
        </w:tc>
        <w:tc>
          <w:tcPr>
            <w:tcW w:w="8280" w:type="dxa"/>
            <w:vAlign w:val="center"/>
          </w:tcPr>
          <w:p w14:paraId="0254069C" w14:textId="77777777" w:rsidR="00EA1B19" w:rsidRPr="00083D5F" w:rsidRDefault="0088197B" w:rsidP="00AA0DDD">
            <w:pPr>
              <w:spacing w:line="480" w:lineRule="auto"/>
              <w:rPr>
                <w:rFonts w:ascii="Times New Roman" w:hAnsi="Times New Roman" w:cs="Times New Roman"/>
                <w:b/>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func>
                <m: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i</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m:oMathPara>
          </w:p>
        </w:tc>
        <w:tc>
          <w:tcPr>
            <w:tcW w:w="535" w:type="dxa"/>
            <w:vAlign w:val="center"/>
          </w:tcPr>
          <w:p w14:paraId="6C8E515B" w14:textId="77777777" w:rsidR="00EA1B19" w:rsidRPr="00083D5F" w:rsidRDefault="00EA1B19" w:rsidP="00AA0DDD">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Pr="00083D5F">
              <w:rPr>
                <w:rFonts w:ascii="Times New Roman" w:hAnsi="Times New Roman" w:cs="Times New Roman"/>
                <w:sz w:val="24"/>
                <w:szCs w:val="24"/>
              </w:rPr>
              <w:t>)</w:t>
            </w:r>
          </w:p>
        </w:tc>
      </w:tr>
      <w:tr w:rsidR="00EA1B19" w:rsidRPr="00083D5F" w14:paraId="4F125671" w14:textId="77777777" w:rsidTr="00AA0DDD">
        <w:tc>
          <w:tcPr>
            <w:tcW w:w="535" w:type="dxa"/>
            <w:vAlign w:val="center"/>
          </w:tcPr>
          <w:p w14:paraId="228C9985" w14:textId="77777777" w:rsidR="00EA1B19" w:rsidRPr="00083D5F" w:rsidRDefault="00EA1B19" w:rsidP="00AA0DDD">
            <w:pPr>
              <w:spacing w:line="480" w:lineRule="auto"/>
              <w:jc w:val="center"/>
              <w:rPr>
                <w:rFonts w:ascii="Times New Roman" w:hAnsi="Times New Roman" w:cs="Times New Roman"/>
                <w:sz w:val="24"/>
                <w:szCs w:val="24"/>
              </w:rPr>
            </w:pPr>
          </w:p>
        </w:tc>
        <w:tc>
          <w:tcPr>
            <w:tcW w:w="8280" w:type="dxa"/>
            <w:vAlign w:val="center"/>
          </w:tcPr>
          <w:p w14:paraId="06EA47CE" w14:textId="77777777" w:rsidR="00EA1B19" w:rsidRPr="00083D5F" w:rsidRDefault="00EA1B19" w:rsidP="00AA0DDD">
            <w:pPr>
              <w:spacing w:line="480" w:lineRule="auto"/>
              <w:rPr>
                <w:rFonts w:ascii="Times New Roman" w:hAnsi="Times New Roman" w:cs="Times New Roman"/>
                <w:sz w:val="24"/>
                <w:szCs w:val="24"/>
              </w:rPr>
            </w:pPr>
            <m:oMathPara>
              <m:oMath>
                <m:r>
                  <w:rPr>
                    <w:rFonts w:ascii="Cambria Math" w:hAnsi="Cambria Math" w:cs="Times New Roman"/>
                    <w:sz w:val="24"/>
                    <w:szCs w:val="24"/>
                  </w:rPr>
                  <m:t>β~Norm</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β</m:t>
                        </m:r>
                      </m:sub>
                      <m:sup>
                        <m:r>
                          <w:rPr>
                            <w:rFonts w:ascii="Cambria Math" w:hAnsi="Cambria Math" w:cs="Times New Roman"/>
                            <w:sz w:val="24"/>
                            <w:szCs w:val="24"/>
                          </w:rPr>
                          <m:t>-1</m:t>
                        </m:r>
                      </m:sup>
                    </m:sSubSup>
                  </m:e>
                </m:d>
              </m:oMath>
            </m:oMathPara>
          </w:p>
        </w:tc>
        <w:tc>
          <w:tcPr>
            <w:tcW w:w="535" w:type="dxa"/>
            <w:vAlign w:val="center"/>
          </w:tcPr>
          <w:p w14:paraId="64D15E0F" w14:textId="77777777" w:rsidR="00EA1B19" w:rsidRPr="00083D5F" w:rsidRDefault="00EA1B19" w:rsidP="00AA0DDD">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Pr="00083D5F">
              <w:rPr>
                <w:rFonts w:ascii="Times New Roman" w:hAnsi="Times New Roman" w:cs="Times New Roman"/>
                <w:sz w:val="24"/>
                <w:szCs w:val="24"/>
              </w:rPr>
              <w:t>)</w:t>
            </w:r>
          </w:p>
        </w:tc>
      </w:tr>
      <w:tr w:rsidR="00EA1B19" w:rsidRPr="00083D5F" w14:paraId="0414B523" w14:textId="77777777" w:rsidTr="00AA0DDD">
        <w:tc>
          <w:tcPr>
            <w:tcW w:w="535" w:type="dxa"/>
            <w:vAlign w:val="center"/>
          </w:tcPr>
          <w:p w14:paraId="0D8B0399" w14:textId="77777777" w:rsidR="00EA1B19" w:rsidRPr="00083D5F" w:rsidRDefault="00EA1B19" w:rsidP="00AA0DDD">
            <w:pPr>
              <w:spacing w:line="480" w:lineRule="auto"/>
              <w:jc w:val="center"/>
              <w:rPr>
                <w:rFonts w:ascii="Times New Roman" w:hAnsi="Times New Roman" w:cs="Times New Roman"/>
                <w:sz w:val="24"/>
                <w:szCs w:val="24"/>
              </w:rPr>
            </w:pPr>
          </w:p>
        </w:tc>
        <w:tc>
          <w:tcPr>
            <w:tcW w:w="8280" w:type="dxa"/>
            <w:vAlign w:val="center"/>
          </w:tcPr>
          <w:p w14:paraId="2915B031" w14:textId="77777777" w:rsidR="00EA1B19" w:rsidRPr="00083D5F" w:rsidRDefault="0088197B" w:rsidP="00AA0DDD">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ty m:val="bi"/>
                  </m:rPr>
                  <w:rPr>
                    <w:rFonts w:ascii="Cambria Math" w:hAnsi="Cambria Math" w:cs="Times New Roman"/>
                    <w:sz w:val="24"/>
                    <w:szCs w:val="24"/>
                  </w:rPr>
                  <m:t>=</m:t>
                </m:r>
                <m:d>
                  <m:dPr>
                    <m:begChr m:val="{"/>
                    <m:endChr m:val=""/>
                    <m:ctrlPr>
                      <w:rPr>
                        <w:rFonts w:ascii="Cambria Math" w:hAnsi="Cambria Math" w:cs="Times New Roman"/>
                        <w:b/>
                        <w:i/>
                        <w:sz w:val="24"/>
                        <w:szCs w:val="24"/>
                      </w:rPr>
                    </m:ctrlPr>
                  </m:dPr>
                  <m:e>
                    <m:eqArr>
                      <m:eqArrPr>
                        <m:ctrlPr>
                          <w:rPr>
                            <w:rFonts w:ascii="Cambria Math" w:hAnsi="Cambria Math" w:cs="Times New Roman"/>
                            <w:b/>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u</m:t>
                            </m:r>
                            <m:ctrlPr>
                              <w:rPr>
                                <w:rFonts w:ascii="Cambria Math" w:hAnsi="Cambria Math" w:cs="Times New Roman"/>
                                <w:b/>
                                <w:bCs/>
                                <w:i/>
                                <w:sz w:val="24"/>
                                <w:szCs w:val="24"/>
                              </w:rPr>
                            </m:ctrlP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uncorrelated</m:t>
                        </m:r>
                      </m:e>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bi"/>
                          </m:rPr>
                          <w:rPr>
                            <w:rFonts w:ascii="Cambria Math" w:hAnsi="Cambria Math" w:cs="Times New Roman"/>
                            <w:sz w:val="24"/>
                            <w:szCs w:val="24"/>
                          </w:rPr>
                          <m:t xml:space="preserve">        </m:t>
                        </m:r>
                        <m:r>
                          <m:rPr>
                            <m:sty m:val="p"/>
                          </m:rPr>
                          <w:rPr>
                            <w:rFonts w:ascii="Cambria Math" w:hAnsi="Cambria Math" w:cs="Times New Roman"/>
                            <w:sz w:val="24"/>
                            <w:szCs w:val="24"/>
                          </w:rPr>
                          <m:t>correlated</m:t>
                        </m:r>
                      </m:e>
                    </m:eqArr>
                  </m:e>
                </m:d>
              </m:oMath>
            </m:oMathPara>
          </w:p>
        </w:tc>
        <w:tc>
          <w:tcPr>
            <w:tcW w:w="535" w:type="dxa"/>
            <w:vAlign w:val="center"/>
          </w:tcPr>
          <w:p w14:paraId="401516B3" w14:textId="77777777" w:rsidR="00EA1B19" w:rsidRPr="00083D5F" w:rsidRDefault="00EA1B19" w:rsidP="00AA0DDD">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r w:rsidRPr="00083D5F">
              <w:rPr>
                <w:rFonts w:ascii="Times New Roman" w:hAnsi="Times New Roman" w:cs="Times New Roman"/>
                <w:sz w:val="24"/>
                <w:szCs w:val="24"/>
              </w:rPr>
              <w:t>)</w:t>
            </w:r>
          </w:p>
        </w:tc>
      </w:tr>
      <w:tr w:rsidR="00EA1B19" w:rsidRPr="00083D5F" w14:paraId="6CC6617D" w14:textId="77777777" w:rsidTr="00AA0DDD">
        <w:tc>
          <w:tcPr>
            <w:tcW w:w="535" w:type="dxa"/>
            <w:vAlign w:val="center"/>
          </w:tcPr>
          <w:p w14:paraId="2975A69B" w14:textId="77777777" w:rsidR="00EA1B19" w:rsidRPr="00083D5F" w:rsidRDefault="00EA1B19" w:rsidP="00AA0DDD">
            <w:pPr>
              <w:spacing w:line="480" w:lineRule="auto"/>
              <w:jc w:val="center"/>
              <w:rPr>
                <w:rFonts w:ascii="Times New Roman" w:hAnsi="Times New Roman" w:cs="Times New Roman"/>
                <w:sz w:val="24"/>
                <w:szCs w:val="24"/>
              </w:rPr>
            </w:pPr>
          </w:p>
        </w:tc>
        <w:tc>
          <w:tcPr>
            <w:tcW w:w="8280" w:type="dxa"/>
            <w:vAlign w:val="center"/>
          </w:tcPr>
          <w:p w14:paraId="21854634" w14:textId="77777777" w:rsidR="00EA1B19" w:rsidRPr="00083D5F" w:rsidRDefault="0088197B" w:rsidP="00AA0DDD">
            <w:pPr>
              <w:spacing w:line="480" w:lineRule="auto"/>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ctrlPr>
                      <w:rPr>
                        <w:rFonts w:ascii="Cambria Math" w:hAnsi="Cambria Math" w:cs="Times New Roman"/>
                        <w:b/>
                        <w:bCs/>
                        <w:i/>
                        <w:sz w:val="24"/>
                        <w:szCs w:val="24"/>
                      </w:rPr>
                    </m:ctrlPr>
                  </m:e>
                  <m:sub>
                    <m:r>
                      <w:rPr>
                        <w:rFonts w:ascii="Cambria Math" w:hAnsi="Cambria Math" w:cs="Times New Roman"/>
                        <w:sz w:val="24"/>
                        <w:szCs w:val="24"/>
                      </w:rPr>
                      <m:t>i</m:t>
                    </m:r>
                  </m:sub>
                </m:sSub>
                <m:r>
                  <w:rPr>
                    <w:rFonts w:ascii="Cambria Math" w:hAnsi="Cambria Math" w:cs="Times New Roman"/>
                    <w:sz w:val="24"/>
                    <w:szCs w:val="24"/>
                  </w:rPr>
                  <m:t>~ 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τ</m:t>
                        </m:r>
                      </m:e>
                      <m:sub>
                        <m:r>
                          <w:rPr>
                            <w:rFonts w:ascii="Cambria Math" w:hAnsi="Cambria Math" w:cs="Times New Roman"/>
                            <w:sz w:val="24"/>
                            <w:szCs w:val="24"/>
                          </w:rPr>
                          <m:t>u</m:t>
                        </m:r>
                      </m:sub>
                      <m:sup>
                        <m:r>
                          <w:rPr>
                            <w:rFonts w:ascii="Cambria Math" w:hAnsi="Cambria Math" w:cs="Times New Roman"/>
                            <w:sz w:val="24"/>
                            <w:szCs w:val="24"/>
                          </w:rPr>
                          <m:t>-1</m:t>
                        </m:r>
                      </m:sup>
                    </m:sSub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1</m:t>
                        </m:r>
                      </m:num>
                      <m:den>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nary>
                      <m:naryPr>
                        <m:chr m:val="∑"/>
                        <m:ctrlPr>
                          <w:rPr>
                            <w:rFonts w:ascii="Cambria Math" w:hAnsi="Cambria Math" w:cs="Times New Roman"/>
                            <w:i/>
                            <w:iCs/>
                            <w:sz w:val="24"/>
                            <w:szCs w:val="24"/>
                          </w:rPr>
                        </m:ctrlPr>
                      </m:naryPr>
                      <m:sub>
                        <m:r>
                          <w:rPr>
                            <w:rFonts w:ascii="Cambria Math" w:hAnsi="Cambria Math" w:cs="Times New Roman"/>
                            <w:sz w:val="24"/>
                            <w:szCs w:val="24"/>
                          </w:rPr>
                          <m:t>m=1</m:t>
                        </m:r>
                      </m:sub>
                      <m:sup>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sup>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e>
                    </m:nary>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sSub>
                          <m:sSubPr>
                            <m:ctrlPr>
                              <w:rPr>
                                <w:rFonts w:ascii="Cambria Math" w:hAnsi="Cambria Math" w:cs="Times New Roman"/>
                                <w:i/>
                                <w:iCs/>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sSub>
                          <m:sSubPr>
                            <m:ctrlPr>
                              <w:rPr>
                                <w:rFonts w:ascii="Cambria Math" w:hAnsi="Cambria Math" w:cs="Times New Roman"/>
                                <w:i/>
                                <w:iCs/>
                                <w:sz w:val="24"/>
                                <w:szCs w:val="24"/>
                              </w:rPr>
                            </m:ctrlPr>
                          </m:sSubPr>
                          <m:e>
                            <m:r>
                              <w:rPr>
                                <w:rFonts w:ascii="Cambria Math" w:hAnsi="Cambria Math" w:cs="Times New Roman"/>
                                <w:sz w:val="24"/>
                                <w:szCs w:val="24"/>
                              </w:rPr>
                              <m:t>τ</m:t>
                            </m:r>
                          </m:e>
                          <m:sub>
                            <m:r>
                              <w:rPr>
                                <w:rFonts w:ascii="Cambria Math" w:hAnsi="Cambria Math" w:cs="Times New Roman"/>
                                <w:sz w:val="24"/>
                                <w:szCs w:val="24"/>
                              </w:rPr>
                              <m:t>v</m:t>
                            </m:r>
                          </m:sub>
                        </m:sSub>
                      </m:den>
                    </m:f>
                  </m:e>
                </m:d>
              </m:oMath>
            </m:oMathPara>
          </w:p>
        </w:tc>
        <w:tc>
          <w:tcPr>
            <w:tcW w:w="535" w:type="dxa"/>
            <w:vAlign w:val="center"/>
          </w:tcPr>
          <w:p w14:paraId="10E2EDB8" w14:textId="77777777" w:rsidR="00EA1B19" w:rsidRPr="00083D5F" w:rsidRDefault="00EA1B19" w:rsidP="00AA0DDD">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Pr="00083D5F">
              <w:rPr>
                <w:rFonts w:ascii="Times New Roman" w:hAnsi="Times New Roman" w:cs="Times New Roman"/>
                <w:sz w:val="24"/>
                <w:szCs w:val="24"/>
              </w:rPr>
              <w:t>)</w:t>
            </w:r>
          </w:p>
        </w:tc>
      </w:tr>
      <w:tr w:rsidR="00EA1B19" w:rsidRPr="00083D5F" w14:paraId="3060EE3C" w14:textId="77777777" w:rsidTr="00AA0DDD">
        <w:tc>
          <w:tcPr>
            <w:tcW w:w="535" w:type="dxa"/>
            <w:vAlign w:val="center"/>
          </w:tcPr>
          <w:p w14:paraId="1196FAB7" w14:textId="77777777" w:rsidR="00EA1B19" w:rsidRPr="00083D5F" w:rsidRDefault="00EA1B19" w:rsidP="00AA0DDD">
            <w:pPr>
              <w:spacing w:line="480" w:lineRule="auto"/>
              <w:jc w:val="center"/>
              <w:rPr>
                <w:rFonts w:ascii="Times New Roman" w:hAnsi="Times New Roman" w:cs="Times New Roman"/>
                <w:sz w:val="24"/>
                <w:szCs w:val="24"/>
              </w:rPr>
            </w:pPr>
          </w:p>
        </w:tc>
        <w:tc>
          <w:tcPr>
            <w:tcW w:w="8280" w:type="dxa"/>
            <w:vAlign w:val="center"/>
          </w:tcPr>
          <w:p w14:paraId="681CED29" w14:textId="77777777" w:rsidR="00EA1B19" w:rsidRPr="00083D5F" w:rsidRDefault="0088197B" w:rsidP="00AA0DDD">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t>
                    </m:r>
                  </m:sub>
                </m:sSub>
                <m:r>
                  <w:rPr>
                    <w:rFonts w:ascii="Cambria Math" w:hAnsi="Cambria Math" w:cs="Times New Roman"/>
                    <w:sz w:val="24"/>
                    <w:szCs w:val="24"/>
                  </w:rPr>
                  <m:t>~Gamma</m:t>
                </m:r>
                <m:d>
                  <m:dPr>
                    <m:ctrlPr>
                      <w:rPr>
                        <w:rFonts w:ascii="Cambria Math" w:hAnsi="Cambria Math" w:cs="Times New Roman"/>
                        <w:i/>
                        <w:sz w:val="24"/>
                        <w:szCs w:val="24"/>
                      </w:rPr>
                    </m:ctrlPr>
                  </m:dPr>
                  <m:e>
                    <m:r>
                      <w:rPr>
                        <w:rFonts w:ascii="Cambria Math" w:hAnsi="Cambria Math" w:cs="Times New Roman"/>
                        <w:sz w:val="24"/>
                        <w:szCs w:val="24"/>
                      </w:rPr>
                      <m:t>2,1</m:t>
                    </m:r>
                  </m:e>
                </m:d>
              </m:oMath>
            </m:oMathPara>
          </w:p>
        </w:tc>
        <w:tc>
          <w:tcPr>
            <w:tcW w:w="535" w:type="dxa"/>
            <w:vAlign w:val="center"/>
          </w:tcPr>
          <w:p w14:paraId="38C31DF4" w14:textId="77777777" w:rsidR="00EA1B19" w:rsidRPr="00083D5F" w:rsidRDefault="00EA1B19" w:rsidP="00AA0DDD">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r w:rsidRPr="00083D5F">
              <w:rPr>
                <w:rFonts w:ascii="Times New Roman" w:hAnsi="Times New Roman" w:cs="Times New Roman"/>
                <w:sz w:val="24"/>
                <w:szCs w:val="24"/>
              </w:rPr>
              <w:t>)</w:t>
            </w:r>
          </w:p>
        </w:tc>
      </w:tr>
    </w:tbl>
    <w:p w14:paraId="11A05069" w14:textId="10D2E705" w:rsidR="00EA1B19" w:rsidRPr="00083D5F" w:rsidRDefault="00EA1B19" w:rsidP="00EA1B19">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Pr="00083D5F">
        <w:rPr>
          <w:rFonts w:ascii="Times New Roman" w:hAnsi="Times New Roman" w:cs="Times New Roman"/>
          <w:sz w:val="24"/>
          <w:szCs w:val="24"/>
        </w:rPr>
        <w:t>here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outcome of interest;</w:t>
      </w:r>
      <w:r w:rsidRPr="00083D5F">
        <w:rPr>
          <w:rFonts w:ascii="Times New Roman" w:hAnsi="Times New Roman" w:cs="Times New Roman"/>
          <w:sz w:val="24"/>
          <w:szCs w:val="24"/>
        </w:rPr>
        <w:t xml:space="preserve"> </w:t>
      </w:r>
      <m:oMath>
        <m:r>
          <m:rPr>
            <m:sty m:val="bi"/>
          </m:rPr>
          <w:rPr>
            <w:rFonts w:ascii="Cambria Math" w:hAnsi="Cambria Math" w:cs="Times New Roman"/>
            <w:sz w:val="24"/>
            <w:szCs w:val="24"/>
          </w:rPr>
          <m:t>X</m:t>
        </m:r>
      </m:oMath>
      <w:r w:rsidRPr="00083D5F">
        <w:rPr>
          <w:rFonts w:ascii="Times New Roman" w:hAnsi="Times New Roman" w:cs="Times New Roman"/>
          <w:sz w:val="24"/>
          <w:szCs w:val="24"/>
        </w:rPr>
        <w:t xml:space="preserve"> is the design matrix of predictor variables; </w:t>
      </w:r>
      <m:oMath>
        <m:r>
          <m:rPr>
            <m:sty m:val="bi"/>
          </m:rPr>
          <w:rPr>
            <w:rFonts w:ascii="Cambria Math" w:hAnsi="Cambria Math" w:cs="Times New Roman"/>
            <w:sz w:val="24"/>
            <w:szCs w:val="24"/>
          </w:rPr>
          <m:t>β</m:t>
        </m:r>
      </m:oMath>
      <w:r w:rsidRPr="00083D5F">
        <w:rPr>
          <w:rFonts w:ascii="Times New Roman" w:hAnsi="Times New Roman" w:cs="Times New Roman"/>
          <w:sz w:val="24"/>
          <w:szCs w:val="24"/>
        </w:rPr>
        <w:t xml:space="preserve"> is the vector of parameter estimates;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083D5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083D5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83D5F">
        <w:rPr>
          <w:rFonts w:ascii="Times New Roman" w:hAnsi="Times New Roman" w:cs="Times New Roman"/>
          <w:sz w:val="24"/>
          <w:szCs w:val="24"/>
        </w:rPr>
        <w:t xml:space="preserve"> create the spatial random effect; and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m:t>
            </m:r>
          </m:sub>
        </m:sSub>
      </m:oMath>
      <w:r w:rsidRPr="00083D5F">
        <w:rPr>
          <w:rFonts w:ascii="Times New Roman" w:hAnsi="Times New Roman" w:cs="Times New Roman"/>
          <w:sz w:val="24"/>
          <w:szCs w:val="24"/>
        </w:rPr>
        <w:t xml:space="preserve"> is the precision parameter needed for full hierarchical specification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{"citationItems":[{"id":"ITEM-1","itemData":{"DOI":"10.1016/j.sste.2015.08.001","ISBN":"1877-5853 (Electronic)\r1877-5845 (Linking)","PMID":"26530822","author":[{"dropping-particle":"","family":"Carroll","given":"R","non-dropping-particle":"","parse-names":false,"suffix":""},{"dropping-particle":"","family":"Lawson","given":"A B","non-dropping-particle":"","parse-names":false,"suffix":""},{"dropping-particle":"","family":"Faes","given":"C","non-dropping-particle":"","parse-names":false,"suffix":""},{"dropping-particle":"","family":"Kirby","given":"R S","non-dropping-particle":"","parse-names":false,"suffix":""},{"dropping-particle":"","family":"Aregay","given":"M","non-dropping-particle":"","parse-names":false,"suffix":""},{"dropping-particle":"","family":"Watjou","given":"K","non-dropping-particle":"","parse-names":false,"suffix":""}],"container-title":"Spat Spatiotemporal Epidemiol","id":"ITEM-1","issued":{"date-parts":[["2015"]]},"page":"45-54","title":"Comparing INLA and OpenBUGS for hierarchical Poisson modeling in disease mapping","type":"article-journal","volume":"14-15"},"uris":["http://www.mendeley.com/documents/?uuid=a36f17ba-21d2-4d80-985b-f76327392184"]}],"mendeley":{"formattedCitation":"(Carroll et al. 2015)","plainTextFormattedCitation":"(Carroll et al. 2015)","previouslyFormattedCitation":"(Carroll et al. 2015)"},"properties":{"noteIndex":0},"schema":"https://github.com/citation-style-language/schema/raw/master/csl-citation.json"}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(Carroll et al.</w:t>
      </w:r>
      <w:r w:rsidR="00291A15">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2015)</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For the spatial random effect, the uncorrelated option assumes random identical and independently distributed variation across the state, while the correlated option assumes spatial correlation in the random effect structure, such that closer spatial areas are assumed to be more alike. This correlated model is </w:t>
      </w:r>
      <w:r w:rsidRPr="00083D5F">
        <w:rPr>
          <w:rFonts w:ascii="Times New Roman" w:hAnsi="Times New Roman" w:cs="Times New Roman"/>
          <w:sz w:val="24"/>
          <w:szCs w:val="24"/>
        </w:rPr>
        <w:lastRenderedPageBreak/>
        <w:t xml:space="preserve">known as the conditional autoregressive model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{"citationItems":[{"id":"ITEM-1","itemData":{"author":[{"dropping-particle":"","family":"Besag","given":"J","non-dropping-particle":"","parse-names":false,"suffix":""},{"dropping-particle":"","family":"Green","given":"P J","non-dropping-particle":"","parse-names":false,"suffix":""}],"container-title":"J Roy Stat Soc B","id":"ITEM-1","issue":"1","issued":{"date-parts":[["1993"]]},"page":"25-37","title":"Spatial Statistics and Bayesian Computation.","type":"article-journal","volume":"55"},"uris":["http://www.mendeley.com/documents/?uuid=649ba0fe-7fae-449b-a5f8-92284f83dc43"]},{"id":"ITEM-2","itemData":{"DOI":"10.1007/bf00116466","ISBN":"0020-3157\r1572-9052","author":[{"dropping-particle":"","family":"Besag","given":"Julian","non-dropping-particle":"","parse-names":false,"suffix":""},{"dropping-particle":"","family":"York","given":"Jeremy","non-dropping-particle":"","parse-names":false,"suffix":""},{"dropping-particle":"","family":"Mollié","given":"Annie","non-dropping-particle":"","parse-names":false,"suffix":""}],"container-title":"Ann Inst Stat Math","id":"ITEM-2","issue":"1","issued":{"date-parts":[["1991"]]},"page":"1-20","title":"Bayesian image restoration, with two applications in spatial statistics","type":"article-journal","volume":"43"},"uris":["http://www.mendeley.com/documents/?uuid=741406ed-58f3-4abe-a91d-148362b47ed4"]}],"mendeley":{"formattedCitation":"(Besag et al. 1991; Besag and Green 1993)","plainTextFormattedCitation":"(Besag et al. 1991; Besag and Green 1993)","previouslyFormattedCitation":"(Besag et al. 1991; Besag and Green 1993)"},"properties":{"noteIndex":0},"schema":"https://github.com/citation-style-language/schema/raw/master/csl-citation.json"}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(Besag et al.</w:t>
      </w:r>
      <w:r w:rsidR="00291A15">
        <w:rPr>
          <w:rFonts w:ascii="Times New Roman" w:hAnsi="Times New Roman" w:cs="Times New Roman"/>
          <w:noProof/>
          <w:sz w:val="24"/>
          <w:szCs w:val="24"/>
        </w:rPr>
        <w:t>,</w:t>
      </w:r>
      <w:r w:rsidRPr="00083D5F">
        <w:rPr>
          <w:rFonts w:ascii="Times New Roman" w:hAnsi="Times New Roman" w:cs="Times New Roman"/>
          <w:noProof/>
          <w:sz w:val="24"/>
          <w:szCs w:val="24"/>
        </w:rPr>
        <w:t xml:space="preserve"> 1991; Besag </w:t>
      </w:r>
      <w:r w:rsidR="00291A15">
        <w:rPr>
          <w:rFonts w:ascii="Times New Roman" w:hAnsi="Times New Roman" w:cs="Times New Roman"/>
          <w:noProof/>
          <w:sz w:val="24"/>
          <w:szCs w:val="24"/>
        </w:rPr>
        <w:t>&amp;</w:t>
      </w:r>
      <w:r w:rsidRPr="00083D5F">
        <w:rPr>
          <w:rFonts w:ascii="Times New Roman" w:hAnsi="Times New Roman" w:cs="Times New Roman"/>
          <w:noProof/>
          <w:sz w:val="24"/>
          <w:szCs w:val="24"/>
        </w:rPr>
        <w:t xml:space="preserve"> Green</w:t>
      </w:r>
      <w:r w:rsidR="00291A15">
        <w:rPr>
          <w:rFonts w:ascii="Times New Roman" w:hAnsi="Times New Roman" w:cs="Times New Roman"/>
          <w:noProof/>
          <w:sz w:val="24"/>
          <w:szCs w:val="24"/>
        </w:rPr>
        <w:t>,</w:t>
      </w:r>
      <w:r w:rsidRPr="00083D5F">
        <w:rPr>
          <w:rFonts w:ascii="Times New Roman" w:hAnsi="Times New Roman" w:cs="Times New Roman"/>
          <w:noProof/>
          <w:sz w:val="24"/>
          <w:szCs w:val="24"/>
        </w:rPr>
        <w:t xml:space="preserve"> 1993)</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The baseline models evaluate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func>
        <m:r>
          <w:rPr>
            <w:rFonts w:ascii="Cambria Math" w:hAnsi="Cambria Math" w:cs="Times New Roman"/>
            <w:sz w:val="24"/>
            <w:szCs w:val="24"/>
          </w:rPr>
          <m:t>=</m:t>
        </m:r>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i</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β</m:t>
        </m:r>
      </m:oMath>
      <w:r w:rsidRPr="00083D5F">
        <w:rPr>
          <w:rFonts w:ascii="Times New Roman" w:hAnsi="Times New Roman" w:cs="Times New Roman"/>
          <w:sz w:val="24"/>
          <w:szCs w:val="24"/>
        </w:rPr>
        <w:t>.</w:t>
      </w:r>
    </w:p>
    <w:p w14:paraId="4E39931A" w14:textId="02080DDF" w:rsidR="00EA1B19" w:rsidRPr="00083D5F"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Model goodness of fit and comparisons were accomplished by examining both </w:t>
      </w:r>
      <w:r w:rsidRPr="00083D5F">
        <w:rPr>
          <w:rFonts w:ascii="Times New Roman" w:eastAsiaTheme="minorEastAsia" w:hAnsi="Times New Roman" w:cs="Times New Roman"/>
          <w:sz w:val="24"/>
          <w:szCs w:val="24"/>
        </w:rPr>
        <w:t xml:space="preserve">deviance information criterion (DIC) and Watanabe-Akaike information criterion (WAIC)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{"citationItems":[{"id":"ITEM-1","itemData":{"DOI":"10.1.1.407.7976","author":[{"dropping-particle":"","family":"Watanabe","given":"S","non-dropping-particle":"","parse-names":false,"suffix":""}],"container-title":"J Mach Learn Res","id":"ITEM-1","issue":"Dec","issued":{"date-parts":[["2010"]]},"page":"3571-3594","title":"Asymptotic equivalence of Bayes cross validation and widely applicable information criterion in singular learning theory.","type":"article-journal","volume":"11"},"uris":["http://www.mendeley.com/documents/?uuid=639d8b8f-8bd5-46c5-9152-9350fcdf1978"]},{"id":"ITEM-2","itemData":{"DOI":"10.1111/1467-9868.00353","ISBN":"1369-7412\r1467-9868","author":[{"dropping-particle":"","family":"Spiegelhalter","given":"D J","non-dropping-particle":"","parse-names":false,"suffix":""},{"dropping-particle":"","family":"Best","given":"N G","non-dropping-particle":"","parse-names":false,"suffix":""},{"dropping-particle":"","family":"Carlin","given":"B P","non-dropping-particle":"","parse-names":false,"suffix":""},{"dropping-particle":"","family":"Linde","given":"A","non-dropping-particle":"van der","parse-names":false,"suffix":""}],"container-title":"J Roy Statist Soc B","id":"ITEM-2","issue":"4","issued":{"date-parts":[["2002"]]},"page":"583-639","title":"Bayesian measures of model complexity and fit.","type":"article-journal","volume":"64"},"uris":["http://www.mendeley.com/documents/?uuid=6cf0fd30-8af3-405c-942c-267394177423"]}],"mendeley":{"formattedCitation":"(Spiegelhalter et al. 2002; Watanabe 2010)","plainTextFormattedCitation":"(Spiegelhalter et al. 2002; Watanabe 2010)","previouslyFormattedCitation":"(Spiegelhalter et al. 2002; Watanabe 2010)"},"properties":{"noteIndex":0},"schema":"https://github.com/citation-style-language/schema/raw/master/csl-citation.json"}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091688">
        <w:rPr>
          <w:rFonts w:ascii="Times New Roman" w:eastAsiaTheme="minorEastAsia" w:hAnsi="Times New Roman" w:cs="Times New Roman"/>
          <w:noProof/>
          <w:sz w:val="24"/>
          <w:szCs w:val="24"/>
        </w:rPr>
        <w:t>(Spiegelhalter et al.</w:t>
      </w:r>
      <w:r w:rsidR="00705FC9">
        <w:rPr>
          <w:rFonts w:ascii="Times New Roman" w:eastAsiaTheme="minorEastAsia" w:hAnsi="Times New Roman" w:cs="Times New Roman"/>
          <w:noProof/>
          <w:sz w:val="24"/>
          <w:szCs w:val="24"/>
        </w:rPr>
        <w:t>,</w:t>
      </w:r>
      <w:r w:rsidRPr="00091688">
        <w:rPr>
          <w:rFonts w:ascii="Times New Roman" w:eastAsiaTheme="minorEastAsia" w:hAnsi="Times New Roman" w:cs="Times New Roman"/>
          <w:noProof/>
          <w:sz w:val="24"/>
          <w:szCs w:val="24"/>
        </w:rPr>
        <w:t xml:space="preserve"> 2002; Watanabe</w:t>
      </w:r>
      <w:r w:rsidR="00705FC9">
        <w:rPr>
          <w:rFonts w:ascii="Times New Roman" w:eastAsiaTheme="minorEastAsia" w:hAnsi="Times New Roman" w:cs="Times New Roman"/>
          <w:noProof/>
          <w:sz w:val="24"/>
          <w:szCs w:val="24"/>
        </w:rPr>
        <w:t>,</w:t>
      </w:r>
      <w:r w:rsidRPr="00091688">
        <w:rPr>
          <w:rFonts w:ascii="Times New Roman" w:eastAsiaTheme="minorEastAsia" w:hAnsi="Times New Roman" w:cs="Times New Roman"/>
          <w:noProof/>
          <w:sz w:val="24"/>
          <w:szCs w:val="24"/>
        </w:rPr>
        <w:t xml:space="preserve"> 2010)</w:t>
      </w:r>
      <w:r>
        <w:rPr>
          <w:rFonts w:ascii="Times New Roman" w:eastAsiaTheme="minorEastAsia" w:hAnsi="Times New Roman" w:cs="Times New Roman"/>
          <w:sz w:val="24"/>
          <w:szCs w:val="24"/>
        </w:rPr>
        <w:fldChar w:fldCharType="end"/>
      </w:r>
      <w:r w:rsidRPr="00083D5F">
        <w:rPr>
          <w:rFonts w:ascii="Times New Roman" w:eastAsiaTheme="minorEastAsia" w:hAnsi="Times New Roman" w:cs="Times New Roman"/>
          <w:sz w:val="24"/>
          <w:szCs w:val="24"/>
        </w:rPr>
        <w:t>. These measures are functions of the models’ deviance estimates such that smaller values indicate a better fitting model, and a difference of four units is considered a significant difference in fit</w:t>
      </w:r>
      <w:r>
        <w:rPr>
          <w:rFonts w:ascii="Times New Roman" w:eastAsiaTheme="minorEastAsia" w:hAnsi="Times New Roman" w:cs="Times New Roman"/>
          <w:sz w:val="24"/>
          <w:szCs w:val="24"/>
        </w:rPr>
        <w:t xml:space="preserve"> </w:t>
      </w:r>
      <w:r w:rsidRPr="00083D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{"citationItems":[{"id":"ITEM-1","itemData":{"DOI":"10.1.1.407.7976","author":[{"dropping-particle":"","family":"Watanabe","given":"S","non-dropping-particle":"","parse-names":false,"suffix":""}],"container-title":"J Mach Learn Res","id":"ITEM-1","issue":"Dec","issued":{"date-parts":[["2010"]]},"page":"3571-3594","title":"Asymptotic equivalence of Bayes cross validation and widely applicable information criterion in singular learning theory.","type":"article-journal","volume":"11"},"uris":["http://www.mendeley.com/documents/?uuid=639d8b8f-8bd5-46c5-9152-9350fcdf1978"]},{"id":"ITEM-2","itemData":{"DOI":"10.1111/1467-9868.00353","ISBN":"1369-7412\r1467-9868","author":[{"dropping-particle":"","family":"Spiegelhalter","given":"D J","non-dropping-particle":"","parse-names":false,"suffix":""},{"dropping-particle":"","family":"Best","given":"N G","non-dropping-particle":"","parse-names":false,"suffix":""},{"dropping-particle":"","family":"Carlin","given":"B P","non-dropping-particle":"","parse-names":false,"suffix":""},{"dropping-particle":"","family":"Linde","given":"A","non-dropping-particle":"van der","parse-names":false,"suffix":""}],"container-title":"J Roy Statist Soc B","id":"ITEM-2","issue":"4","issued":{"date-parts":[["2002"]]},"page":"583-639","title":"Bayesian measures of model complexity and fit.","type":"article-journal","volume":"64"},"uris":["http://www.mendeley.com/documents/?uuid=6cf0fd30-8af3-405c-942c-267394177423"]}],"mendeley":{"formattedCitation":"(Spiegelhalter et al. 2002; Watanabe 2010)","plainTextFormattedCitation":"(Spiegelhalter et al. 2002; Watanabe 2010)","previouslyFormattedCitation":"(Spiegelhalter et al. 2002; Watanabe 2010)"},"properties":{"noteIndex":0},"schema":"https://github.com/citation-style-language/schema/raw/master/csl-citation.json"}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091688">
        <w:rPr>
          <w:rFonts w:ascii="Times New Roman" w:eastAsiaTheme="minorEastAsia" w:hAnsi="Times New Roman" w:cs="Times New Roman"/>
          <w:noProof/>
          <w:sz w:val="24"/>
          <w:szCs w:val="24"/>
        </w:rPr>
        <w:t>(Spiegelhalter et al.</w:t>
      </w:r>
      <w:r w:rsidR="00705FC9">
        <w:rPr>
          <w:rFonts w:ascii="Times New Roman" w:eastAsiaTheme="minorEastAsia" w:hAnsi="Times New Roman" w:cs="Times New Roman"/>
          <w:noProof/>
          <w:sz w:val="24"/>
          <w:szCs w:val="24"/>
        </w:rPr>
        <w:t>,</w:t>
      </w:r>
      <w:r w:rsidRPr="00091688">
        <w:rPr>
          <w:rFonts w:ascii="Times New Roman" w:eastAsiaTheme="minorEastAsia" w:hAnsi="Times New Roman" w:cs="Times New Roman"/>
          <w:noProof/>
          <w:sz w:val="24"/>
          <w:szCs w:val="24"/>
        </w:rPr>
        <w:t xml:space="preserve"> 2002; Watanabe</w:t>
      </w:r>
      <w:r w:rsidR="00705FC9">
        <w:rPr>
          <w:rFonts w:ascii="Times New Roman" w:eastAsiaTheme="minorEastAsia" w:hAnsi="Times New Roman" w:cs="Times New Roman"/>
          <w:noProof/>
          <w:sz w:val="24"/>
          <w:szCs w:val="24"/>
        </w:rPr>
        <w:t>,</w:t>
      </w:r>
      <w:r w:rsidRPr="00091688">
        <w:rPr>
          <w:rFonts w:ascii="Times New Roman" w:eastAsiaTheme="minorEastAsia" w:hAnsi="Times New Roman" w:cs="Times New Roman"/>
          <w:noProof/>
          <w:sz w:val="24"/>
          <w:szCs w:val="24"/>
        </w:rPr>
        <w:t xml:space="preserve"> 2010)</w:t>
      </w:r>
      <w:r>
        <w:rPr>
          <w:rFonts w:ascii="Times New Roman" w:eastAsiaTheme="minorEastAsia" w:hAnsi="Times New Roman" w:cs="Times New Roman"/>
          <w:sz w:val="24"/>
          <w:szCs w:val="24"/>
        </w:rPr>
        <w:fldChar w:fldCharType="end"/>
      </w:r>
      <w:r w:rsidRPr="00083D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See supplement methods section 1.2. for more complete details of these measures.</w:t>
      </w:r>
    </w:p>
    <w:p w14:paraId="11CD26D0" w14:textId="7C67B4C1" w:rsidR="00EA1B19" w:rsidRPr="00083D5F"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These analyses were performed with R statistical software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{"citationItems":[{"id":"ITEM-1","itemData":{"container-title":"R Foundation for Statistical Computing","id":"ITEM-1","issued":{"date-parts":[["2015"]]},"publisher-place":"Vienna, Austria. ","title":"R Core Team. R: A language and environment for statistical computing.","type":"article"},"uris":["http://www.mendeley.com/documents/?uuid=5657ff6c-cece-4265-9afc-b78356c758c1"]}],"mendeley":{"formattedCitation":"(“R Core Team. R: A language and environment for statistical computing.” 2015)","plainTextFormattedCitation":"(“R Core Team. R: A language and environment for statistical computing.” 2015)","previouslyFormattedCitation":"(“R Core Team. R: A language and environment for statistical computing.” 2015)"},"properties":{"noteIndex":0},"schema":"https://github.com/citation-style-language/schema/raw/master/csl-citation.json"}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(R Core Team</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2015)</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fillmap</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{"citationItems":[{"id":"ITEM-1","itemData":{"author":[{"dropping-particle":"","family":"Carroll","given":"R","non-dropping-particle":"","parse-names":false,"suffix":""}],"edition":"R package ","id":"ITEM-1","issued":{"date-parts":[["2016"]]},"title":"fillmap: Create maps with SpatialPolygons objects.","type":"article"},"uris":["http://www.mendeley.com/documents/?uuid=49aed72a-a4de-4eeb-b001-d39e5c63a169"]}],"mendeley":{"formattedCitation":"(Carroll 2016)","plainTextFormattedCitation":"(Carroll 2016)","previouslyFormattedCitation":"(Carroll 2016)"},"properties":{"noteIndex":0},"schema":"https://github.com/citation-style-language/schema/raw/master/csl-citation.json"}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(Carroll</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2016)</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INLA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{"citationItems":[{"id":"ITEM-1","itemData":{"DOI":"10.1016/j.sste.2012.12.001","ISBN":"1877-5853 (Electronic)\r1877-5845 (Linking)","PMID":"23481252","author":[{"dropping-particle":"","family":"Blangiardo","given":"M","non-dropping-particle":"","parse-names":false,"suffix":""},{"dropping-particle":"","family":"Cameletti","given":"M","non-dropping-particle":"","parse-names":false,"suffix":""},{"dropping-particle":"","family":"Baio","given":"G","non-dropping-particle":"","parse-names":false,"suffix":""},{"dropping-particle":"","family":"Rue","given":"H","non-dropping-particle":"","parse-names":false,"suffix":""}],"container-title":"Spat Spatiotemporal Epidemiol","id":"ITEM-1","issued":{"date-parts":[["2013"]]},"page":"33-49","title":"Spatial and spatio-temporal models with R-INLA","type":"article-journal","volume":"4"},"uris":["http://www.mendeley.com/documents/?uuid=dc2bd358-50e7-4407-a1aa-c45201f66966"]},{"id":"ITEM-2","itemData":{"DOI":"10.1002/env.1137","ISBN":"11804009","author":[{"dropping-particle":"","family":"Simpson","given":"Daniel","non-dropping-particle":"","parse-names":false,"suffix":""},{"dropping-particle":"","family":"Lindgren","given":"Finn","non-dropping-particle":"","parse-names":false,"suffix":""},{"dropping-particle":"","family":"Rue","given":"Håvard","non-dropping-particle":"","parse-names":false,"suffix":""}],"container-title":"Environmetrics","id":"ITEM-2","issue":"1","issued":{"date-parts":[["2012"]]},"page":"65-74","title":"In order to make spatial statistics computationally feasible, we need to forget about the covariance function","type":"article-journal","volume":"23"},"uris":["http://www.mendeley.com/documents/?uuid=8caac3ad-a825-4189-bb62-71ce21300e0a"]},{"id":"ITEM-3","itemData":{"DOI":"10.1016/j.csda.2013.04.014","ISBN":"01679473","author":[{"dropping-particle":"","family":"Martins","given":"Thiago G","non-dropping-particle":"","parse-names":false,"suffix":""},{"dropping-particle":"","family":"Simpson","given":"Daniel","non-dropping-particle":"","parse-names":false,"suffix":""},{"dropping-particle":"","family":"Lindgren","given":"Finn","non-dropping-particle":"","parse-names":false,"suffix":""},{"dropping-particle":"","family":"Rue","given":"Håvard","non-dropping-particle":"","parse-names":false,"suffix":""}],"container-title":"Comput Stat Data An","id":"ITEM-3","issued":{"date-parts":[["2013"]]},"page":"68-83","title":"Bayesian computing with INLA: New features","type":"article-journal","volume":"67"},"uris":["http://www.mendeley.com/documents/?uuid=52f97bb4-45b8-4b44-845f-3025b8b99db8"]},{"id":"ITEM-4","itemData":{"author":[{"dropping-particle":"","family":"Rue","given":"H","non-dropping-particle":"","parse-names":false,"suffix":""},{"dropping-particle":"","family":"Martino","given":"S","non-dropping-particle":"","parse-names":false,"suffix":""},{"dropping-particle":"","family":"Chopin","given":"N","non-dropping-particle":"","parse-names":false,"suffix":""}],"container-title":"J R Stat Soc B","id":"ITEM-4","issued":{"date-parts":[["2009"]]},"page":"319-392","title":"Approximate Bayesian inference for latent Gaussian models using integrated nested Laplace approximations (with discussion)","type":"article-journal","volume":"71"},"uris":["http://www.mendeley.com/documents/?uuid=ea9c2394-30b8-4902-9414-6afc36f7aa4d"]}],"mendeley":{"formattedCitation":"(Blangiardo et al. 2013; Martins et al. 2013; Rue et al. 2009; Simpson et al. 2012)","plainTextFormattedCitation":"(Blangiardo et al. 2013; Martins et al. 2013; Rue et al. 2009; Simpson et al. 2012)","previouslyFormattedCitation":"(Blangiardo et al. 2013; Martins et al. 2013; Rue et al. 2009; Simpson et al. 2012)"},"properties":{"noteIndex":0},"schema":"https://github.com/citation-style-language/schema/raw/master/csl-citation.json"}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(Blangiardo et al.</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2013; Martins et al.</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2013; Rue et al.</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2009; Simpson et al.</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2012)</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car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Fox","given":"John","non-dropping-particle":"","parse-names":false,"suffix":""},{"dropping-particle":"","family":"Weisberg","given":"Sanford","non-dropping-particle":"","parse-names":false,"suffix":""}],"edition":"3rd","id":"ITEM-1","issued":{"date-parts":[["2019"]]},"publisher":"Sage Publications","publisher-place":"Thousand Oaks, California","title":"An R Companion to Applied Regression","type":"book"},"uris":["http://www.mendeley.com/documents/?uuid=99108bd2-31a8-4a71-942f-c7255509a877"]}],"mendeley":{"formattedCitation":"(Fox and Weisberg 2019)","plainTextFormattedCitation":"(Fox and Weisberg 2019)","previouslyFormattedCitation":"(Fox and Weisberg 2019)"},"properties":{"noteIndex":0},"schema":"https://github.com/citation-style-language/schema/raw/master/csl-citation.json"}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 xml:space="preserve">(Fox </w:t>
      </w:r>
      <w:r w:rsidR="00291A15">
        <w:rPr>
          <w:rFonts w:ascii="Times New Roman" w:hAnsi="Times New Roman" w:cs="Times New Roman"/>
          <w:noProof/>
          <w:sz w:val="24"/>
          <w:szCs w:val="24"/>
        </w:rPr>
        <w:t>&amp;</w:t>
      </w:r>
      <w:r w:rsidRPr="00083D5F">
        <w:rPr>
          <w:rFonts w:ascii="Times New Roman" w:hAnsi="Times New Roman" w:cs="Times New Roman"/>
          <w:noProof/>
          <w:sz w:val="24"/>
          <w:szCs w:val="24"/>
        </w:rPr>
        <w:t xml:space="preserve"> Weisberg</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2019)</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rgdal</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ivand","given":"Roger","non-dropping-particle":"","parse-names":false,"suffix":""},{"dropping-particle":"","family":"Rowlingson","given":"Barry","non-dropping-particle":"","parse-names":false,"suffix":""},{"dropping-particle":"","family":"Tim","given":"Keitt","non-dropping-particle":"","parse-names":false,"suffix":""}],"id":"ITEM-1","issued":{"date-parts":[["2019"]]},"number":"R package version 1.4-6","title":"rgdal: Bindings for the 'Geospatial' Data","type":"article"},"uris":["http://www.mendeley.com/documents/?uuid=1229e1ba-a0ab-4a1f-ad35-f5ef1e247408"]}],"mendeley":{"formattedCitation":"(Bivand et al. 2019)","plainTextFormattedCitation":"(Bivand et al. 2019)","previouslyFormattedCitation":"(Bivand et al. 2019)"},"properties":{"noteIndex":0},"schema":"https://github.com/citation-style-language/schema/raw/master/csl-citation.json"}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(Bivand et al.</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2019)</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spdep</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{"citationItems":[{"id":"ITEM-1","itemData":{"author":[{"dropping-particle":"","family":"Bivand","given":"Roger S.","non-dropping-particle":"","parse-names":false,"suffix":""},{"dropping-particle":"","family":"Pebesma","given":"Edzer","non-dropping-particle":"","parse-names":false,"suffix":""},{"dropping-particle":"","family":"Gomez-Rubio","given":"Virgilio","non-dropping-particle":"","parse-names":false,"suffix":""}],"edition":"Second","id":"ITEM-1","issued":{"date-parts":[["0"]]},"publisher":"Springer","publisher-place":"New York","title":"Applied spatial data analysis with R","type":"book"},"uris":["http://www.mendeley.com/documents/?uuid=58092abe-7b2e-44cd-9e9e-811fa4df1b13"]},{"id":"ITEM-2","itemData":{"DOI":"10.1007/s11749-018-0599-x","ISSN":"1133-0686","author":[{"dropping-particle":"","family":"Bivand","given":"Roger S.","non-dropping-particle":"","parse-names":false,"suffix":""},{"dropping-particle":"","family":"Wong","given":"David W. S.","non-dropping-particle":"","parse-names":false,"suffix":""}],"container-title":"TEST","id":"ITEM-2","issue":"3","issued":{"date-parts":[["2018","9","27"]]},"page":"716-748","title":"Comparing implementations of global and local indicators of spatial association","type":"article-journal","volume":"27"},"uris":["http://www.mendeley.com/documents/?uuid=e295afd2-0239-4fc4-813a-df315155829a"]}],"mendeley":{"formattedCitation":"(Bivand et al. n.d.; Bivand and Wong 2018)","plainTextFormattedCitation":"(Bivand et al. n.d.; Bivand and Wong 2018)","previouslyFormattedCitation":"(Bivand et al. n.d.; Bivand and Wong 2018)"},"properties":{"noteIndex":0},"schema":"https://github.com/citation-style-language/schema/raw/master/csl-citation.json"}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(Bivand et al.</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n.d.; Bivand and Wong</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2018)</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maptools</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ivand","given":"Roger","non-dropping-particle":"","parse-names":false,"suffix":""},{"dropping-particle":"","family":"Lewin-Koh","given":"Nicholas","non-dropping-particle":"","parse-names":false,"suffix":""}],"id":"ITEM-1","issued":{"date-parts":[["2001"]]},"number":"R package version 0.9-4.","title":"maptools: Tools for Handling Spatial Objects","type":"article"},"uris":["http://www.mendeley.com/documents/?uuid=7d8d0b04-85f2-4a9c-bf1a-b1c63228ac22"]}],"mendeley":{"formattedCitation":"(Bivand and Lewin-Koh 2001)","plainTextFormattedCitation":"(Bivand and Lewin-Koh 2001)","previouslyFormattedCitation":"(Bivand and Lewin-Koh 2001)"},"properties":{"noteIndex":0},"schema":"https://github.com/citation-style-language/schema/raw/master/csl-citation.json"}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 xml:space="preserve">(Bivand </w:t>
      </w:r>
      <w:r w:rsidR="00291A15">
        <w:rPr>
          <w:rFonts w:ascii="Times New Roman" w:hAnsi="Times New Roman" w:cs="Times New Roman"/>
          <w:noProof/>
          <w:sz w:val="24"/>
          <w:szCs w:val="24"/>
        </w:rPr>
        <w:t>&amp;</w:t>
      </w:r>
      <w:r w:rsidRPr="00083D5F">
        <w:rPr>
          <w:rFonts w:ascii="Times New Roman" w:hAnsi="Times New Roman" w:cs="Times New Roman"/>
          <w:noProof/>
          <w:sz w:val="24"/>
          <w:szCs w:val="24"/>
        </w:rPr>
        <w:t xml:space="preserve"> Lewin-Koh</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2001)</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viridis</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{"citationItems":[{"id":"ITEM-1","itemData":{"author":[{"dropping-particle":"","family":"Garnier","given":"Simon","non-dropping-particle":"","parse-names":false,"suffix":""}],"id":"ITEM-1","issued":{"date-parts":[["2018"]]},"number":"R package version 0.5.1","title":"viridis: Default Color Maps from 'matplotlib'.","type":"article"},"uris":["http://www.mendeley.com/documents/?uuid=00dd68e6-5b3d-4952-a35a-d182e50ec74e"]}],"mendeley":{"formattedCitation":"(Garnier 2018)","plainTextFormattedCitation":"(Garnier 2018)","previouslyFormattedCitation":"(Garnier 2018)"},"properties":{"noteIndex":0},"schema":"https://github.com/citation-style-language/schema/raw/master/csl-citation.json"}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(Garnier</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2018)</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proofErr w:type="spellStart"/>
      <w:r w:rsidRPr="00083D5F">
        <w:rPr>
          <w:rFonts w:ascii="Times New Roman" w:hAnsi="Times New Roman" w:cs="Times New Roman"/>
          <w:sz w:val="24"/>
          <w:szCs w:val="24"/>
        </w:rPr>
        <w:t>visdat</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{"citationItems":[{"id":"ITEM-1","itemData":{"DOI":"10.21105/joss.00355","ISSN":"2475-9066","author":[{"dropping-particle":"","family":"Tierney","given":"Nicholas","non-dropping-particle":"","parse-names":false,"suffix":""}],"container-title":"The Journal of Open Source Software","id":"ITEM-1","issue":"16","issued":{"date-parts":[["2017","8","22"]]},"page":"355","title":"visdat: Visualising Whole Data Frames","type":"article-journal","volume":"2"},"uris":["http://www.mendeley.com/documents/?uuid=2173eb6c-4b55-41f5-b450-36b7b2b42753"]}],"mendeley":{"formattedCitation":"(Tierney 2017)","plainTextFormattedCitation":"(Tierney 2017)","previouslyFormattedCitation":"(Tierney 2017)"},"properties":{"noteIndex":0},"schema":"https://github.com/citation-style-language/schema/raw/master/csl-citation.json"}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(Tierney</w:t>
      </w:r>
      <w:r w:rsidR="00705FC9">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2017)</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and </w:t>
      </w:r>
      <w:proofErr w:type="spellStart"/>
      <w:r w:rsidRPr="00083D5F">
        <w:rPr>
          <w:rFonts w:ascii="Times New Roman" w:hAnsi="Times New Roman" w:cs="Times New Roman"/>
          <w:sz w:val="24"/>
          <w:szCs w:val="24"/>
        </w:rPr>
        <w:t>corrplot</w:t>
      </w:r>
      <w:proofErr w:type="spellEnd"/>
      <w:r w:rsidRPr="00083D5F">
        <w:rPr>
          <w:rFonts w:ascii="Times New Roman" w:hAnsi="Times New Roman" w:cs="Times New Roman"/>
          <w:sz w:val="24"/>
          <w:szCs w:val="24"/>
        </w:rPr>
        <w:t xml:space="preserve">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given":"Wei","non-dropping-particle":"","parse-names":false,"suffix":""},{"dropping-particle":"","family":"V.","given":"Simko","non-dropping-particle":"","parse-names":false,"suffix":""}],"edition":"0.84","id":"ITEM-1","issued":{"date-parts":[["2017"]]},"page":"R package","title":"corrplot:  Visualization of a correlation matrix","type":"article"},"uris":["http://www.mendeley.com/documents/?uuid=fd9cda76-f7b3-451d-b8d9-be79e5e91a72"]}],"mendeley":{"formattedCitation":"(T. and V. 2017)","plainTextFormattedCitation":"(T. and V. 2017)","previouslyFormattedCitation":"(T. and V. 2017)"},"properties":{"noteIndex":0},"schema":"https://github.com/citation-style-language/schema/raw/master/csl-citation.json"}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w:t>
      </w:r>
      <w:r w:rsidR="00A85996">
        <w:rPr>
          <w:rFonts w:ascii="Times New Roman" w:hAnsi="Times New Roman" w:cs="Times New Roman"/>
          <w:noProof/>
          <w:sz w:val="24"/>
          <w:szCs w:val="24"/>
        </w:rPr>
        <w:t xml:space="preserve">Wei </w:t>
      </w:r>
      <w:r w:rsidR="00291A15">
        <w:rPr>
          <w:rFonts w:ascii="Times New Roman" w:hAnsi="Times New Roman" w:cs="Times New Roman"/>
          <w:noProof/>
          <w:sz w:val="24"/>
          <w:szCs w:val="24"/>
        </w:rPr>
        <w:t>&amp;</w:t>
      </w:r>
      <w:r w:rsidR="00A85996">
        <w:rPr>
          <w:rFonts w:ascii="Times New Roman" w:hAnsi="Times New Roman" w:cs="Times New Roman"/>
          <w:noProof/>
          <w:sz w:val="24"/>
          <w:szCs w:val="24"/>
        </w:rPr>
        <w:t xml:space="preserve"> Simko,</w:t>
      </w:r>
      <w:r w:rsidRPr="00083D5F">
        <w:rPr>
          <w:rFonts w:ascii="Times New Roman" w:hAnsi="Times New Roman" w:cs="Times New Roman"/>
          <w:noProof/>
          <w:sz w:val="24"/>
          <w:szCs w:val="24"/>
        </w:rPr>
        <w:t xml:space="preserve"> 2017)</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INLA provided the means of model fitting via the integrated nest Laplace approximation for Bayesian inference </w:t>
      </w:r>
      <w:r w:rsidRPr="00083D5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{"citationItems":[{"id":"ITEM-1","itemData":{"DOI":"10.1016/j.sste.2012.12.001","ISBN":"1877-5853 (Electronic)\r1877-5845 (Linking)","PMID":"23481252","author":[{"dropping-particle":"","family":"Blangiardo","given":"M","non-dropping-particle":"","parse-names":false,"suffix":""},{"dropping-particle":"","family":"Cameletti","given":"M","non-dropping-particle":"","parse-names":false,"suffix":""},{"dropping-particle":"","family":"Baio","given":"G","non-dropping-particle":"","parse-names":false,"suffix":""},{"dropping-particle":"","family":"Rue","given":"H","non-dropping-particle":"","parse-names":false,"suffix":""}],"container-title":"Spat Spatiotemporal Epidemiol","id":"ITEM-1","issued":{"date-parts":[["2013"]]},"page":"33-49","title":"Spatial and spatio-temporal models with R-INLA","type":"article-journal","volume":"4"},"uris":["http://www.mendeley.com/documents/?uuid=dc2bd358-50e7-4407-a1aa-c45201f66966"]},{"id":"ITEM-2","itemData":{"DOI":"10.1002/env.1137","ISBN":"11804009","author":[{"dropping-particle":"","family":"Simpson","given":"Daniel","non-dropping-particle":"","parse-names":false,"suffix":""},{"dropping-particle":"","family":"Lindgren","given":"Finn","non-dropping-particle":"","parse-names":false,"suffix":""},{"dropping-particle":"","family":"Rue","given":"Håvard","non-dropping-particle":"","parse-names":false,"suffix":""}],"container-title":"Environmetrics","id":"ITEM-2","issue":"1","issued":{"date-parts":[["2012"]]},"page":"65-74","title":"In order to make spatial statistics computationally feasible, we need to forget about the covariance function","type":"article-journal","volume":"23"},"uris":["http://www.mendeley.com/documents/?uuid=8caac3ad-a825-4189-bb62-71ce21300e0a"]},{"id":"ITEM-3","itemData":{"DOI":"10.1016/j.csda.2013.04.014","ISBN":"01679473","author":[{"dropping-particle":"","family":"Martins","given":"Thiago G","non-dropping-particle":"","parse-names":false,"suffix":""},{"dropping-particle":"","family":"Simpson","given":"Daniel","non-dropping-particle":"","parse-names":false,"suffix":""},{"dropping-particle":"","family":"Lindgren","given":"Finn","non-dropping-particle":"","parse-names":false,"suffix":""},{"dropping-particle":"","family":"Rue","given":"Håvard","non-dropping-particle":"","parse-names":false,"suffix":""}],"container-title":"Comput Stat Data An","id":"ITEM-3","issued":{"date-parts":[["2013"]]},"page":"68-83","title":"Bayesian computing with INLA: New features","type":"article-journal","volume":"67"},"uris":["http://www.mendeley.com/documents/?uuid=52f97bb4-45b8-4b44-845f-3025b8b99db8"]},{"id":"ITEM-4","itemData":{"author":[{"dropping-particle":"","family":"Rue","given":"H","non-dropping-particle":"","parse-names":false,"suffix":""},{"dropping-particle":"","family":"Martino","given":"S","non-dropping-particle":"","parse-names":false,"suffix":""},{"dropping-particle":"","family":"Chopin","given":"N","non-dropping-particle":"","parse-names":false,"suffix":""}],"container-title":"J R Stat Soc B","id":"ITEM-4","issued":{"date-parts":[["2009"]]},"page":"319-392","title":"Approximate Bayesian inference for latent Gaussian models using integrated nested Laplace approximations (with discussion)","type":"article-journal","volume":"71"},"uris":["http://www.mendeley.com/documents/?uuid=ea9c2394-30b8-4902-9414-6afc36f7aa4d"]}],"mendeley":{"formattedCitation":"(Blangiardo et al. 2013; Martins et al. 2013; Rue et al. 2009; Simpson et al. 2012)","plainTextFormattedCitation":"(Blangiardo et al. 2013; Martins et al. 2013; Rue et al. 2009; Simpson et al. 2012)","previouslyFormattedCitation":"(Blangiardo et al. 2013; Martins et al. 2013; Rue et al. 2009; Simpson et al. 2012)"},"properties":{"noteIndex":0},"schema":"https://github.com/citation-style-language/schema/raw/master/csl-citation.json"}</w:instrText>
      </w:r>
      <w:r w:rsidRPr="00083D5F">
        <w:rPr>
          <w:rFonts w:ascii="Times New Roman" w:hAnsi="Times New Roman" w:cs="Times New Roman"/>
          <w:sz w:val="24"/>
          <w:szCs w:val="24"/>
        </w:rPr>
        <w:fldChar w:fldCharType="separate"/>
      </w:r>
      <w:r w:rsidRPr="00083D5F">
        <w:rPr>
          <w:rFonts w:ascii="Times New Roman" w:hAnsi="Times New Roman" w:cs="Times New Roman"/>
          <w:noProof/>
          <w:sz w:val="24"/>
          <w:szCs w:val="24"/>
        </w:rPr>
        <w:t>(Blangiardo et al.</w:t>
      </w:r>
      <w:r w:rsidR="00A85996">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2013; Martins et al.</w:t>
      </w:r>
      <w:r w:rsidR="00A85996">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2013; Rue et al.</w:t>
      </w:r>
      <w:r w:rsidR="00A85996">
        <w:rPr>
          <w:rFonts w:ascii="Times New Roman" w:hAnsi="Times New Roman" w:cs="Times New Roman"/>
          <w:noProof/>
          <w:sz w:val="24"/>
          <w:szCs w:val="24"/>
        </w:rPr>
        <w:t>,</w:t>
      </w:r>
      <w:r w:rsidRPr="00083D5F">
        <w:rPr>
          <w:rFonts w:ascii="Times New Roman" w:hAnsi="Times New Roman" w:cs="Times New Roman"/>
          <w:noProof/>
          <w:sz w:val="24"/>
          <w:szCs w:val="24"/>
        </w:rPr>
        <w:t xml:space="preserve"> 2009; Simpson et al.</w:t>
      </w:r>
      <w:r w:rsidR="00A85996">
        <w:rPr>
          <w:rFonts w:ascii="Times New Roman" w:hAnsi="Times New Roman" w:cs="Times New Roman"/>
          <w:noProof/>
          <w:sz w:val="24"/>
          <w:szCs w:val="24"/>
        </w:rPr>
        <w:t>,</w:t>
      </w:r>
      <w:r w:rsidRPr="00083D5F">
        <w:rPr>
          <w:rFonts w:ascii="Times New Roman" w:hAnsi="Times New Roman" w:cs="Times New Roman"/>
          <w:noProof/>
          <w:sz w:val="24"/>
          <w:szCs w:val="24"/>
        </w:rPr>
        <w:t xml:space="preserve"> 2012)</w:t>
      </w:r>
      <w:r w:rsidRPr="00083D5F">
        <w:rPr>
          <w:rFonts w:ascii="Times New Roman" w:hAnsi="Times New Roman" w:cs="Times New Roman"/>
          <w:sz w:val="24"/>
          <w:szCs w:val="24"/>
        </w:rPr>
        <w:fldChar w:fldCharType="end"/>
      </w:r>
      <w:r w:rsidRPr="00083D5F">
        <w:rPr>
          <w:rFonts w:ascii="Times New Roman" w:hAnsi="Times New Roman" w:cs="Times New Roman"/>
          <w:sz w:val="24"/>
          <w:szCs w:val="24"/>
        </w:rPr>
        <w:t xml:space="preserve">. </w:t>
      </w:r>
      <w:r>
        <w:rPr>
          <w:rFonts w:ascii="Times New Roman" w:hAnsi="Times New Roman" w:cs="Times New Roman"/>
          <w:sz w:val="24"/>
          <w:szCs w:val="24"/>
        </w:rPr>
        <w:t xml:space="preserve">INLA is commonly deployed in epidemiology and other scholarly fields that require accounting for spatial dependencies, but is relatively new to the public administration and affairs literature (Scott, 2016). </w:t>
      </w:r>
      <w:r w:rsidRPr="00083D5F">
        <w:rPr>
          <w:rFonts w:ascii="Times New Roman" w:hAnsi="Times New Roman" w:cs="Times New Roman"/>
          <w:sz w:val="24"/>
          <w:szCs w:val="24"/>
        </w:rPr>
        <w:t xml:space="preserve">All other packages aided </w:t>
      </w:r>
      <w:r>
        <w:rPr>
          <w:rFonts w:ascii="Times New Roman" w:hAnsi="Times New Roman" w:cs="Times New Roman"/>
          <w:sz w:val="24"/>
          <w:szCs w:val="24"/>
        </w:rPr>
        <w:t>in</w:t>
      </w:r>
      <w:r w:rsidRPr="00083D5F">
        <w:rPr>
          <w:rFonts w:ascii="Times New Roman" w:hAnsi="Times New Roman" w:cs="Times New Roman"/>
          <w:sz w:val="24"/>
          <w:szCs w:val="24"/>
        </w:rPr>
        <w:t xml:space="preserve"> plotting and working with spatial data.</w:t>
      </w:r>
    </w:p>
    <w:p w14:paraId="0656AF4A" w14:textId="77777777" w:rsidR="00EA1B19" w:rsidRPr="00083D5F" w:rsidRDefault="00EA1B19" w:rsidP="00EA1B19">
      <w:pPr>
        <w:spacing w:after="0" w:line="480" w:lineRule="auto"/>
        <w:rPr>
          <w:rFonts w:ascii="Times New Roman" w:hAnsi="Times New Roman" w:cs="Times New Roman"/>
          <w:b/>
          <w:sz w:val="24"/>
          <w:szCs w:val="24"/>
        </w:rPr>
      </w:pPr>
      <w:r w:rsidRPr="00083D5F">
        <w:rPr>
          <w:rFonts w:ascii="Times New Roman" w:hAnsi="Times New Roman" w:cs="Times New Roman"/>
          <w:b/>
          <w:sz w:val="24"/>
          <w:szCs w:val="24"/>
        </w:rPr>
        <w:t>Results</w:t>
      </w:r>
    </w:p>
    <w:p w14:paraId="468F666D" w14:textId="77777777" w:rsidR="00EA1B19"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 xml:space="preserve">Table 2 displays parameter estimates for each of the </w:t>
      </w:r>
      <w:r>
        <w:rPr>
          <w:rFonts w:ascii="Times New Roman" w:hAnsi="Times New Roman" w:cs="Times New Roman"/>
          <w:sz w:val="24"/>
          <w:szCs w:val="24"/>
        </w:rPr>
        <w:t>models –</w:t>
      </w:r>
      <w:r w:rsidRPr="00083D5F">
        <w:rPr>
          <w:rFonts w:ascii="Times New Roman" w:hAnsi="Times New Roman" w:cs="Times New Roman"/>
          <w:sz w:val="24"/>
          <w:szCs w:val="24"/>
        </w:rPr>
        <w:t xml:space="preserve"> </w:t>
      </w:r>
      <w:r>
        <w:rPr>
          <w:rFonts w:ascii="Times New Roman" w:hAnsi="Times New Roman" w:cs="Times New Roman"/>
          <w:sz w:val="24"/>
          <w:szCs w:val="24"/>
        </w:rPr>
        <w:t>all nonprofit organizations</w:t>
      </w:r>
      <w:r w:rsidRPr="00083D5F">
        <w:rPr>
          <w:rFonts w:ascii="Times New Roman" w:hAnsi="Times New Roman" w:cs="Times New Roman"/>
          <w:sz w:val="24"/>
          <w:szCs w:val="24"/>
        </w:rPr>
        <w:t>, health</w:t>
      </w:r>
      <w:r>
        <w:rPr>
          <w:rFonts w:ascii="Times New Roman" w:hAnsi="Times New Roman" w:cs="Times New Roman"/>
          <w:sz w:val="24"/>
          <w:szCs w:val="24"/>
        </w:rPr>
        <w:t xml:space="preserve"> subsector</w:t>
      </w:r>
      <w:r w:rsidRPr="00083D5F">
        <w:rPr>
          <w:rFonts w:ascii="Times New Roman" w:hAnsi="Times New Roman" w:cs="Times New Roman"/>
          <w:sz w:val="24"/>
          <w:szCs w:val="24"/>
        </w:rPr>
        <w:t>, and arts</w:t>
      </w:r>
      <w:r>
        <w:rPr>
          <w:rFonts w:ascii="Times New Roman" w:hAnsi="Times New Roman" w:cs="Times New Roman"/>
          <w:sz w:val="24"/>
          <w:szCs w:val="24"/>
        </w:rPr>
        <w:t xml:space="preserve"> subsector –</w:t>
      </w:r>
      <w:r w:rsidRPr="00083D5F">
        <w:rPr>
          <w:rFonts w:ascii="Times New Roman" w:hAnsi="Times New Roman" w:cs="Times New Roman"/>
          <w:sz w:val="24"/>
          <w:szCs w:val="24"/>
        </w:rPr>
        <w:t xml:space="preserve"> generated by the best fitting model</w:t>
      </w:r>
      <w:r>
        <w:rPr>
          <w:rFonts w:ascii="Times New Roman" w:hAnsi="Times New Roman" w:cs="Times New Roman"/>
          <w:sz w:val="24"/>
          <w:szCs w:val="24"/>
        </w:rPr>
        <w:t>. Goodness of fit measures in table 3</w:t>
      </w:r>
      <w:r w:rsidRPr="00083D5F">
        <w:rPr>
          <w:rFonts w:ascii="Times New Roman" w:hAnsi="Times New Roman" w:cs="Times New Roman"/>
          <w:sz w:val="24"/>
          <w:szCs w:val="24"/>
        </w:rPr>
        <w:t xml:space="preserve"> </w:t>
      </w:r>
      <w:r>
        <w:rPr>
          <w:rFonts w:ascii="Times New Roman" w:hAnsi="Times New Roman" w:cs="Times New Roman"/>
          <w:sz w:val="24"/>
          <w:szCs w:val="24"/>
        </w:rPr>
        <w:t>the uncorrelated random effect model achieves the best fit in these data</w:t>
      </w:r>
      <w:r w:rsidRPr="00083D5F">
        <w:rPr>
          <w:rFonts w:ascii="Times New Roman" w:hAnsi="Times New Roman" w:cs="Times New Roman"/>
          <w:sz w:val="24"/>
          <w:szCs w:val="24"/>
        </w:rPr>
        <w:t xml:space="preserve">. Estimates were nearly identical within category for model fit, and the direction of the </w:t>
      </w:r>
      <w:r w:rsidRPr="00083D5F">
        <w:rPr>
          <w:rFonts w:ascii="Times New Roman" w:hAnsi="Times New Roman" w:cs="Times New Roman"/>
          <w:sz w:val="24"/>
          <w:szCs w:val="24"/>
        </w:rPr>
        <w:lastRenderedPageBreak/>
        <w:t>relationships and their statistical significance</w:t>
      </w:r>
      <w:r>
        <w:rPr>
          <w:rFonts w:ascii="Times New Roman" w:hAnsi="Times New Roman" w:cs="Times New Roman"/>
          <w:sz w:val="24"/>
          <w:szCs w:val="24"/>
        </w:rPr>
        <w:t xml:space="preserve"> is fairly</w:t>
      </w:r>
      <w:r w:rsidRPr="00083D5F">
        <w:rPr>
          <w:rFonts w:ascii="Times New Roman" w:hAnsi="Times New Roman" w:cs="Times New Roman"/>
          <w:sz w:val="24"/>
          <w:szCs w:val="24"/>
        </w:rPr>
        <w:t xml:space="preserve"> consisten</w:t>
      </w:r>
      <w:r>
        <w:rPr>
          <w:rFonts w:ascii="Times New Roman" w:hAnsi="Times New Roman" w:cs="Times New Roman"/>
          <w:sz w:val="24"/>
          <w:szCs w:val="24"/>
        </w:rPr>
        <w:t>t</w:t>
      </w:r>
      <w:r w:rsidRPr="00083D5F">
        <w:rPr>
          <w:rFonts w:ascii="Times New Roman" w:hAnsi="Times New Roman" w:cs="Times New Roman"/>
          <w:sz w:val="24"/>
          <w:szCs w:val="24"/>
        </w:rPr>
        <w:t xml:space="preserve"> across </w:t>
      </w:r>
      <w:r>
        <w:rPr>
          <w:rFonts w:ascii="Times New Roman" w:hAnsi="Times New Roman" w:cs="Times New Roman"/>
          <w:sz w:val="24"/>
          <w:szCs w:val="24"/>
        </w:rPr>
        <w:t>models</w:t>
      </w:r>
      <w:r w:rsidRPr="00083D5F">
        <w:rPr>
          <w:rFonts w:ascii="Times New Roman" w:hAnsi="Times New Roman" w:cs="Times New Roman"/>
          <w:sz w:val="24"/>
          <w:szCs w:val="24"/>
        </w:rPr>
        <w:t xml:space="preserve">. Some differences in the magnitude of estimates appear, </w:t>
      </w:r>
      <w:r>
        <w:rPr>
          <w:rFonts w:ascii="Times New Roman" w:hAnsi="Times New Roman" w:cs="Times New Roman"/>
          <w:sz w:val="24"/>
          <w:szCs w:val="24"/>
        </w:rPr>
        <w:t>particularly for</w:t>
      </w:r>
      <w:r w:rsidRPr="00083D5F">
        <w:rPr>
          <w:rFonts w:ascii="Times New Roman" w:hAnsi="Times New Roman" w:cs="Times New Roman"/>
          <w:sz w:val="24"/>
          <w:szCs w:val="24"/>
        </w:rPr>
        <w:t xml:space="preserve"> the </w:t>
      </w:r>
      <w:proofErr w:type="spellStart"/>
      <w:r w:rsidRPr="00083D5F">
        <w:rPr>
          <w:rFonts w:ascii="Times New Roman" w:hAnsi="Times New Roman" w:cs="Times New Roman"/>
          <w:sz w:val="24"/>
          <w:szCs w:val="24"/>
        </w:rPr>
        <w:t>Blau</w:t>
      </w:r>
      <w:proofErr w:type="spellEnd"/>
      <w:r w:rsidRPr="00083D5F">
        <w:rPr>
          <w:rFonts w:ascii="Times New Roman" w:hAnsi="Times New Roman" w:cs="Times New Roman"/>
          <w:sz w:val="24"/>
          <w:szCs w:val="24"/>
        </w:rPr>
        <w:t xml:space="preserve"> index. </w:t>
      </w:r>
      <w:r>
        <w:rPr>
          <w:rFonts w:ascii="Times New Roman" w:hAnsi="Times New Roman" w:cs="Times New Roman"/>
          <w:sz w:val="24"/>
          <w:szCs w:val="24"/>
        </w:rPr>
        <w:t xml:space="preserve">Notably, the community demand variables do not have much effect on nonprofit supply. SOVI is not statistically significant in any of the models and NC 2-1-1 requests only achieve statistical significance in the health subsector model and results work in the opposite direction to theory. We find </w:t>
      </w:r>
      <w:r w:rsidRPr="00083D5F">
        <w:rPr>
          <w:rFonts w:ascii="Times New Roman" w:hAnsi="Times New Roman" w:cs="Times New Roman"/>
          <w:sz w:val="24"/>
          <w:szCs w:val="24"/>
        </w:rPr>
        <w:t xml:space="preserve">less nonprofit supply </w:t>
      </w:r>
      <w:r>
        <w:rPr>
          <w:rFonts w:ascii="Times New Roman" w:hAnsi="Times New Roman" w:cs="Times New Roman"/>
          <w:sz w:val="24"/>
          <w:szCs w:val="24"/>
        </w:rPr>
        <w:t>in areas with greater</w:t>
      </w:r>
      <w:r w:rsidRPr="00083D5F">
        <w:rPr>
          <w:rFonts w:ascii="Times New Roman" w:hAnsi="Times New Roman" w:cs="Times New Roman"/>
          <w:sz w:val="24"/>
          <w:szCs w:val="24"/>
        </w:rPr>
        <w:t xml:space="preserve"> </w:t>
      </w:r>
      <w:r>
        <w:rPr>
          <w:rFonts w:ascii="Times New Roman" w:hAnsi="Times New Roman" w:cs="Times New Roman"/>
          <w:sz w:val="24"/>
          <w:szCs w:val="24"/>
        </w:rPr>
        <w:t xml:space="preserve">NC 2-1-1 health requests – i.e., more expressed </w:t>
      </w:r>
      <w:r w:rsidRPr="00083D5F">
        <w:rPr>
          <w:rFonts w:ascii="Times New Roman" w:hAnsi="Times New Roman" w:cs="Times New Roman"/>
          <w:sz w:val="24"/>
          <w:szCs w:val="24"/>
        </w:rPr>
        <w:t xml:space="preserve">community </w:t>
      </w:r>
      <w:r>
        <w:rPr>
          <w:rFonts w:ascii="Times New Roman" w:hAnsi="Times New Roman" w:cs="Times New Roman"/>
          <w:sz w:val="24"/>
          <w:szCs w:val="24"/>
        </w:rPr>
        <w:t xml:space="preserve">demand. </w:t>
      </w:r>
      <w:r w:rsidRPr="00083D5F">
        <w:rPr>
          <w:rFonts w:ascii="Times New Roman" w:hAnsi="Times New Roman" w:cs="Times New Roman"/>
          <w:sz w:val="24"/>
          <w:szCs w:val="24"/>
        </w:rPr>
        <w:t xml:space="preserve"> </w:t>
      </w:r>
    </w:p>
    <w:p w14:paraId="06593473" w14:textId="77777777" w:rsidR="00EA1B19" w:rsidRDefault="00EA1B19" w:rsidP="00EA1B19">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Other</w:t>
      </w:r>
      <w:r w:rsidRPr="00083D5F">
        <w:rPr>
          <w:rFonts w:ascii="Times New Roman" w:hAnsi="Times New Roman" w:cs="Times New Roman"/>
          <w:sz w:val="24"/>
          <w:szCs w:val="24"/>
        </w:rPr>
        <w:t xml:space="preserve"> results indicate greater nonprofit supply in zip codes with a less even market</w:t>
      </w:r>
      <w:r>
        <w:rPr>
          <w:rFonts w:ascii="Times New Roman" w:hAnsi="Times New Roman" w:cs="Times New Roman"/>
          <w:sz w:val="24"/>
          <w:szCs w:val="24"/>
        </w:rPr>
        <w:t xml:space="preserve"> for the health and arts subsectors, which could be driven by the presence of large hospitals and museums in the zip code.</w:t>
      </w:r>
      <w:r w:rsidRPr="00083D5F">
        <w:rPr>
          <w:rFonts w:ascii="Times New Roman" w:hAnsi="Times New Roman" w:cs="Times New Roman"/>
          <w:sz w:val="24"/>
          <w:szCs w:val="24"/>
        </w:rPr>
        <w:t xml:space="preserve"> </w:t>
      </w:r>
      <w:r>
        <w:rPr>
          <w:rFonts w:ascii="Times New Roman" w:hAnsi="Times New Roman" w:cs="Times New Roman"/>
          <w:sz w:val="24"/>
          <w:szCs w:val="24"/>
        </w:rPr>
        <w:t>Our control variable – population – is</w:t>
      </w:r>
      <w:r w:rsidRPr="00083D5F">
        <w:rPr>
          <w:rFonts w:ascii="Times New Roman" w:hAnsi="Times New Roman" w:cs="Times New Roman"/>
          <w:sz w:val="24"/>
          <w:szCs w:val="24"/>
        </w:rPr>
        <w:t xml:space="preserve"> only well-estimated </w:t>
      </w:r>
      <w:r>
        <w:rPr>
          <w:rFonts w:ascii="Times New Roman" w:hAnsi="Times New Roman" w:cs="Times New Roman"/>
          <w:sz w:val="24"/>
          <w:szCs w:val="24"/>
        </w:rPr>
        <w:t>in the health subsector.</w:t>
      </w:r>
      <w:r w:rsidRPr="00083D5F">
        <w:rPr>
          <w:rFonts w:ascii="Times New Roman" w:hAnsi="Times New Roman" w:cs="Times New Roman"/>
          <w:sz w:val="24"/>
          <w:szCs w:val="24"/>
        </w:rPr>
        <w:t xml:space="preserve"> Supplemental </w:t>
      </w:r>
      <w:r>
        <w:rPr>
          <w:rFonts w:ascii="Times New Roman" w:hAnsi="Times New Roman" w:cs="Times New Roman"/>
          <w:sz w:val="24"/>
          <w:szCs w:val="24"/>
        </w:rPr>
        <w:t>t</w:t>
      </w:r>
      <w:r w:rsidRPr="00083D5F">
        <w:rPr>
          <w:rFonts w:ascii="Times New Roman" w:hAnsi="Times New Roman" w:cs="Times New Roman"/>
          <w:sz w:val="24"/>
          <w:szCs w:val="24"/>
        </w:rPr>
        <w:t xml:space="preserve">able </w:t>
      </w:r>
      <w:r>
        <w:rPr>
          <w:rFonts w:ascii="Times New Roman" w:hAnsi="Times New Roman" w:cs="Times New Roman"/>
          <w:sz w:val="24"/>
          <w:szCs w:val="24"/>
        </w:rPr>
        <w:t>S3</w:t>
      </w:r>
      <w:r w:rsidRPr="00083D5F">
        <w:rPr>
          <w:rFonts w:ascii="Times New Roman" w:hAnsi="Times New Roman" w:cs="Times New Roman"/>
          <w:sz w:val="24"/>
          <w:szCs w:val="24"/>
        </w:rPr>
        <w:t xml:space="preserve"> includes variance inflation measures from the baseline model fit; none </w:t>
      </w:r>
      <w:r>
        <w:rPr>
          <w:rFonts w:ascii="Times New Roman" w:hAnsi="Times New Roman" w:cs="Times New Roman"/>
          <w:sz w:val="24"/>
          <w:szCs w:val="24"/>
        </w:rPr>
        <w:t xml:space="preserve">of these </w:t>
      </w:r>
      <w:r w:rsidRPr="00083D5F">
        <w:rPr>
          <w:rFonts w:ascii="Times New Roman" w:hAnsi="Times New Roman" w:cs="Times New Roman"/>
          <w:sz w:val="24"/>
          <w:szCs w:val="24"/>
        </w:rPr>
        <w:t>is greater than five, which suggests no issue with collinearity.</w:t>
      </w:r>
    </w:p>
    <w:p w14:paraId="273DD2E1" w14:textId="77777777" w:rsidR="00EA1B19" w:rsidRDefault="00EA1B19" w:rsidP="00EA1B19">
      <w:pPr>
        <w:spacing w:after="0" w:line="240" w:lineRule="auto"/>
        <w:rPr>
          <w:rFonts w:ascii="Times New Roman" w:hAnsi="Times New Roman" w:cs="Times New Roman"/>
          <w:sz w:val="24"/>
          <w:szCs w:val="24"/>
        </w:rPr>
      </w:pPr>
    </w:p>
    <w:p w14:paraId="09CFD6EF" w14:textId="677D8EA0" w:rsidR="00EA1B19" w:rsidRPr="00083D5F" w:rsidRDefault="00EA1B19" w:rsidP="00EA1B19">
      <w:pPr>
        <w:spacing w:after="0" w:line="240" w:lineRule="auto"/>
        <w:rPr>
          <w:rFonts w:ascii="Times New Roman" w:hAnsi="Times New Roman" w:cs="Times New Roman"/>
          <w:sz w:val="24"/>
          <w:szCs w:val="24"/>
        </w:rPr>
      </w:pPr>
      <w:r w:rsidRPr="00083D5F">
        <w:rPr>
          <w:rFonts w:ascii="Times New Roman" w:hAnsi="Times New Roman" w:cs="Times New Roman"/>
          <w:sz w:val="24"/>
          <w:szCs w:val="24"/>
        </w:rPr>
        <w:t>Table 2: Mean parameter estimates and 95% credible intervals from the uncorrelated random effect models.</w:t>
      </w:r>
    </w:p>
    <w:tbl>
      <w:tblPr>
        <w:tblW w:w="9468" w:type="dxa"/>
        <w:tblLook w:val="04A0" w:firstRow="1" w:lastRow="0" w:firstColumn="1" w:lastColumn="0" w:noHBand="0" w:noVBand="1"/>
      </w:tblPr>
      <w:tblGrid>
        <w:gridCol w:w="2520"/>
        <w:gridCol w:w="2027"/>
        <w:gridCol w:w="2503"/>
        <w:gridCol w:w="2418"/>
      </w:tblGrid>
      <w:tr w:rsidR="00EA1B19" w:rsidRPr="00083D5F" w14:paraId="3A1E6C3C" w14:textId="77777777" w:rsidTr="00291A15">
        <w:trPr>
          <w:trHeight w:val="368"/>
        </w:trPr>
        <w:tc>
          <w:tcPr>
            <w:tcW w:w="2520" w:type="dxa"/>
            <w:tcBorders>
              <w:top w:val="single" w:sz="4" w:space="0" w:color="auto"/>
              <w:bottom w:val="single" w:sz="4" w:space="0" w:color="auto"/>
            </w:tcBorders>
          </w:tcPr>
          <w:p w14:paraId="05755676" w14:textId="77777777" w:rsidR="00EA1B19" w:rsidRPr="00083D5F" w:rsidRDefault="00EA1B19" w:rsidP="00291A15">
            <w:pPr>
              <w:spacing w:after="0" w:line="240" w:lineRule="auto"/>
              <w:rPr>
                <w:rFonts w:ascii="Times New Roman" w:hAnsi="Times New Roman" w:cs="Times New Roman"/>
                <w:szCs w:val="24"/>
              </w:rPr>
            </w:pPr>
            <w:r w:rsidRPr="00083D5F">
              <w:rPr>
                <w:rFonts w:ascii="Times New Roman" w:hAnsi="Times New Roman" w:cs="Times New Roman"/>
                <w:szCs w:val="24"/>
              </w:rPr>
              <w:t xml:space="preserve">Parameter </w:t>
            </w:r>
          </w:p>
        </w:tc>
        <w:tc>
          <w:tcPr>
            <w:tcW w:w="2027" w:type="dxa"/>
            <w:tcBorders>
              <w:top w:val="single" w:sz="4" w:space="0" w:color="auto"/>
              <w:bottom w:val="single" w:sz="4" w:space="0" w:color="auto"/>
            </w:tcBorders>
          </w:tcPr>
          <w:p w14:paraId="018292DC" w14:textId="77777777" w:rsidR="00EA1B19" w:rsidRPr="00083D5F" w:rsidRDefault="00EA1B19" w:rsidP="00291A15">
            <w:pPr>
              <w:spacing w:after="0" w:line="240" w:lineRule="auto"/>
              <w:jc w:val="center"/>
              <w:rPr>
                <w:rFonts w:ascii="Times New Roman" w:hAnsi="Times New Roman" w:cs="Times New Roman"/>
                <w:szCs w:val="24"/>
              </w:rPr>
            </w:pPr>
            <w:r w:rsidRPr="00083D5F">
              <w:rPr>
                <w:rFonts w:ascii="Times New Roman" w:hAnsi="Times New Roman" w:cs="Times New Roman"/>
                <w:szCs w:val="24"/>
              </w:rPr>
              <w:t>Total</w:t>
            </w:r>
            <w:r>
              <w:rPr>
                <w:rFonts w:ascii="Times New Roman" w:hAnsi="Times New Roman" w:cs="Times New Roman"/>
                <w:szCs w:val="24"/>
              </w:rPr>
              <w:t xml:space="preserve"> Nonprofit Expenses</w:t>
            </w:r>
          </w:p>
        </w:tc>
        <w:tc>
          <w:tcPr>
            <w:tcW w:w="2503" w:type="dxa"/>
            <w:tcBorders>
              <w:top w:val="single" w:sz="4" w:space="0" w:color="auto"/>
              <w:bottom w:val="single" w:sz="4" w:space="0" w:color="auto"/>
            </w:tcBorders>
          </w:tcPr>
          <w:p w14:paraId="0948B8EC" w14:textId="77777777" w:rsidR="00EA1B19" w:rsidRPr="00083D5F" w:rsidRDefault="00EA1B19" w:rsidP="00291A15">
            <w:pPr>
              <w:spacing w:after="0" w:line="240" w:lineRule="auto"/>
              <w:jc w:val="center"/>
              <w:rPr>
                <w:rFonts w:ascii="Times New Roman" w:hAnsi="Times New Roman" w:cs="Times New Roman"/>
                <w:szCs w:val="24"/>
              </w:rPr>
            </w:pPr>
            <w:r w:rsidRPr="00083D5F">
              <w:rPr>
                <w:rFonts w:ascii="Times New Roman" w:hAnsi="Times New Roman" w:cs="Times New Roman"/>
                <w:szCs w:val="24"/>
              </w:rPr>
              <w:t>Health</w:t>
            </w:r>
            <w:r>
              <w:rPr>
                <w:rFonts w:ascii="Times New Roman" w:hAnsi="Times New Roman" w:cs="Times New Roman"/>
                <w:szCs w:val="24"/>
              </w:rPr>
              <w:t xml:space="preserve"> Subsector Expenses</w:t>
            </w:r>
          </w:p>
        </w:tc>
        <w:tc>
          <w:tcPr>
            <w:tcW w:w="2418" w:type="dxa"/>
            <w:tcBorders>
              <w:top w:val="single" w:sz="4" w:space="0" w:color="auto"/>
              <w:bottom w:val="single" w:sz="4" w:space="0" w:color="auto"/>
            </w:tcBorders>
          </w:tcPr>
          <w:p w14:paraId="45EAF5A6" w14:textId="77777777" w:rsidR="00EA1B19" w:rsidRDefault="00EA1B19" w:rsidP="00291A15">
            <w:pPr>
              <w:spacing w:after="0" w:line="240" w:lineRule="auto"/>
              <w:jc w:val="center"/>
              <w:rPr>
                <w:rFonts w:ascii="Times New Roman" w:hAnsi="Times New Roman" w:cs="Times New Roman"/>
                <w:szCs w:val="24"/>
              </w:rPr>
            </w:pPr>
            <w:r w:rsidRPr="00083D5F">
              <w:rPr>
                <w:rFonts w:ascii="Times New Roman" w:hAnsi="Times New Roman" w:cs="Times New Roman"/>
                <w:szCs w:val="24"/>
              </w:rPr>
              <w:t>Arts</w:t>
            </w:r>
            <w:r>
              <w:rPr>
                <w:rFonts w:ascii="Times New Roman" w:hAnsi="Times New Roman" w:cs="Times New Roman"/>
                <w:szCs w:val="24"/>
              </w:rPr>
              <w:t xml:space="preserve"> Subsector </w:t>
            </w:r>
          </w:p>
          <w:p w14:paraId="61DEC452" w14:textId="77777777" w:rsidR="00EA1B19" w:rsidRPr="00083D5F" w:rsidRDefault="00EA1B19" w:rsidP="00291A15">
            <w:pPr>
              <w:spacing w:after="0" w:line="240" w:lineRule="auto"/>
              <w:jc w:val="center"/>
              <w:rPr>
                <w:rFonts w:ascii="Times New Roman" w:hAnsi="Times New Roman" w:cs="Times New Roman"/>
                <w:szCs w:val="24"/>
              </w:rPr>
            </w:pPr>
            <w:r>
              <w:rPr>
                <w:rFonts w:ascii="Times New Roman" w:hAnsi="Times New Roman" w:cs="Times New Roman"/>
                <w:szCs w:val="24"/>
              </w:rPr>
              <w:t>Expenses</w:t>
            </w:r>
          </w:p>
        </w:tc>
      </w:tr>
      <w:tr w:rsidR="00EA1B19" w:rsidRPr="00083D5F" w14:paraId="2A15307A" w14:textId="77777777" w:rsidTr="00AA0DDD">
        <w:tc>
          <w:tcPr>
            <w:tcW w:w="2520" w:type="dxa"/>
            <w:tcBorders>
              <w:top w:val="single" w:sz="4" w:space="0" w:color="auto"/>
            </w:tcBorders>
          </w:tcPr>
          <w:p w14:paraId="3C2B0999"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 xml:space="preserve">Community </w:t>
            </w:r>
            <w:r>
              <w:rPr>
                <w:rFonts w:ascii="Times New Roman" w:hAnsi="Times New Roman" w:cs="Times New Roman"/>
                <w:szCs w:val="24"/>
              </w:rPr>
              <w:t>Demand</w:t>
            </w:r>
          </w:p>
        </w:tc>
        <w:tc>
          <w:tcPr>
            <w:tcW w:w="2027" w:type="dxa"/>
            <w:tcBorders>
              <w:top w:val="single" w:sz="4" w:space="0" w:color="auto"/>
            </w:tcBorders>
          </w:tcPr>
          <w:p w14:paraId="5A1BF737" w14:textId="77777777" w:rsidR="00EA1B19" w:rsidRPr="00083D5F" w:rsidRDefault="00EA1B19" w:rsidP="00600029">
            <w:pPr>
              <w:spacing w:after="0"/>
              <w:rPr>
                <w:rFonts w:ascii="Times New Roman" w:hAnsi="Times New Roman" w:cs="Times New Roman"/>
                <w:szCs w:val="24"/>
              </w:rPr>
            </w:pPr>
          </w:p>
        </w:tc>
        <w:tc>
          <w:tcPr>
            <w:tcW w:w="2503" w:type="dxa"/>
            <w:tcBorders>
              <w:top w:val="single" w:sz="4" w:space="0" w:color="auto"/>
            </w:tcBorders>
          </w:tcPr>
          <w:p w14:paraId="7DE7E181" w14:textId="77777777" w:rsidR="00EA1B19" w:rsidRPr="00083D5F" w:rsidRDefault="00EA1B19" w:rsidP="00600029">
            <w:pPr>
              <w:spacing w:after="0"/>
              <w:rPr>
                <w:rFonts w:ascii="Times New Roman" w:hAnsi="Times New Roman" w:cs="Times New Roman"/>
                <w:szCs w:val="24"/>
              </w:rPr>
            </w:pPr>
          </w:p>
        </w:tc>
        <w:tc>
          <w:tcPr>
            <w:tcW w:w="2418" w:type="dxa"/>
            <w:tcBorders>
              <w:top w:val="single" w:sz="4" w:space="0" w:color="auto"/>
            </w:tcBorders>
          </w:tcPr>
          <w:p w14:paraId="43C2FA9D" w14:textId="77777777" w:rsidR="00EA1B19" w:rsidRPr="00083D5F" w:rsidRDefault="00EA1B19" w:rsidP="00600029">
            <w:pPr>
              <w:spacing w:after="0"/>
              <w:rPr>
                <w:rFonts w:ascii="Times New Roman" w:hAnsi="Times New Roman" w:cs="Times New Roman"/>
                <w:szCs w:val="24"/>
              </w:rPr>
            </w:pPr>
          </w:p>
        </w:tc>
      </w:tr>
      <w:tr w:rsidR="00EA1B19" w:rsidRPr="00083D5F" w14:paraId="4BD03160" w14:textId="77777777" w:rsidTr="00AA0DDD">
        <w:tc>
          <w:tcPr>
            <w:tcW w:w="2520" w:type="dxa"/>
          </w:tcPr>
          <w:p w14:paraId="09F19130"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 xml:space="preserve">   SOVI</w:t>
            </w:r>
          </w:p>
        </w:tc>
        <w:tc>
          <w:tcPr>
            <w:tcW w:w="2027" w:type="dxa"/>
          </w:tcPr>
          <w:p w14:paraId="135BA240"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-0.01 (-0.15, 0.13)</w:t>
            </w:r>
          </w:p>
        </w:tc>
        <w:tc>
          <w:tcPr>
            <w:tcW w:w="2503" w:type="dxa"/>
          </w:tcPr>
          <w:p w14:paraId="3D6C337D"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0.01 (-0.28, 0.31)</w:t>
            </w:r>
          </w:p>
        </w:tc>
        <w:tc>
          <w:tcPr>
            <w:tcW w:w="2418" w:type="dxa"/>
          </w:tcPr>
          <w:p w14:paraId="7B000BC3"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0.07 (-0.19, 0.34)</w:t>
            </w:r>
          </w:p>
        </w:tc>
      </w:tr>
      <w:tr w:rsidR="00EA1B19" w:rsidRPr="00083D5F" w14:paraId="3A765741" w14:textId="77777777" w:rsidTr="00AA0DDD">
        <w:tc>
          <w:tcPr>
            <w:tcW w:w="2520" w:type="dxa"/>
          </w:tcPr>
          <w:p w14:paraId="0D02FB55"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 xml:space="preserve">   </w:t>
            </w:r>
            <w:r w:rsidRPr="00083D5F">
              <w:rPr>
                <w:rFonts w:ascii="Times New Roman" w:hAnsi="Times New Roman" w:cs="Times New Roman"/>
                <w:sz w:val="24"/>
                <w:szCs w:val="24"/>
              </w:rPr>
              <w:t>NC</w:t>
            </w:r>
            <w:r>
              <w:rPr>
                <w:rFonts w:ascii="Times New Roman" w:hAnsi="Times New Roman" w:cs="Times New Roman"/>
                <w:sz w:val="24"/>
                <w:szCs w:val="24"/>
              </w:rPr>
              <w:t xml:space="preserve"> </w:t>
            </w:r>
            <w:r w:rsidRPr="00083D5F">
              <w:rPr>
                <w:rFonts w:ascii="Times New Roman" w:hAnsi="Times New Roman" w:cs="Times New Roman"/>
                <w:sz w:val="24"/>
                <w:szCs w:val="24"/>
              </w:rPr>
              <w:t>2</w:t>
            </w:r>
            <w:r>
              <w:rPr>
                <w:rFonts w:ascii="Times New Roman" w:hAnsi="Times New Roman" w:cs="Times New Roman"/>
                <w:sz w:val="24"/>
                <w:szCs w:val="24"/>
              </w:rPr>
              <w:t>-</w:t>
            </w:r>
            <w:r w:rsidRPr="00083D5F">
              <w:rPr>
                <w:rFonts w:ascii="Times New Roman" w:hAnsi="Times New Roman" w:cs="Times New Roman"/>
                <w:sz w:val="24"/>
                <w:szCs w:val="24"/>
              </w:rPr>
              <w:t>1</w:t>
            </w:r>
            <w:r>
              <w:rPr>
                <w:rFonts w:ascii="Times New Roman" w:hAnsi="Times New Roman" w:cs="Times New Roman"/>
                <w:sz w:val="24"/>
                <w:szCs w:val="24"/>
              </w:rPr>
              <w:t>-</w:t>
            </w:r>
            <w:r w:rsidRPr="00083D5F">
              <w:rPr>
                <w:rFonts w:ascii="Times New Roman" w:hAnsi="Times New Roman" w:cs="Times New Roman"/>
                <w:sz w:val="24"/>
                <w:szCs w:val="24"/>
              </w:rPr>
              <w:t xml:space="preserve">1 </w:t>
            </w:r>
            <w:r w:rsidRPr="00083D5F">
              <w:rPr>
                <w:rFonts w:ascii="Times New Roman" w:hAnsi="Times New Roman" w:cs="Times New Roman"/>
                <w:szCs w:val="24"/>
              </w:rPr>
              <w:t>Requests</w:t>
            </w:r>
          </w:p>
        </w:tc>
        <w:tc>
          <w:tcPr>
            <w:tcW w:w="2027" w:type="dxa"/>
          </w:tcPr>
          <w:p w14:paraId="46709BFC"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0.11 (-0.17, 0.38)</w:t>
            </w:r>
          </w:p>
        </w:tc>
        <w:tc>
          <w:tcPr>
            <w:tcW w:w="2503" w:type="dxa"/>
          </w:tcPr>
          <w:p w14:paraId="691CDD8C"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-0.26 (-0.50, -0.</w:t>
            </w:r>
            <w:proofErr w:type="gramStart"/>
            <w:r w:rsidRPr="00083D5F">
              <w:rPr>
                <w:rFonts w:ascii="Times New Roman" w:hAnsi="Times New Roman" w:cs="Times New Roman"/>
                <w:szCs w:val="24"/>
              </w:rPr>
              <w:t>03)*</w:t>
            </w:r>
            <w:proofErr w:type="gramEnd"/>
          </w:p>
        </w:tc>
        <w:tc>
          <w:tcPr>
            <w:tcW w:w="2418" w:type="dxa"/>
          </w:tcPr>
          <w:p w14:paraId="136C3D3F"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0.04 (-0.17, 0.25)</w:t>
            </w:r>
          </w:p>
        </w:tc>
      </w:tr>
      <w:tr w:rsidR="00EA1B19" w:rsidRPr="00083D5F" w14:paraId="64A25FC0" w14:textId="77777777" w:rsidTr="00AA0DDD">
        <w:tc>
          <w:tcPr>
            <w:tcW w:w="2520" w:type="dxa"/>
          </w:tcPr>
          <w:p w14:paraId="68FE2962"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Market Supply</w:t>
            </w:r>
          </w:p>
        </w:tc>
        <w:tc>
          <w:tcPr>
            <w:tcW w:w="2027" w:type="dxa"/>
          </w:tcPr>
          <w:p w14:paraId="79868D75" w14:textId="77777777" w:rsidR="00EA1B19" w:rsidRPr="00083D5F" w:rsidRDefault="00EA1B19" w:rsidP="00600029">
            <w:pPr>
              <w:spacing w:after="0"/>
              <w:rPr>
                <w:rFonts w:ascii="Times New Roman" w:hAnsi="Times New Roman" w:cs="Times New Roman"/>
                <w:szCs w:val="24"/>
              </w:rPr>
            </w:pPr>
          </w:p>
        </w:tc>
        <w:tc>
          <w:tcPr>
            <w:tcW w:w="2503" w:type="dxa"/>
          </w:tcPr>
          <w:p w14:paraId="39EDC12F" w14:textId="77777777" w:rsidR="00EA1B19" w:rsidRPr="00083D5F" w:rsidRDefault="00EA1B19" w:rsidP="00600029">
            <w:pPr>
              <w:spacing w:after="0"/>
              <w:rPr>
                <w:rFonts w:ascii="Times New Roman" w:hAnsi="Times New Roman" w:cs="Times New Roman"/>
                <w:szCs w:val="24"/>
              </w:rPr>
            </w:pPr>
          </w:p>
        </w:tc>
        <w:tc>
          <w:tcPr>
            <w:tcW w:w="2418" w:type="dxa"/>
          </w:tcPr>
          <w:p w14:paraId="7118EF54" w14:textId="77777777" w:rsidR="00EA1B19" w:rsidRPr="00083D5F" w:rsidRDefault="00EA1B19" w:rsidP="00600029">
            <w:pPr>
              <w:spacing w:after="0"/>
              <w:rPr>
                <w:rFonts w:ascii="Times New Roman" w:hAnsi="Times New Roman" w:cs="Times New Roman"/>
                <w:szCs w:val="24"/>
              </w:rPr>
            </w:pPr>
          </w:p>
        </w:tc>
      </w:tr>
      <w:tr w:rsidR="00EA1B19" w:rsidRPr="00083D5F" w14:paraId="508EC066" w14:textId="77777777" w:rsidTr="00AA0DDD">
        <w:tc>
          <w:tcPr>
            <w:tcW w:w="2520" w:type="dxa"/>
          </w:tcPr>
          <w:p w14:paraId="44403ADE"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 xml:space="preserve">   </w:t>
            </w:r>
            <w:r w:rsidRPr="00083D5F">
              <w:rPr>
                <w:rFonts w:ascii="Times New Roman" w:hAnsi="Times New Roman" w:cs="Times New Roman"/>
                <w:sz w:val="24"/>
                <w:szCs w:val="24"/>
              </w:rPr>
              <w:t xml:space="preserve">For-profit </w:t>
            </w:r>
            <w:r w:rsidRPr="00083D5F">
              <w:rPr>
                <w:rFonts w:ascii="Times New Roman" w:hAnsi="Times New Roman" w:cs="Times New Roman"/>
                <w:szCs w:val="24"/>
              </w:rPr>
              <w:t>Output</w:t>
            </w:r>
          </w:p>
        </w:tc>
        <w:tc>
          <w:tcPr>
            <w:tcW w:w="2027" w:type="dxa"/>
          </w:tcPr>
          <w:p w14:paraId="6F1F22A0"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 xml:space="preserve">0.33 (0.12, </w:t>
            </w:r>
            <w:proofErr w:type="gramStart"/>
            <w:r w:rsidRPr="00083D5F">
              <w:rPr>
                <w:rFonts w:ascii="Times New Roman" w:hAnsi="Times New Roman" w:cs="Times New Roman"/>
                <w:szCs w:val="24"/>
              </w:rPr>
              <w:t>0.54)*</w:t>
            </w:r>
            <w:proofErr w:type="gramEnd"/>
          </w:p>
        </w:tc>
        <w:tc>
          <w:tcPr>
            <w:tcW w:w="2503" w:type="dxa"/>
          </w:tcPr>
          <w:p w14:paraId="18803503"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 xml:space="preserve">0.87 (0.65, </w:t>
            </w:r>
            <w:proofErr w:type="gramStart"/>
            <w:r w:rsidRPr="00083D5F">
              <w:rPr>
                <w:rFonts w:ascii="Times New Roman" w:hAnsi="Times New Roman" w:cs="Times New Roman"/>
                <w:szCs w:val="24"/>
              </w:rPr>
              <w:t>1.09)*</w:t>
            </w:r>
            <w:proofErr w:type="gramEnd"/>
          </w:p>
        </w:tc>
        <w:tc>
          <w:tcPr>
            <w:tcW w:w="2418" w:type="dxa"/>
          </w:tcPr>
          <w:p w14:paraId="097E6253"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 xml:space="preserve">1.06 (0.85, </w:t>
            </w:r>
            <w:proofErr w:type="gramStart"/>
            <w:r w:rsidRPr="00083D5F">
              <w:rPr>
                <w:rFonts w:ascii="Times New Roman" w:hAnsi="Times New Roman" w:cs="Times New Roman"/>
                <w:szCs w:val="24"/>
              </w:rPr>
              <w:t>1.28)*</w:t>
            </w:r>
            <w:proofErr w:type="gramEnd"/>
          </w:p>
        </w:tc>
      </w:tr>
      <w:tr w:rsidR="00EA1B19" w:rsidRPr="00083D5F" w14:paraId="7FF96A97" w14:textId="77777777" w:rsidTr="00AA0DDD">
        <w:tc>
          <w:tcPr>
            <w:tcW w:w="2520" w:type="dxa"/>
          </w:tcPr>
          <w:p w14:paraId="0F77F661"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 xml:space="preserve">   Government Output</w:t>
            </w:r>
          </w:p>
        </w:tc>
        <w:tc>
          <w:tcPr>
            <w:tcW w:w="2027" w:type="dxa"/>
          </w:tcPr>
          <w:p w14:paraId="08339B3E"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 xml:space="preserve">0.47 (0.22, </w:t>
            </w:r>
            <w:proofErr w:type="gramStart"/>
            <w:r w:rsidRPr="00083D5F">
              <w:rPr>
                <w:rFonts w:ascii="Times New Roman" w:hAnsi="Times New Roman" w:cs="Times New Roman"/>
                <w:szCs w:val="24"/>
              </w:rPr>
              <w:t>0.72)*</w:t>
            </w:r>
            <w:proofErr w:type="gramEnd"/>
          </w:p>
        </w:tc>
        <w:tc>
          <w:tcPr>
            <w:tcW w:w="2503" w:type="dxa"/>
          </w:tcPr>
          <w:p w14:paraId="3ED74F3F"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-0.03 (-0.55, 0.48)</w:t>
            </w:r>
          </w:p>
        </w:tc>
        <w:tc>
          <w:tcPr>
            <w:tcW w:w="2418" w:type="dxa"/>
          </w:tcPr>
          <w:p w14:paraId="650806CA"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0.30 (-0.14, 0.74)</w:t>
            </w:r>
          </w:p>
        </w:tc>
      </w:tr>
      <w:tr w:rsidR="00EA1B19" w:rsidRPr="00083D5F" w14:paraId="44D12252" w14:textId="77777777" w:rsidTr="00AA0DDD">
        <w:tc>
          <w:tcPr>
            <w:tcW w:w="2520" w:type="dxa"/>
          </w:tcPr>
          <w:p w14:paraId="1E7B22AF"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 xml:space="preserve">   </w:t>
            </w:r>
            <w:proofErr w:type="spellStart"/>
            <w:r w:rsidRPr="00083D5F">
              <w:rPr>
                <w:rFonts w:ascii="Times New Roman" w:hAnsi="Times New Roman" w:cs="Times New Roman"/>
                <w:szCs w:val="24"/>
              </w:rPr>
              <w:t>Blau</w:t>
            </w:r>
            <w:proofErr w:type="spellEnd"/>
            <w:r w:rsidRPr="00083D5F">
              <w:rPr>
                <w:rFonts w:ascii="Times New Roman" w:hAnsi="Times New Roman" w:cs="Times New Roman"/>
                <w:szCs w:val="24"/>
              </w:rPr>
              <w:t xml:space="preserve"> Index</w:t>
            </w:r>
          </w:p>
        </w:tc>
        <w:tc>
          <w:tcPr>
            <w:tcW w:w="2027" w:type="dxa"/>
          </w:tcPr>
          <w:p w14:paraId="74EE68EA"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-0.84 (-2.30, 0.61)</w:t>
            </w:r>
          </w:p>
        </w:tc>
        <w:tc>
          <w:tcPr>
            <w:tcW w:w="2503" w:type="dxa"/>
          </w:tcPr>
          <w:p w14:paraId="793BD4F0"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-11.06 (-14.33, -7.</w:t>
            </w:r>
            <w:proofErr w:type="gramStart"/>
            <w:r w:rsidRPr="00083D5F">
              <w:rPr>
                <w:rFonts w:ascii="Times New Roman" w:hAnsi="Times New Roman" w:cs="Times New Roman"/>
                <w:szCs w:val="24"/>
              </w:rPr>
              <w:t>79)*</w:t>
            </w:r>
            <w:proofErr w:type="gramEnd"/>
          </w:p>
        </w:tc>
        <w:tc>
          <w:tcPr>
            <w:tcW w:w="2418" w:type="dxa"/>
          </w:tcPr>
          <w:p w14:paraId="0764E5D0"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-11.20 (-14.00, -8.</w:t>
            </w:r>
            <w:proofErr w:type="gramStart"/>
            <w:r w:rsidRPr="00083D5F">
              <w:rPr>
                <w:rFonts w:ascii="Times New Roman" w:hAnsi="Times New Roman" w:cs="Times New Roman"/>
                <w:szCs w:val="24"/>
              </w:rPr>
              <w:t>40)*</w:t>
            </w:r>
            <w:proofErr w:type="gramEnd"/>
          </w:p>
        </w:tc>
      </w:tr>
      <w:tr w:rsidR="00EA1B19" w:rsidRPr="00083D5F" w14:paraId="0CF2EB70" w14:textId="77777777" w:rsidTr="00AA0DDD">
        <w:tc>
          <w:tcPr>
            <w:tcW w:w="2520" w:type="dxa"/>
          </w:tcPr>
          <w:p w14:paraId="261E81C0" w14:textId="77777777" w:rsidR="00EA1B19" w:rsidRDefault="00EA1B19" w:rsidP="00600029">
            <w:pPr>
              <w:spacing w:after="0"/>
              <w:rPr>
                <w:rFonts w:ascii="Times New Roman" w:hAnsi="Times New Roman" w:cs="Times New Roman"/>
                <w:szCs w:val="24"/>
              </w:rPr>
            </w:pPr>
            <w:r>
              <w:rPr>
                <w:rFonts w:ascii="Times New Roman" w:hAnsi="Times New Roman" w:cs="Times New Roman"/>
                <w:szCs w:val="24"/>
              </w:rPr>
              <w:t>Control Variable</w:t>
            </w:r>
          </w:p>
        </w:tc>
        <w:tc>
          <w:tcPr>
            <w:tcW w:w="2027" w:type="dxa"/>
          </w:tcPr>
          <w:p w14:paraId="7B64740B" w14:textId="77777777" w:rsidR="00EA1B19" w:rsidRPr="00083D5F" w:rsidRDefault="00EA1B19" w:rsidP="00600029">
            <w:pPr>
              <w:spacing w:after="0"/>
              <w:rPr>
                <w:rFonts w:ascii="Times New Roman" w:hAnsi="Times New Roman" w:cs="Times New Roman"/>
                <w:szCs w:val="24"/>
              </w:rPr>
            </w:pPr>
          </w:p>
        </w:tc>
        <w:tc>
          <w:tcPr>
            <w:tcW w:w="2503" w:type="dxa"/>
          </w:tcPr>
          <w:p w14:paraId="57C4CD45" w14:textId="77777777" w:rsidR="00EA1B19" w:rsidRPr="00083D5F" w:rsidRDefault="00EA1B19" w:rsidP="00600029">
            <w:pPr>
              <w:spacing w:after="0"/>
              <w:rPr>
                <w:rFonts w:ascii="Times New Roman" w:hAnsi="Times New Roman" w:cs="Times New Roman"/>
                <w:szCs w:val="24"/>
              </w:rPr>
            </w:pPr>
          </w:p>
        </w:tc>
        <w:tc>
          <w:tcPr>
            <w:tcW w:w="2418" w:type="dxa"/>
          </w:tcPr>
          <w:p w14:paraId="3403B2E6" w14:textId="77777777" w:rsidR="00EA1B19" w:rsidRPr="00083D5F" w:rsidRDefault="00EA1B19" w:rsidP="00600029">
            <w:pPr>
              <w:spacing w:after="0"/>
              <w:rPr>
                <w:rFonts w:ascii="Times New Roman" w:hAnsi="Times New Roman" w:cs="Times New Roman"/>
                <w:szCs w:val="24"/>
              </w:rPr>
            </w:pPr>
          </w:p>
        </w:tc>
      </w:tr>
      <w:tr w:rsidR="00EA1B19" w:rsidRPr="00083D5F" w14:paraId="117D3271" w14:textId="77777777" w:rsidTr="00AA0DDD">
        <w:tc>
          <w:tcPr>
            <w:tcW w:w="2520" w:type="dxa"/>
            <w:tcBorders>
              <w:bottom w:val="single" w:sz="4" w:space="0" w:color="auto"/>
            </w:tcBorders>
          </w:tcPr>
          <w:p w14:paraId="5E3EDEE8" w14:textId="77777777" w:rsidR="00EA1B19" w:rsidRPr="00083D5F" w:rsidRDefault="00EA1B19" w:rsidP="00600029">
            <w:pPr>
              <w:spacing w:after="0"/>
              <w:rPr>
                <w:rFonts w:ascii="Times New Roman" w:hAnsi="Times New Roman" w:cs="Times New Roman"/>
                <w:szCs w:val="24"/>
              </w:rPr>
            </w:pPr>
            <w:r>
              <w:rPr>
                <w:rFonts w:ascii="Times New Roman" w:hAnsi="Times New Roman" w:cs="Times New Roman"/>
                <w:szCs w:val="24"/>
              </w:rPr>
              <w:t xml:space="preserve">   </w:t>
            </w:r>
            <w:r w:rsidRPr="00083D5F">
              <w:rPr>
                <w:rFonts w:ascii="Times New Roman" w:hAnsi="Times New Roman" w:cs="Times New Roman"/>
                <w:szCs w:val="24"/>
              </w:rPr>
              <w:t>Population</w:t>
            </w:r>
          </w:p>
        </w:tc>
        <w:tc>
          <w:tcPr>
            <w:tcW w:w="2027" w:type="dxa"/>
            <w:tcBorders>
              <w:bottom w:val="single" w:sz="4" w:space="0" w:color="auto"/>
            </w:tcBorders>
          </w:tcPr>
          <w:p w14:paraId="2CFA6577"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0.25 (-0.14, 0.25)</w:t>
            </w:r>
          </w:p>
        </w:tc>
        <w:tc>
          <w:tcPr>
            <w:tcW w:w="2503" w:type="dxa"/>
            <w:tcBorders>
              <w:bottom w:val="single" w:sz="4" w:space="0" w:color="auto"/>
            </w:tcBorders>
          </w:tcPr>
          <w:p w14:paraId="1D135163"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 xml:space="preserve">0.85 (0.12, </w:t>
            </w:r>
            <w:proofErr w:type="gramStart"/>
            <w:r w:rsidRPr="00083D5F">
              <w:rPr>
                <w:rFonts w:ascii="Times New Roman" w:hAnsi="Times New Roman" w:cs="Times New Roman"/>
                <w:szCs w:val="24"/>
              </w:rPr>
              <w:t>1.57)*</w:t>
            </w:r>
            <w:proofErr w:type="gramEnd"/>
          </w:p>
        </w:tc>
        <w:tc>
          <w:tcPr>
            <w:tcW w:w="2418" w:type="dxa"/>
            <w:tcBorders>
              <w:bottom w:val="single" w:sz="4" w:space="0" w:color="auto"/>
            </w:tcBorders>
          </w:tcPr>
          <w:p w14:paraId="0925FD90" w14:textId="77777777" w:rsidR="00EA1B19" w:rsidRPr="00083D5F" w:rsidRDefault="00EA1B19" w:rsidP="00600029">
            <w:pPr>
              <w:spacing w:after="0"/>
              <w:rPr>
                <w:rFonts w:ascii="Times New Roman" w:hAnsi="Times New Roman" w:cs="Times New Roman"/>
                <w:szCs w:val="24"/>
              </w:rPr>
            </w:pPr>
            <w:r w:rsidRPr="00083D5F">
              <w:rPr>
                <w:rFonts w:ascii="Times New Roman" w:hAnsi="Times New Roman" w:cs="Times New Roman"/>
                <w:szCs w:val="24"/>
              </w:rPr>
              <w:t>0.17 (-0.40, 0.74)</w:t>
            </w:r>
          </w:p>
        </w:tc>
      </w:tr>
    </w:tbl>
    <w:p w14:paraId="0B04C437" w14:textId="318E5AE2" w:rsidR="00EA1B19" w:rsidRDefault="00EA1B19" w:rsidP="00EA1B19">
      <w:pPr>
        <w:spacing w:line="240" w:lineRule="auto"/>
        <w:rPr>
          <w:rFonts w:ascii="Times New Roman" w:hAnsi="Times New Roman" w:cs="Times New Roman"/>
        </w:rPr>
      </w:pPr>
      <w:r w:rsidRPr="008F1DE1">
        <w:rPr>
          <w:rFonts w:ascii="Times New Roman" w:hAnsi="Times New Roman" w:cs="Times New Roman"/>
          <w:i/>
          <w:iCs/>
        </w:rPr>
        <w:t xml:space="preserve">Notes: * </w:t>
      </w:r>
      <w:r w:rsidRPr="008F1DE1">
        <w:rPr>
          <w:rFonts w:ascii="Times New Roman" w:hAnsi="Times New Roman" w:cs="Times New Roman"/>
        </w:rPr>
        <w:t>indicates a well-estimated parameter – i.e., 95% credible interval does not include 0. N=770.</w:t>
      </w:r>
    </w:p>
    <w:p w14:paraId="7B8068CF" w14:textId="77777777" w:rsidR="00600029" w:rsidRDefault="00600029" w:rsidP="00EA1B19">
      <w:pPr>
        <w:spacing w:after="0" w:line="480" w:lineRule="auto"/>
        <w:jc w:val="center"/>
        <w:rPr>
          <w:rFonts w:ascii="Times New Roman" w:hAnsi="Times New Roman" w:cs="Times New Roman"/>
          <w:b/>
          <w:bCs/>
          <w:i/>
          <w:iCs/>
          <w:sz w:val="24"/>
          <w:szCs w:val="24"/>
        </w:rPr>
      </w:pPr>
    </w:p>
    <w:p w14:paraId="72C9E401"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Table 3: WAIC and DIC goodness of fit measures.</w:t>
      </w:r>
    </w:p>
    <w:tbl>
      <w:tblPr>
        <w:tblW w:w="0" w:type="auto"/>
        <w:tblLook w:val="04A0" w:firstRow="1" w:lastRow="0" w:firstColumn="1" w:lastColumn="0" w:noHBand="0" w:noVBand="1"/>
      </w:tblPr>
      <w:tblGrid>
        <w:gridCol w:w="3878"/>
        <w:gridCol w:w="1218"/>
        <w:gridCol w:w="1218"/>
      </w:tblGrid>
      <w:tr w:rsidR="00EA1B19" w:rsidRPr="00535F4D" w14:paraId="0BE2CA2E" w14:textId="77777777" w:rsidTr="00AA0DDD">
        <w:tc>
          <w:tcPr>
            <w:tcW w:w="3878" w:type="dxa"/>
            <w:tcBorders>
              <w:top w:val="single" w:sz="4" w:space="0" w:color="auto"/>
              <w:bottom w:val="single" w:sz="4" w:space="0" w:color="auto"/>
            </w:tcBorders>
          </w:tcPr>
          <w:p w14:paraId="463CEBBB"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Model</w:t>
            </w:r>
          </w:p>
        </w:tc>
        <w:tc>
          <w:tcPr>
            <w:tcW w:w="1218" w:type="dxa"/>
            <w:tcBorders>
              <w:top w:val="single" w:sz="4" w:space="0" w:color="auto"/>
              <w:bottom w:val="single" w:sz="4" w:space="0" w:color="auto"/>
            </w:tcBorders>
          </w:tcPr>
          <w:p w14:paraId="2A2C3808"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WAIC</w:t>
            </w:r>
          </w:p>
        </w:tc>
        <w:tc>
          <w:tcPr>
            <w:tcW w:w="1218" w:type="dxa"/>
            <w:tcBorders>
              <w:top w:val="single" w:sz="4" w:space="0" w:color="auto"/>
              <w:bottom w:val="single" w:sz="4" w:space="0" w:color="auto"/>
            </w:tcBorders>
          </w:tcPr>
          <w:p w14:paraId="7D6E4F3D"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DIC</w:t>
            </w:r>
          </w:p>
        </w:tc>
      </w:tr>
      <w:tr w:rsidR="00EA1B19" w:rsidRPr="00535F4D" w14:paraId="1918222F" w14:textId="77777777" w:rsidTr="00AA0DDD">
        <w:tc>
          <w:tcPr>
            <w:tcW w:w="3878" w:type="dxa"/>
            <w:tcBorders>
              <w:top w:val="single" w:sz="4" w:space="0" w:color="auto"/>
            </w:tcBorders>
          </w:tcPr>
          <w:p w14:paraId="1672F34C"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Total</w:t>
            </w:r>
          </w:p>
          <w:p w14:paraId="52EC6102"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 xml:space="preserve">   Baseline</w:t>
            </w:r>
          </w:p>
          <w:p w14:paraId="51525E9F"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 xml:space="preserve">   Random effect – Uncorrelated</w:t>
            </w:r>
          </w:p>
          <w:p w14:paraId="6004CBE2"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lastRenderedPageBreak/>
              <w:t xml:space="preserve">   Random effect – Correlated</w:t>
            </w:r>
          </w:p>
        </w:tc>
        <w:tc>
          <w:tcPr>
            <w:tcW w:w="1218" w:type="dxa"/>
            <w:tcBorders>
              <w:top w:val="single" w:sz="4" w:space="0" w:color="auto"/>
            </w:tcBorders>
          </w:tcPr>
          <w:p w14:paraId="330E79F0" w14:textId="77777777" w:rsidR="00EA1B19" w:rsidRPr="00535F4D" w:rsidRDefault="00EA1B19" w:rsidP="00600029">
            <w:pPr>
              <w:spacing w:after="0" w:line="240" w:lineRule="auto"/>
              <w:rPr>
                <w:rFonts w:ascii="Times New Roman" w:hAnsi="Times New Roman" w:cs="Times New Roman"/>
                <w:sz w:val="24"/>
                <w:szCs w:val="24"/>
              </w:rPr>
            </w:pPr>
          </w:p>
          <w:p w14:paraId="4D68C80D"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4588.99</w:t>
            </w:r>
          </w:p>
          <w:p w14:paraId="47CF68B9"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4571.23</w:t>
            </w:r>
          </w:p>
          <w:p w14:paraId="7AF15E6A"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lastRenderedPageBreak/>
              <w:t>5887.69</w:t>
            </w:r>
          </w:p>
        </w:tc>
        <w:tc>
          <w:tcPr>
            <w:tcW w:w="1218" w:type="dxa"/>
            <w:tcBorders>
              <w:top w:val="single" w:sz="4" w:space="0" w:color="auto"/>
            </w:tcBorders>
          </w:tcPr>
          <w:p w14:paraId="18C00737" w14:textId="77777777" w:rsidR="00EA1B19" w:rsidRPr="00535F4D" w:rsidRDefault="00EA1B19" w:rsidP="00600029">
            <w:pPr>
              <w:spacing w:after="0" w:line="240" w:lineRule="auto"/>
              <w:rPr>
                <w:rFonts w:ascii="Times New Roman" w:hAnsi="Times New Roman" w:cs="Times New Roman"/>
                <w:sz w:val="24"/>
                <w:szCs w:val="24"/>
              </w:rPr>
            </w:pPr>
          </w:p>
          <w:p w14:paraId="19E18274"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4575.78</w:t>
            </w:r>
          </w:p>
          <w:p w14:paraId="7B565BD4"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4572.49</w:t>
            </w:r>
          </w:p>
          <w:p w14:paraId="3B0DBCFE"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lastRenderedPageBreak/>
              <w:t>5865.36</w:t>
            </w:r>
          </w:p>
        </w:tc>
      </w:tr>
      <w:tr w:rsidR="00EA1B19" w:rsidRPr="00535F4D" w14:paraId="69CAA3A2" w14:textId="77777777" w:rsidTr="00AA0DDD">
        <w:tc>
          <w:tcPr>
            <w:tcW w:w="3878" w:type="dxa"/>
          </w:tcPr>
          <w:p w14:paraId="4DE42A9B"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lastRenderedPageBreak/>
              <w:t>Health</w:t>
            </w:r>
          </w:p>
          <w:p w14:paraId="45436BBA"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 xml:space="preserve">   Baseline</w:t>
            </w:r>
          </w:p>
          <w:p w14:paraId="46889C3B"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 xml:space="preserve">   Random effect – Uncorrelated</w:t>
            </w:r>
          </w:p>
          <w:p w14:paraId="01DE5F3A"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 xml:space="preserve">   Random effect – Correlated </w:t>
            </w:r>
          </w:p>
        </w:tc>
        <w:tc>
          <w:tcPr>
            <w:tcW w:w="1218" w:type="dxa"/>
          </w:tcPr>
          <w:p w14:paraId="4AF7D4BD" w14:textId="77777777" w:rsidR="00EA1B19" w:rsidRPr="00535F4D" w:rsidRDefault="00EA1B19" w:rsidP="00600029">
            <w:pPr>
              <w:spacing w:after="0" w:line="240" w:lineRule="auto"/>
              <w:rPr>
                <w:rFonts w:ascii="Times New Roman" w:hAnsi="Times New Roman" w:cs="Times New Roman"/>
                <w:sz w:val="24"/>
                <w:szCs w:val="24"/>
              </w:rPr>
            </w:pPr>
          </w:p>
          <w:p w14:paraId="20A937FF"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5766.39</w:t>
            </w:r>
          </w:p>
          <w:p w14:paraId="16D5FA3F"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5766.21</w:t>
            </w:r>
          </w:p>
          <w:p w14:paraId="29EDF6BD"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6121.91</w:t>
            </w:r>
          </w:p>
        </w:tc>
        <w:tc>
          <w:tcPr>
            <w:tcW w:w="1218" w:type="dxa"/>
          </w:tcPr>
          <w:p w14:paraId="291F7ED0" w14:textId="77777777" w:rsidR="00EA1B19" w:rsidRPr="00535F4D" w:rsidRDefault="00EA1B19" w:rsidP="00600029">
            <w:pPr>
              <w:spacing w:after="0" w:line="240" w:lineRule="auto"/>
              <w:rPr>
                <w:rFonts w:ascii="Times New Roman" w:hAnsi="Times New Roman" w:cs="Times New Roman"/>
                <w:sz w:val="24"/>
                <w:szCs w:val="24"/>
              </w:rPr>
            </w:pPr>
          </w:p>
          <w:p w14:paraId="3850B659"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5765.20</w:t>
            </w:r>
          </w:p>
          <w:p w14:paraId="0B70446F"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5764.34</w:t>
            </w:r>
          </w:p>
          <w:p w14:paraId="6CFE1077"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6122.48</w:t>
            </w:r>
          </w:p>
        </w:tc>
      </w:tr>
      <w:tr w:rsidR="00EA1B19" w:rsidRPr="00535F4D" w14:paraId="6B497FC4" w14:textId="77777777" w:rsidTr="00AA0DDD">
        <w:tc>
          <w:tcPr>
            <w:tcW w:w="3878" w:type="dxa"/>
            <w:tcBorders>
              <w:bottom w:val="single" w:sz="4" w:space="0" w:color="auto"/>
            </w:tcBorders>
          </w:tcPr>
          <w:p w14:paraId="1DF4682D"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Arts</w:t>
            </w:r>
          </w:p>
          <w:p w14:paraId="444D5685"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 xml:space="preserve">   Baseline</w:t>
            </w:r>
          </w:p>
          <w:p w14:paraId="65FD13CA"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 xml:space="preserve">   Random effect – Uncorrelated</w:t>
            </w:r>
          </w:p>
          <w:p w14:paraId="38ED26AB"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 xml:space="preserve">   Random effect – Correlated</w:t>
            </w:r>
          </w:p>
        </w:tc>
        <w:tc>
          <w:tcPr>
            <w:tcW w:w="1218" w:type="dxa"/>
            <w:tcBorders>
              <w:bottom w:val="single" w:sz="4" w:space="0" w:color="auto"/>
            </w:tcBorders>
          </w:tcPr>
          <w:p w14:paraId="7CF13261" w14:textId="77777777" w:rsidR="00EA1B19" w:rsidRPr="00535F4D" w:rsidRDefault="00EA1B19" w:rsidP="00600029">
            <w:pPr>
              <w:spacing w:after="0" w:line="240" w:lineRule="auto"/>
              <w:rPr>
                <w:rFonts w:ascii="Times New Roman" w:hAnsi="Times New Roman" w:cs="Times New Roman"/>
                <w:sz w:val="24"/>
                <w:szCs w:val="24"/>
              </w:rPr>
            </w:pPr>
          </w:p>
          <w:p w14:paraId="4C269F49"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5610.29</w:t>
            </w:r>
          </w:p>
          <w:p w14:paraId="00B98AAA"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5610.02</w:t>
            </w:r>
          </w:p>
          <w:p w14:paraId="690958BF"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5994.96</w:t>
            </w:r>
          </w:p>
        </w:tc>
        <w:tc>
          <w:tcPr>
            <w:tcW w:w="1218" w:type="dxa"/>
            <w:tcBorders>
              <w:bottom w:val="single" w:sz="4" w:space="0" w:color="auto"/>
            </w:tcBorders>
          </w:tcPr>
          <w:p w14:paraId="269E920C" w14:textId="77777777" w:rsidR="00EA1B19" w:rsidRPr="00535F4D" w:rsidRDefault="00EA1B19" w:rsidP="00600029">
            <w:pPr>
              <w:spacing w:after="0" w:line="240" w:lineRule="auto"/>
              <w:rPr>
                <w:rFonts w:ascii="Times New Roman" w:hAnsi="Times New Roman" w:cs="Times New Roman"/>
                <w:sz w:val="24"/>
                <w:szCs w:val="24"/>
              </w:rPr>
            </w:pPr>
          </w:p>
          <w:p w14:paraId="2C55A290"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5609.77</w:t>
            </w:r>
          </w:p>
          <w:p w14:paraId="6C4A3DBC"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5607.67</w:t>
            </w:r>
          </w:p>
          <w:p w14:paraId="772F43D0" w14:textId="77777777" w:rsidR="00EA1B19" w:rsidRPr="00535F4D" w:rsidRDefault="00EA1B19" w:rsidP="00600029">
            <w:pPr>
              <w:spacing w:after="0" w:line="240" w:lineRule="auto"/>
              <w:rPr>
                <w:rFonts w:ascii="Times New Roman" w:hAnsi="Times New Roman" w:cs="Times New Roman"/>
                <w:sz w:val="24"/>
                <w:szCs w:val="24"/>
              </w:rPr>
            </w:pPr>
            <w:r w:rsidRPr="00535F4D">
              <w:rPr>
                <w:rFonts w:ascii="Times New Roman" w:hAnsi="Times New Roman" w:cs="Times New Roman"/>
                <w:sz w:val="24"/>
                <w:szCs w:val="24"/>
              </w:rPr>
              <w:t>5990.58</w:t>
            </w:r>
          </w:p>
        </w:tc>
      </w:tr>
    </w:tbl>
    <w:p w14:paraId="7DB7701F" w14:textId="77777777" w:rsidR="00EA1B19" w:rsidRDefault="00EA1B19" w:rsidP="00600029">
      <w:pPr>
        <w:spacing w:after="0" w:line="240" w:lineRule="auto"/>
        <w:rPr>
          <w:rFonts w:ascii="Times New Roman" w:hAnsi="Times New Roman" w:cs="Times New Roman"/>
        </w:rPr>
      </w:pPr>
      <w:r w:rsidRPr="00515020">
        <w:rPr>
          <w:rFonts w:ascii="Times New Roman" w:hAnsi="Times New Roman" w:cs="Times New Roman"/>
          <w:i/>
          <w:iCs/>
        </w:rPr>
        <w:t xml:space="preserve">Note: </w:t>
      </w:r>
      <w:r w:rsidRPr="00515020">
        <w:rPr>
          <w:rFonts w:ascii="Times New Roman" w:hAnsi="Times New Roman" w:cs="Times New Roman"/>
        </w:rPr>
        <w:t>Smaller measures indicate a better model fit.</w:t>
      </w:r>
    </w:p>
    <w:p w14:paraId="01554116" w14:textId="77777777" w:rsidR="00EA1B19" w:rsidRDefault="00EA1B19" w:rsidP="00EA1B19">
      <w:pPr>
        <w:spacing w:after="0" w:line="480" w:lineRule="auto"/>
        <w:ind w:firstLine="720"/>
        <w:rPr>
          <w:rFonts w:ascii="Times New Roman" w:hAnsi="Times New Roman" w:cs="Times New Roman"/>
        </w:rPr>
      </w:pPr>
    </w:p>
    <w:p w14:paraId="3EAEAB27" w14:textId="53B38DCE" w:rsidR="00EA1B19" w:rsidRDefault="00EA1B19" w:rsidP="00EA1B19">
      <w:pPr>
        <w:spacing w:after="0" w:line="480" w:lineRule="auto"/>
        <w:ind w:firstLine="720"/>
        <w:rPr>
          <w:rFonts w:ascii="Times New Roman" w:hAnsi="Times New Roman" w:cs="Times New Roman"/>
          <w:sz w:val="24"/>
          <w:szCs w:val="24"/>
        </w:rPr>
      </w:pPr>
      <w:r w:rsidRPr="00083D5F">
        <w:rPr>
          <w:rFonts w:ascii="Times New Roman" w:hAnsi="Times New Roman" w:cs="Times New Roman"/>
          <w:sz w:val="24"/>
          <w:szCs w:val="24"/>
        </w:rPr>
        <w:t>The spatial random effects from the best fitting uncorrelated random effect</w:t>
      </w:r>
      <w:r>
        <w:rPr>
          <w:rFonts w:ascii="Times New Roman" w:hAnsi="Times New Roman" w:cs="Times New Roman"/>
          <w:sz w:val="24"/>
          <w:szCs w:val="24"/>
        </w:rPr>
        <w:t xml:space="preserve">s </w:t>
      </w:r>
      <w:r w:rsidRPr="00083D5F">
        <w:rPr>
          <w:rFonts w:ascii="Times New Roman" w:hAnsi="Times New Roman" w:cs="Times New Roman"/>
          <w:sz w:val="24"/>
          <w:szCs w:val="24"/>
        </w:rPr>
        <w:t xml:space="preserve">model for each of the nonprofit </w:t>
      </w:r>
      <w:r>
        <w:rPr>
          <w:rFonts w:ascii="Times New Roman" w:hAnsi="Times New Roman" w:cs="Times New Roman"/>
          <w:sz w:val="24"/>
          <w:szCs w:val="24"/>
        </w:rPr>
        <w:t>subsector</w:t>
      </w:r>
      <w:r w:rsidRPr="00083D5F">
        <w:rPr>
          <w:rFonts w:ascii="Times New Roman" w:hAnsi="Times New Roman" w:cs="Times New Roman"/>
          <w:sz w:val="24"/>
          <w:szCs w:val="24"/>
        </w:rPr>
        <w:t xml:space="preserve">s are displayed in </w:t>
      </w:r>
      <w:r>
        <w:rPr>
          <w:rFonts w:ascii="Times New Roman" w:hAnsi="Times New Roman" w:cs="Times New Roman"/>
          <w:sz w:val="24"/>
          <w:szCs w:val="24"/>
        </w:rPr>
        <w:t>f</w:t>
      </w:r>
      <w:r w:rsidRPr="00083D5F">
        <w:rPr>
          <w:rFonts w:ascii="Times New Roman" w:hAnsi="Times New Roman" w:cs="Times New Roman"/>
          <w:sz w:val="24"/>
          <w:szCs w:val="24"/>
        </w:rPr>
        <w:t xml:space="preserve">igure </w:t>
      </w:r>
      <w:r>
        <w:rPr>
          <w:rFonts w:ascii="Times New Roman" w:hAnsi="Times New Roman" w:cs="Times New Roman"/>
          <w:sz w:val="24"/>
          <w:szCs w:val="24"/>
        </w:rPr>
        <w:t>1</w:t>
      </w:r>
      <w:r w:rsidRPr="00083D5F">
        <w:rPr>
          <w:rFonts w:ascii="Times New Roman" w:hAnsi="Times New Roman" w:cs="Times New Roman"/>
          <w:sz w:val="24"/>
          <w:szCs w:val="24"/>
        </w:rPr>
        <w:t xml:space="preserve"> (see </w:t>
      </w:r>
      <w:r>
        <w:rPr>
          <w:rFonts w:ascii="Times New Roman" w:hAnsi="Times New Roman" w:cs="Times New Roman"/>
          <w:sz w:val="24"/>
          <w:szCs w:val="24"/>
        </w:rPr>
        <w:t>s</w:t>
      </w:r>
      <w:r w:rsidRPr="00083D5F">
        <w:rPr>
          <w:rFonts w:ascii="Times New Roman" w:hAnsi="Times New Roman" w:cs="Times New Roman"/>
          <w:sz w:val="24"/>
          <w:szCs w:val="24"/>
        </w:rPr>
        <w:t xml:space="preserve">upplemental </w:t>
      </w:r>
      <w:r>
        <w:rPr>
          <w:rFonts w:ascii="Times New Roman" w:hAnsi="Times New Roman" w:cs="Times New Roman"/>
          <w:sz w:val="24"/>
          <w:szCs w:val="24"/>
        </w:rPr>
        <w:t>f</w:t>
      </w:r>
      <w:r w:rsidRPr="00083D5F">
        <w:rPr>
          <w:rFonts w:ascii="Times New Roman" w:hAnsi="Times New Roman" w:cs="Times New Roman"/>
          <w:sz w:val="24"/>
          <w:szCs w:val="24"/>
        </w:rPr>
        <w:t xml:space="preserve">igure </w:t>
      </w:r>
      <w:r>
        <w:rPr>
          <w:rFonts w:ascii="Times New Roman" w:hAnsi="Times New Roman" w:cs="Times New Roman"/>
          <w:sz w:val="24"/>
          <w:szCs w:val="24"/>
        </w:rPr>
        <w:t>S</w:t>
      </w:r>
      <w:r w:rsidRPr="00083D5F">
        <w:rPr>
          <w:rFonts w:ascii="Times New Roman" w:hAnsi="Times New Roman" w:cs="Times New Roman"/>
          <w:sz w:val="24"/>
          <w:szCs w:val="24"/>
        </w:rPr>
        <w:t xml:space="preserve">6 for the correlated random effects). These estimates represent residual nonprofit supply after adjusting for the independent variables. Here, higher (darker shading) values suggest more residual nonprofit supply, while lower (lighter shading) values suggest less residual nonprofit supply. This uncorrelated random effect appears mostly random, but some </w:t>
      </w:r>
      <w:r w:rsidR="00600029" w:rsidRPr="00083D5F">
        <w:rPr>
          <w:rFonts w:ascii="Times New Roman" w:hAnsi="Times New Roman" w:cs="Times New Roman"/>
          <w:sz w:val="24"/>
          <w:szCs w:val="24"/>
        </w:rPr>
        <w:t>clustering</w:t>
      </w:r>
      <w:r w:rsidRPr="00083D5F">
        <w:rPr>
          <w:rFonts w:ascii="Times New Roman" w:hAnsi="Times New Roman" w:cs="Times New Roman"/>
          <w:sz w:val="24"/>
          <w:szCs w:val="24"/>
        </w:rPr>
        <w:t xml:space="preserve"> of darker and lighter areas </w:t>
      </w:r>
      <w:proofErr w:type="gramStart"/>
      <w:r w:rsidRPr="00083D5F">
        <w:rPr>
          <w:rFonts w:ascii="Times New Roman" w:hAnsi="Times New Roman" w:cs="Times New Roman"/>
          <w:sz w:val="24"/>
          <w:szCs w:val="24"/>
        </w:rPr>
        <w:t>appear</w:t>
      </w:r>
      <w:proofErr w:type="gramEnd"/>
      <w:r w:rsidRPr="00083D5F">
        <w:rPr>
          <w:rFonts w:ascii="Times New Roman" w:hAnsi="Times New Roman" w:cs="Times New Roman"/>
          <w:sz w:val="24"/>
          <w:szCs w:val="24"/>
        </w:rPr>
        <w:t xml:space="preserve"> (averaging more and less nonprofit supply after adjusting for the </w:t>
      </w:r>
      <w:r>
        <w:rPr>
          <w:rFonts w:ascii="Times New Roman" w:hAnsi="Times New Roman" w:cs="Times New Roman"/>
          <w:sz w:val="24"/>
          <w:szCs w:val="24"/>
        </w:rPr>
        <w:t>independent variables</w:t>
      </w:r>
      <w:r w:rsidRPr="00083D5F">
        <w:rPr>
          <w:rFonts w:ascii="Times New Roman" w:hAnsi="Times New Roman" w:cs="Times New Roman"/>
          <w:sz w:val="24"/>
          <w:szCs w:val="24"/>
        </w:rPr>
        <w:t xml:space="preserve">). The west mountain region of the state has more residual total nonprofit supply, parts of the mountain and southeastern regions of the state have more residual health nonprofit supply, and parts of the mountain and piedmont regions of the state have more residual arts nonprofit supply. The correlated spatial random effects </w:t>
      </w:r>
      <w:r>
        <w:rPr>
          <w:rFonts w:ascii="Times New Roman" w:hAnsi="Times New Roman" w:cs="Times New Roman"/>
          <w:sz w:val="24"/>
          <w:szCs w:val="24"/>
        </w:rPr>
        <w:t xml:space="preserve">(supplemental figure S6) </w:t>
      </w:r>
      <w:r w:rsidRPr="00083D5F">
        <w:rPr>
          <w:rFonts w:ascii="Times New Roman" w:hAnsi="Times New Roman" w:cs="Times New Roman"/>
          <w:sz w:val="24"/>
          <w:szCs w:val="24"/>
        </w:rPr>
        <w:t>offer very strong spatial structure, and this over-smoothing likely leads to the poor model fit</w:t>
      </w:r>
      <w:r>
        <w:rPr>
          <w:rFonts w:ascii="Times New Roman" w:hAnsi="Times New Roman" w:cs="Times New Roman"/>
          <w:sz w:val="24"/>
          <w:szCs w:val="24"/>
        </w:rPr>
        <w:t xml:space="preserve"> associated with those models</w:t>
      </w:r>
      <w:r w:rsidRPr="00083D5F">
        <w:rPr>
          <w:rFonts w:ascii="Times New Roman" w:hAnsi="Times New Roman" w:cs="Times New Roman"/>
          <w:sz w:val="24"/>
          <w:szCs w:val="24"/>
        </w:rPr>
        <w:t xml:space="preserve">. </w:t>
      </w:r>
    </w:p>
    <w:p w14:paraId="4DE8DFEB" w14:textId="77777777" w:rsidR="00EA1B19" w:rsidRDefault="00EA1B19" w:rsidP="00EA1B19">
      <w:pPr>
        <w:spacing w:after="0" w:line="480" w:lineRule="auto"/>
        <w:jc w:val="center"/>
        <w:rPr>
          <w:rFonts w:ascii="Times New Roman" w:hAnsi="Times New Roman" w:cs="Times New Roman"/>
          <w:b/>
          <w:bCs/>
          <w:i/>
          <w:iCs/>
          <w:sz w:val="24"/>
          <w:szCs w:val="24"/>
        </w:rPr>
        <w:sectPr w:rsidR="00EA1B19" w:rsidSect="00B7132D">
          <w:footerReference w:type="even" r:id="rId12"/>
          <w:footerReference w:type="default" r:id="rId13"/>
          <w:footerReference w:type="first" r:id="rId14"/>
          <w:pgSz w:w="12240" w:h="15840"/>
          <w:pgMar w:top="1440" w:right="1440" w:bottom="1440" w:left="1440" w:header="720" w:footer="720" w:gutter="0"/>
          <w:pgNumType w:start="1"/>
          <w:cols w:space="720"/>
          <w:titlePg/>
          <w:docGrid w:linePitch="360"/>
        </w:sectPr>
      </w:pPr>
    </w:p>
    <w:p w14:paraId="79E31D20" w14:textId="77777777" w:rsidR="00EA1B19" w:rsidRDefault="00EA1B19" w:rsidP="00EA1B19">
      <w:pPr>
        <w:widowControl w:val="0"/>
        <w:autoSpaceDE w:val="0"/>
        <w:autoSpaceDN w:val="0"/>
        <w:adjustRightInd w:val="0"/>
        <w:spacing w:after="0" w:line="480" w:lineRule="auto"/>
        <w:ind w:left="480" w:hanging="480"/>
        <w:rPr>
          <w:rFonts w:ascii="Times New Roman" w:hAnsi="Times New Roman" w:cs="Times New Roman"/>
          <w:sz w:val="24"/>
          <w:szCs w:val="24"/>
        </w:rPr>
      </w:pPr>
      <w:r w:rsidRPr="00083D5F">
        <w:rPr>
          <w:rFonts w:ascii="Times New Roman" w:hAnsi="Times New Roman" w:cs="Times New Roman"/>
          <w:noProof/>
          <w:sz w:val="24"/>
          <w:szCs w:val="24"/>
        </w:rPr>
        <w:lastRenderedPageBreak/>
        <w:drawing>
          <wp:inline distT="0" distB="0" distL="0" distR="0" wp14:anchorId="425D46E1" wp14:editId="0F75043A">
            <wp:extent cx="9182527" cy="3041650"/>
            <wp:effectExtent l="0" t="0" r="0" b="635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97027" cy="3046453"/>
                    </a:xfrm>
                    <a:prstGeom prst="rect">
                      <a:avLst/>
                    </a:prstGeom>
                  </pic:spPr>
                </pic:pic>
              </a:graphicData>
            </a:graphic>
          </wp:inline>
        </w:drawing>
      </w:r>
    </w:p>
    <w:p w14:paraId="18E13DE7" w14:textId="2923CDA8" w:rsidR="00EA1B19" w:rsidRPr="005C1FCA" w:rsidRDefault="00EA1B19" w:rsidP="00EA1B19">
      <w:pPr>
        <w:widowControl w:val="0"/>
        <w:autoSpaceDE w:val="0"/>
        <w:autoSpaceDN w:val="0"/>
        <w:adjustRightInd w:val="0"/>
        <w:spacing w:after="0" w:line="480" w:lineRule="auto"/>
        <w:ind w:left="480" w:hanging="480"/>
        <w:rPr>
          <w:rFonts w:ascii="Times New Roman" w:hAnsi="Times New Roman" w:cs="Times New Roman"/>
          <w:sz w:val="24"/>
          <w:szCs w:val="24"/>
        </w:rPr>
      </w:pPr>
      <w:r w:rsidRPr="00635107">
        <w:rPr>
          <w:rFonts w:ascii="Times New Roman" w:hAnsi="Times New Roman" w:cs="Times New Roman"/>
          <w:sz w:val="24"/>
          <w:szCs w:val="24"/>
        </w:rPr>
        <w:t xml:space="preserve">Figure </w:t>
      </w:r>
      <w:r>
        <w:rPr>
          <w:rFonts w:ascii="Times New Roman" w:hAnsi="Times New Roman" w:cs="Times New Roman"/>
          <w:sz w:val="24"/>
          <w:szCs w:val="24"/>
        </w:rPr>
        <w:t>1</w:t>
      </w:r>
      <w:r w:rsidRPr="00635107">
        <w:rPr>
          <w:rFonts w:ascii="Times New Roman" w:hAnsi="Times New Roman" w:cs="Times New Roman"/>
          <w:sz w:val="24"/>
          <w:szCs w:val="24"/>
        </w:rPr>
        <w:t xml:space="preserve">: Uncorrelated spatial random effects from each of the </w:t>
      </w:r>
      <w:r w:rsidR="00600029">
        <w:rPr>
          <w:rFonts w:ascii="Times New Roman" w:hAnsi="Times New Roman" w:cs="Times New Roman"/>
          <w:sz w:val="24"/>
          <w:szCs w:val="24"/>
        </w:rPr>
        <w:t>models</w:t>
      </w:r>
      <w:r w:rsidRPr="00635107">
        <w:rPr>
          <w:rFonts w:ascii="Times New Roman" w:hAnsi="Times New Roman" w:cs="Times New Roman"/>
          <w:sz w:val="24"/>
          <w:szCs w:val="24"/>
        </w:rPr>
        <w:t>.</w:t>
      </w:r>
    </w:p>
    <w:p w14:paraId="14108257" w14:textId="77777777" w:rsidR="00EA1B19" w:rsidRDefault="00EA1B19" w:rsidP="00EA1B19">
      <w:pPr>
        <w:spacing w:after="0" w:line="480" w:lineRule="auto"/>
        <w:jc w:val="center"/>
        <w:rPr>
          <w:rFonts w:ascii="Times New Roman" w:hAnsi="Times New Roman" w:cs="Times New Roman"/>
          <w:b/>
          <w:bCs/>
          <w:i/>
          <w:iCs/>
          <w:sz w:val="24"/>
          <w:szCs w:val="24"/>
        </w:rPr>
      </w:pPr>
    </w:p>
    <w:p w14:paraId="5864F8A7" w14:textId="77777777" w:rsidR="00EA1B19" w:rsidRDefault="00EA1B19" w:rsidP="00EA1B19">
      <w:pPr>
        <w:spacing w:after="0" w:line="480" w:lineRule="auto"/>
        <w:jc w:val="center"/>
        <w:rPr>
          <w:rFonts w:ascii="Times New Roman" w:hAnsi="Times New Roman" w:cs="Times New Roman"/>
          <w:b/>
          <w:bCs/>
          <w:i/>
          <w:iCs/>
          <w:sz w:val="24"/>
          <w:szCs w:val="24"/>
        </w:rPr>
        <w:sectPr w:rsidR="00EA1B19" w:rsidSect="00F7571F">
          <w:pgSz w:w="15840" w:h="12240" w:orient="landscape"/>
          <w:pgMar w:top="1440" w:right="1440" w:bottom="1440" w:left="1440" w:header="720" w:footer="720" w:gutter="0"/>
          <w:cols w:space="720"/>
          <w:docGrid w:linePitch="360"/>
        </w:sectPr>
      </w:pPr>
    </w:p>
    <w:p w14:paraId="34A40F96" w14:textId="77777777" w:rsidR="00EA1B19" w:rsidRPr="00083D5F" w:rsidRDefault="00EA1B19" w:rsidP="00EA1B19">
      <w:pPr>
        <w:spacing w:after="0" w:line="480" w:lineRule="auto"/>
        <w:rPr>
          <w:rFonts w:ascii="Times New Roman" w:hAnsi="Times New Roman" w:cs="Times New Roman"/>
          <w:b/>
          <w:sz w:val="24"/>
          <w:szCs w:val="24"/>
        </w:rPr>
      </w:pPr>
      <w:r w:rsidRPr="00083D5F">
        <w:rPr>
          <w:rFonts w:ascii="Times New Roman" w:hAnsi="Times New Roman" w:cs="Times New Roman"/>
          <w:b/>
          <w:sz w:val="24"/>
          <w:szCs w:val="24"/>
        </w:rPr>
        <w:lastRenderedPageBreak/>
        <w:t>Discussion</w:t>
      </w:r>
    </w:p>
    <w:p w14:paraId="14F6BD12" w14:textId="77777777" w:rsidR="00EA1B19" w:rsidRDefault="00EA1B19" w:rsidP="00EA1B1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Despite growing recognition that demand-side economic theories of nonprofit formation are incomplete and should be supplemented with other theories (Steinberg, 2006; Ghatak, 2020), they remain central to the literature investigating the size and scope of the nonprofit sector. Demand heterogeneity is the lens through which most empirical research on the relationship between various community characteristics and nonprofit supply is conducted. Paarlberg and Zuhlke (2019) provide a detailed literature review in their analyses that demonstrates the divergent findings of this body of research and the variance in the models and measures used to assess the effects of demand heterogeneity on nonprofit sector size. Lu’s (2020) recent meta-analysis finds a significant and positive association between demand heterogeneity and nonprofit sector size, but cautions “the magnitude of the effect is substantially small” and surmises that “its explanatory power in predicting nonprofit sector size and growth might be less robust” (p. 1077).</w:t>
      </w:r>
    </w:p>
    <w:p w14:paraId="58C00B44" w14:textId="77777777" w:rsidR="00EA1B19" w:rsidRDefault="00EA1B19" w:rsidP="00EA1B19">
      <w:pPr>
        <w:spacing w:after="0" w:line="480" w:lineRule="auto"/>
        <w:rPr>
          <w:rFonts w:ascii="Times New Roman" w:hAnsi="Times New Roman" w:cs="Times New Roman"/>
          <w:bCs/>
          <w:sz w:val="24"/>
          <w:szCs w:val="24"/>
        </w:rPr>
      </w:pPr>
      <w:r>
        <w:rPr>
          <w:rFonts w:ascii="Times New Roman" w:hAnsi="Times New Roman" w:cs="Times New Roman"/>
          <w:bCs/>
          <w:sz w:val="24"/>
          <w:szCs w:val="24"/>
        </w:rPr>
        <w:tab/>
        <w:t>Prior literature notes significant variability in the measures used in this line of inquiry (Pennerstorfer &amp; Rutherford, 2019; Paarlberg &amp; Zuhlke, 2019; Lu, 2020), and Yan et al. (2014) observe that much of this research suffers from methodological limitations. This article sought to bring clarity to the question of whether demand heterogeneity influences nonprofit sector size by considering multiple types of demand and applying robust statistical techniques to the question. The absence of clear findings for demand on nonprofit supply in our analysis suggests the field should expand beyond demand-side economic theories and incorporate more lenses.</w:t>
      </w:r>
    </w:p>
    <w:p w14:paraId="5A7D2497" w14:textId="77777777" w:rsidR="00EA1B19" w:rsidRDefault="00EA1B19" w:rsidP="00EA1B19">
      <w:pPr>
        <w:widowControl w:val="0"/>
        <w:spacing w:after="0" w:line="480" w:lineRule="auto"/>
        <w:rPr>
          <w:rFonts w:ascii="Times New Roman" w:hAnsi="Times New Roman" w:cs="Times New Roman"/>
          <w:bCs/>
          <w:sz w:val="24"/>
          <w:szCs w:val="24"/>
        </w:rPr>
      </w:pPr>
      <w:r>
        <w:rPr>
          <w:rFonts w:ascii="Times New Roman" w:hAnsi="Times New Roman" w:cs="Times New Roman"/>
          <w:bCs/>
          <w:sz w:val="24"/>
          <w:szCs w:val="24"/>
        </w:rPr>
        <w:tab/>
        <w:t xml:space="preserve">Areas with higher levels of latent and/or expressed community demand could benefit from greater nonprofit activity and yet we do not find any statistical evidence to that effect. Indeed, the only measure of community demand that achieves statistical significance (2-1-1 requests in the health subsector) finds the opposite relationship – i.e., more expressed demand </w:t>
      </w:r>
      <w:r>
        <w:rPr>
          <w:rFonts w:ascii="Times New Roman" w:hAnsi="Times New Roman" w:cs="Times New Roman"/>
          <w:bCs/>
          <w:sz w:val="24"/>
          <w:szCs w:val="24"/>
        </w:rPr>
        <w:lastRenderedPageBreak/>
        <w:t>yields less nonprofit supply. We are not able to empirically assess the possibility in our data, but more vulnerable communities with greater demand may lack the resources to support a robust nonprofit sector. It is possible philanthropic insufficiency and philanthropic amateurism are contributing to these findings.</w:t>
      </w:r>
    </w:p>
    <w:p w14:paraId="0DF19C7C" w14:textId="77777777" w:rsidR="00EA1B19" w:rsidRDefault="00EA1B19" w:rsidP="00EA1B19">
      <w:pPr>
        <w:widowControl w:val="0"/>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Nonetheless, it appears nonprofit supply might be more influenced by factors other than demand. Findings for the market characteristics appear to be more consequential and suggest a potential complementarity among the sectors that could account for changes in nonprofit supply. For-profit output crowded-in nonprofit supply in all three models. Similarly, government output crowds-in total nonprofit supply. Taken together, these findings suggest some level of interdependence or complementarity between the sectors that warrants further investigation. </w:t>
      </w:r>
    </w:p>
    <w:p w14:paraId="090CFC8B" w14:textId="20C064F2" w:rsidR="00EA1B19" w:rsidRPr="001D69AF" w:rsidRDefault="00EA1B19" w:rsidP="00EA1B1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Finally, it is possible that the misalignment between supply and demand is influenced by supply-side factors. Entrepreneurship theory and values-based conceptions of nonprofit formation tell us that individuals start nonprofits for myriad reasons beyond demand. Carman and Nesbit’s (2013, p. 616) results demonstrate that “personal, emotional, and economic mo</w:t>
      </w:r>
      <w:r w:rsidR="00B421DD">
        <w:rPr>
          <w:rFonts w:ascii="Times New Roman" w:hAnsi="Times New Roman" w:cs="Times New Roman"/>
          <w:bCs/>
          <w:sz w:val="24"/>
          <w:szCs w:val="24"/>
        </w:rPr>
        <w:t>t</w:t>
      </w:r>
      <w:r>
        <w:rPr>
          <w:rFonts w:ascii="Times New Roman" w:hAnsi="Times New Roman" w:cs="Times New Roman"/>
          <w:bCs/>
          <w:sz w:val="24"/>
          <w:szCs w:val="24"/>
        </w:rPr>
        <w:t>ivations of the founders (i.e., wanting to make a living doing what they love or feeling “called” to do something in a particular area)” are central to understanding why some individuals start nonprofits. Future theoretical and empirical work is required to under</w:t>
      </w:r>
      <w:r w:rsidR="00445748">
        <w:rPr>
          <w:rFonts w:ascii="Times New Roman" w:hAnsi="Times New Roman" w:cs="Times New Roman"/>
          <w:bCs/>
          <w:sz w:val="24"/>
          <w:szCs w:val="24"/>
        </w:rPr>
        <w:t>s</w:t>
      </w:r>
      <w:r>
        <w:rPr>
          <w:rFonts w:ascii="Times New Roman" w:hAnsi="Times New Roman" w:cs="Times New Roman"/>
          <w:bCs/>
          <w:sz w:val="24"/>
          <w:szCs w:val="24"/>
        </w:rPr>
        <w:t>tand how these factors influence nonprofit supply.</w:t>
      </w:r>
    </w:p>
    <w:p w14:paraId="52411C83" w14:textId="77777777" w:rsidR="00EA1B19" w:rsidRPr="0030607D" w:rsidRDefault="00EA1B19" w:rsidP="00EA1B1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26EFBA63" w14:textId="77777777" w:rsidR="00EA1B19" w:rsidRPr="0003635A" w:rsidRDefault="00EA1B19" w:rsidP="00EA1B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introduced new variable constructs, novel data, and improved methods to this line of inquiry in hopes of producing more nuanced results than prior research. And yet, not unlike results from the research we cite, results are mixed. Although some evidence exists for casting nonprofit supply in purely economic terms – e.g., nonprofit health output goes up where </w:t>
      </w:r>
      <w:r>
        <w:rPr>
          <w:rFonts w:ascii="Times New Roman" w:hAnsi="Times New Roman" w:cs="Times New Roman"/>
          <w:sz w:val="24"/>
          <w:szCs w:val="24"/>
        </w:rPr>
        <w:lastRenderedPageBreak/>
        <w:t xml:space="preserve">expressed demand for health services goes up – the preponderance of evidence produced here and elsewhere in the literature suggests nonprofit supply may emerge for less rational purposes. Despite accounting for latent need (SOVI) and expressed need (NC 2-1-1 requests), those demand variables do not consistently predict nonprofit supply. Rather, other factors in the marketplace seem to be more consequential. It is possible that for-profit and government supply crowds-in nonprofit supply because they are funding nonprofit activity or working collaboratively to produce and deliver services. </w:t>
      </w:r>
      <w:r w:rsidRPr="00C85881">
        <w:rPr>
          <w:rFonts w:ascii="Times New Roman" w:hAnsi="Times New Roman" w:cs="Times New Roman"/>
          <w:bCs/>
          <w:sz w:val="24"/>
          <w:szCs w:val="24"/>
        </w:rPr>
        <w:t xml:space="preserve">Since crowding-in could lessen nonprofit service provision in areas not as well served by for-profits and governments, public policy might consider incentivizing nonprofit location where for-profit and government services are less robust. </w:t>
      </w:r>
    </w:p>
    <w:p w14:paraId="55CE37EA" w14:textId="77777777" w:rsidR="00EA1B19" w:rsidRPr="00083D5F" w:rsidRDefault="00EA1B19" w:rsidP="00EA1B1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is also possible that nonprofit output is influenced by factors not accounted for in other studies and only represented here by the estimated residual spatial variability. We offer multi-dimensional constructs for understanding and capturing community need, but there may be other demand features to consider. Finally, it is possible that there are factors unique to North Carolina that influence findings. Future research might broaden the sample to include more states to account for this limitation and thereby also increase the external validity of any findings.</w:t>
      </w:r>
    </w:p>
    <w:p w14:paraId="6343DE94" w14:textId="77777777" w:rsidR="00EA1B19" w:rsidRPr="00083D5F" w:rsidRDefault="00EA1B19" w:rsidP="00EA1B19">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In conclusion, t</w:t>
      </w:r>
      <w:r w:rsidRPr="00083D5F">
        <w:rPr>
          <w:rFonts w:ascii="Times New Roman" w:hAnsi="Times New Roman" w:cs="Times New Roman"/>
          <w:bCs/>
          <w:sz w:val="24"/>
          <w:szCs w:val="24"/>
        </w:rPr>
        <w:t xml:space="preserve">he research literature on the relationship between the demand for nonprofits and the supply often takes up the questions of whether a sufficient number or too many nonprofits exist in an area, or whether nonprofits are situated where they are needed. Although these questions merit close examination, they typically rely on simple counts of nonprofit organizations as the supply variable, which is </w:t>
      </w:r>
      <w:r>
        <w:rPr>
          <w:rFonts w:ascii="Times New Roman" w:hAnsi="Times New Roman" w:cs="Times New Roman"/>
          <w:bCs/>
          <w:sz w:val="24"/>
          <w:szCs w:val="24"/>
        </w:rPr>
        <w:t xml:space="preserve">a </w:t>
      </w:r>
      <w:r w:rsidRPr="00083D5F">
        <w:rPr>
          <w:rFonts w:ascii="Times New Roman" w:hAnsi="Times New Roman" w:cs="Times New Roman"/>
          <w:bCs/>
          <w:sz w:val="24"/>
          <w:szCs w:val="24"/>
        </w:rPr>
        <w:t xml:space="preserve">misleading indicator. In the present study, we turn to the broader issue of the relationship between nonprofit location and community and market characteristics. We investigate this research question with stronger measures such as </w:t>
      </w:r>
      <w:r w:rsidRPr="00083D5F">
        <w:rPr>
          <w:rFonts w:ascii="Times New Roman" w:hAnsi="Times New Roman" w:cs="Times New Roman"/>
          <w:bCs/>
          <w:sz w:val="24"/>
          <w:szCs w:val="24"/>
        </w:rPr>
        <w:lastRenderedPageBreak/>
        <w:t xml:space="preserve">nonprofit expenditures rather than counts, multidimensional indicators of community need such as SOVI, enhanced statistical techniques that account for spatial dependencies, and replication </w:t>
      </w:r>
      <w:r>
        <w:rPr>
          <w:rFonts w:ascii="Times New Roman" w:hAnsi="Times New Roman" w:cs="Times New Roman"/>
          <w:bCs/>
          <w:sz w:val="24"/>
          <w:szCs w:val="24"/>
        </w:rPr>
        <w:t xml:space="preserve">of the sector-wide analysis </w:t>
      </w:r>
      <w:r w:rsidRPr="00083D5F">
        <w:rPr>
          <w:rFonts w:ascii="Times New Roman" w:hAnsi="Times New Roman" w:cs="Times New Roman"/>
          <w:bCs/>
          <w:sz w:val="24"/>
          <w:szCs w:val="24"/>
        </w:rPr>
        <w:t xml:space="preserve">across </w:t>
      </w:r>
      <w:r>
        <w:rPr>
          <w:rFonts w:ascii="Times New Roman" w:hAnsi="Times New Roman" w:cs="Times New Roman"/>
          <w:bCs/>
          <w:sz w:val="24"/>
          <w:szCs w:val="24"/>
        </w:rPr>
        <w:t>the health and arts subsectors</w:t>
      </w:r>
      <w:r w:rsidRPr="00083D5F">
        <w:rPr>
          <w:rFonts w:ascii="Times New Roman" w:hAnsi="Times New Roman" w:cs="Times New Roman"/>
          <w:bCs/>
          <w:sz w:val="24"/>
          <w:szCs w:val="24"/>
        </w:rPr>
        <w:t>. Th</w:t>
      </w:r>
      <w:r>
        <w:rPr>
          <w:rFonts w:ascii="Times New Roman" w:hAnsi="Times New Roman" w:cs="Times New Roman"/>
          <w:bCs/>
          <w:sz w:val="24"/>
          <w:szCs w:val="24"/>
        </w:rPr>
        <w:t>ese methodological alternatives</w:t>
      </w:r>
      <w:r w:rsidRPr="00083D5F">
        <w:rPr>
          <w:rFonts w:ascii="Times New Roman" w:hAnsi="Times New Roman" w:cs="Times New Roman"/>
          <w:bCs/>
          <w:sz w:val="24"/>
          <w:szCs w:val="24"/>
        </w:rPr>
        <w:t xml:space="preserve"> can </w:t>
      </w:r>
      <w:r>
        <w:rPr>
          <w:rFonts w:ascii="Times New Roman" w:hAnsi="Times New Roman" w:cs="Times New Roman"/>
          <w:bCs/>
          <w:sz w:val="24"/>
          <w:szCs w:val="24"/>
        </w:rPr>
        <w:t>be adopted by future researchers and guide</w:t>
      </w:r>
      <w:r w:rsidRPr="00083D5F">
        <w:rPr>
          <w:rFonts w:ascii="Times New Roman" w:hAnsi="Times New Roman" w:cs="Times New Roman"/>
          <w:bCs/>
          <w:sz w:val="24"/>
          <w:szCs w:val="24"/>
        </w:rPr>
        <w:t xml:space="preserve"> </w:t>
      </w:r>
      <w:r>
        <w:rPr>
          <w:rFonts w:ascii="Times New Roman" w:hAnsi="Times New Roman" w:cs="Times New Roman"/>
          <w:bCs/>
          <w:sz w:val="24"/>
          <w:szCs w:val="24"/>
        </w:rPr>
        <w:t>their work.</w:t>
      </w:r>
    </w:p>
    <w:p w14:paraId="3DBEB40D" w14:textId="77777777" w:rsidR="00EA1B19" w:rsidRDefault="00EA1B19" w:rsidP="00EA1B19">
      <w:pPr>
        <w:spacing w:after="0" w:line="480" w:lineRule="auto"/>
        <w:rPr>
          <w:rFonts w:ascii="Times New Roman" w:hAnsi="Times New Roman" w:cs="Times New Roman"/>
          <w:sz w:val="24"/>
          <w:szCs w:val="24"/>
        </w:rPr>
      </w:pPr>
    </w:p>
    <w:p w14:paraId="78EBA910" w14:textId="77777777" w:rsidR="00EA1B19" w:rsidRPr="00083D5F" w:rsidRDefault="00EA1B19" w:rsidP="00EA1B19">
      <w:pPr>
        <w:spacing w:after="0" w:line="480" w:lineRule="auto"/>
        <w:rPr>
          <w:rFonts w:ascii="Times New Roman" w:hAnsi="Times New Roman" w:cs="Times New Roman"/>
          <w:sz w:val="24"/>
          <w:szCs w:val="24"/>
        </w:rPr>
      </w:pPr>
    </w:p>
    <w:p w14:paraId="03C1C0FA" w14:textId="77777777" w:rsidR="00EA1B19" w:rsidRDefault="00EA1B19" w:rsidP="00EA1B19">
      <w:pPr>
        <w:rPr>
          <w:rFonts w:ascii="Times New Roman" w:hAnsi="Times New Roman" w:cs="Times New Roman"/>
          <w:b/>
          <w:sz w:val="24"/>
          <w:szCs w:val="24"/>
        </w:rPr>
      </w:pPr>
      <w:r>
        <w:rPr>
          <w:rFonts w:ascii="Times New Roman" w:hAnsi="Times New Roman" w:cs="Times New Roman"/>
          <w:b/>
          <w:sz w:val="24"/>
          <w:szCs w:val="24"/>
        </w:rPr>
        <w:br w:type="page"/>
      </w:r>
    </w:p>
    <w:p w14:paraId="3B14FB88" w14:textId="77777777" w:rsidR="00EA1B19" w:rsidRPr="005C1FCA" w:rsidRDefault="00EA1B19" w:rsidP="00EA1B19">
      <w:pPr>
        <w:spacing w:after="0" w:line="480" w:lineRule="auto"/>
        <w:rPr>
          <w:rFonts w:ascii="Times New Roman" w:hAnsi="Times New Roman" w:cs="Times New Roman"/>
          <w:b/>
          <w:sz w:val="24"/>
          <w:szCs w:val="24"/>
        </w:rPr>
      </w:pPr>
      <w:r w:rsidRPr="005C1FCA">
        <w:rPr>
          <w:rFonts w:ascii="Times New Roman" w:hAnsi="Times New Roman" w:cs="Times New Roman"/>
          <w:b/>
          <w:sz w:val="24"/>
          <w:szCs w:val="24"/>
        </w:rPr>
        <w:lastRenderedPageBreak/>
        <w:t>References</w:t>
      </w:r>
    </w:p>
    <w:p w14:paraId="2F02598A" w14:textId="77777777" w:rsidR="00EA1B19" w:rsidRPr="002E19C5" w:rsidRDefault="00EA1B19" w:rsidP="00EA1B19">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Anheier, H. K., Lang, M., and Toepler, S. (2020), Comparative nonprofit sector research: A critical assessment. In W. W. Powell and P. Bromley (Eds.) </w:t>
      </w:r>
      <w:r>
        <w:rPr>
          <w:rFonts w:ascii="Times New Roman" w:hAnsi="Times New Roman" w:cs="Times New Roman"/>
          <w:i/>
          <w:iCs/>
          <w:sz w:val="24"/>
          <w:szCs w:val="24"/>
        </w:rPr>
        <w:t>The Nonprofit Sector: A Research Handbook (3</w:t>
      </w:r>
      <w:r w:rsidRPr="002E19C5">
        <w:rPr>
          <w:rFonts w:ascii="Times New Roman" w:hAnsi="Times New Roman" w:cs="Times New Roman"/>
          <w:i/>
          <w:iCs/>
          <w:sz w:val="24"/>
          <w:szCs w:val="24"/>
          <w:vertAlign w:val="superscript"/>
        </w:rPr>
        <w:t>rd</w:t>
      </w:r>
      <w:r>
        <w:rPr>
          <w:rFonts w:ascii="Times New Roman" w:hAnsi="Times New Roman" w:cs="Times New Roman"/>
          <w:i/>
          <w:iCs/>
          <w:sz w:val="24"/>
          <w:szCs w:val="24"/>
        </w:rPr>
        <w:t xml:space="preserve"> Edition)</w:t>
      </w:r>
      <w:r>
        <w:rPr>
          <w:rFonts w:ascii="Times New Roman" w:hAnsi="Times New Roman" w:cs="Times New Roman"/>
          <w:sz w:val="24"/>
          <w:szCs w:val="24"/>
        </w:rPr>
        <w:t>. Stanford: Stanford University Press.</w:t>
      </w:r>
    </w:p>
    <w:p w14:paraId="0831C167"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A17AFC">
        <w:rPr>
          <w:rFonts w:ascii="Times New Roman" w:hAnsi="Times New Roman" w:cs="Times New Roman"/>
          <w:noProof/>
          <w:sz w:val="24"/>
          <w:szCs w:val="24"/>
        </w:rPr>
        <w:t>Besag, J., and Green, P. J. (1993)</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Spatial Statistics and Bayesian Computation. </w:t>
      </w:r>
      <w:r w:rsidRPr="00A17AFC">
        <w:rPr>
          <w:rFonts w:ascii="Times New Roman" w:hAnsi="Times New Roman" w:cs="Times New Roman"/>
          <w:i/>
          <w:iCs/>
          <w:noProof/>
          <w:sz w:val="24"/>
          <w:szCs w:val="24"/>
        </w:rPr>
        <w:t>J Roy Stat Soc B</w:t>
      </w:r>
      <w:r w:rsidRPr="00A17AFC">
        <w:rPr>
          <w:rFonts w:ascii="Times New Roman" w:hAnsi="Times New Roman" w:cs="Times New Roman"/>
          <w:noProof/>
          <w:sz w:val="24"/>
          <w:szCs w:val="24"/>
        </w:rPr>
        <w:t>, 55, 25–37.</w:t>
      </w:r>
    </w:p>
    <w:p w14:paraId="77D53DB8"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Besag, J., York, J., and Mollié, A. (1991)</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Bayesian image restoration, with two applications in spatial statistics</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Ann</w:t>
      </w:r>
      <w:r>
        <w:rPr>
          <w:rFonts w:ascii="Times New Roman" w:hAnsi="Times New Roman" w:cs="Times New Roman"/>
          <w:i/>
          <w:iCs/>
          <w:noProof/>
          <w:sz w:val="24"/>
          <w:szCs w:val="24"/>
        </w:rPr>
        <w:t>als of the</w:t>
      </w:r>
      <w:r w:rsidRPr="00A17AFC">
        <w:rPr>
          <w:rFonts w:ascii="Times New Roman" w:hAnsi="Times New Roman" w:cs="Times New Roman"/>
          <w:i/>
          <w:iCs/>
          <w:noProof/>
          <w:sz w:val="24"/>
          <w:szCs w:val="24"/>
        </w:rPr>
        <w:t xml:space="preserve"> Inst</w:t>
      </w:r>
      <w:r>
        <w:rPr>
          <w:rFonts w:ascii="Times New Roman" w:hAnsi="Times New Roman" w:cs="Times New Roman"/>
          <w:i/>
          <w:iCs/>
          <w:noProof/>
          <w:sz w:val="24"/>
          <w:szCs w:val="24"/>
        </w:rPr>
        <w:t>itute of</w:t>
      </w:r>
      <w:r w:rsidRPr="00A17AFC">
        <w:rPr>
          <w:rFonts w:ascii="Times New Roman" w:hAnsi="Times New Roman" w:cs="Times New Roman"/>
          <w:i/>
          <w:iCs/>
          <w:noProof/>
          <w:sz w:val="24"/>
          <w:szCs w:val="24"/>
        </w:rPr>
        <w:t xml:space="preserve"> Stat</w:t>
      </w:r>
      <w:r>
        <w:rPr>
          <w:rFonts w:ascii="Times New Roman" w:hAnsi="Times New Roman" w:cs="Times New Roman"/>
          <w:i/>
          <w:iCs/>
          <w:noProof/>
          <w:sz w:val="24"/>
          <w:szCs w:val="24"/>
        </w:rPr>
        <w:t>istical</w:t>
      </w:r>
      <w:r w:rsidRPr="00A17AFC">
        <w:rPr>
          <w:rFonts w:ascii="Times New Roman" w:hAnsi="Times New Roman" w:cs="Times New Roman"/>
          <w:i/>
          <w:iCs/>
          <w:noProof/>
          <w:sz w:val="24"/>
          <w:szCs w:val="24"/>
        </w:rPr>
        <w:t xml:space="preserve"> Math</w:t>
      </w:r>
      <w:r>
        <w:rPr>
          <w:rFonts w:ascii="Times New Roman" w:hAnsi="Times New Roman" w:cs="Times New Roman"/>
          <w:i/>
          <w:iCs/>
          <w:noProof/>
          <w:sz w:val="24"/>
          <w:szCs w:val="24"/>
        </w:rPr>
        <w:t>ematics</w:t>
      </w:r>
      <w:r w:rsidRPr="00A17AFC">
        <w:rPr>
          <w:rFonts w:ascii="Times New Roman" w:hAnsi="Times New Roman" w:cs="Times New Roman"/>
          <w:noProof/>
          <w:sz w:val="24"/>
          <w:szCs w:val="24"/>
        </w:rPr>
        <w:t>, 43, 1–20.</w:t>
      </w:r>
    </w:p>
    <w:p w14:paraId="4AADA99D"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Bivand, R., and Lewin-Koh, N. (2001)</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maptools: Tools for </w:t>
      </w:r>
      <w:r>
        <w:rPr>
          <w:rFonts w:ascii="Times New Roman" w:hAnsi="Times New Roman" w:cs="Times New Roman"/>
          <w:noProof/>
          <w:sz w:val="24"/>
          <w:szCs w:val="24"/>
        </w:rPr>
        <w:t>h</w:t>
      </w:r>
      <w:r w:rsidRPr="00A17AFC">
        <w:rPr>
          <w:rFonts w:ascii="Times New Roman" w:hAnsi="Times New Roman" w:cs="Times New Roman"/>
          <w:noProof/>
          <w:sz w:val="24"/>
          <w:szCs w:val="24"/>
        </w:rPr>
        <w:t xml:space="preserve">andling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patial </w:t>
      </w:r>
      <w:r>
        <w:rPr>
          <w:rFonts w:ascii="Times New Roman" w:hAnsi="Times New Roman" w:cs="Times New Roman"/>
          <w:noProof/>
          <w:sz w:val="24"/>
          <w:szCs w:val="24"/>
        </w:rPr>
        <w:t>o</w:t>
      </w:r>
      <w:r w:rsidRPr="00A17AFC">
        <w:rPr>
          <w:rFonts w:ascii="Times New Roman" w:hAnsi="Times New Roman" w:cs="Times New Roman"/>
          <w:noProof/>
          <w:sz w:val="24"/>
          <w:szCs w:val="24"/>
        </w:rPr>
        <w:t>bjects.</w:t>
      </w:r>
    </w:p>
    <w:p w14:paraId="0350C9ED"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Bivand, R., Rowlingson, B., and Tim, K. (2019)</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rgdal: Bindings for the ‘Geospatial’ </w:t>
      </w:r>
      <w:r>
        <w:rPr>
          <w:rFonts w:ascii="Times New Roman" w:hAnsi="Times New Roman" w:cs="Times New Roman"/>
          <w:noProof/>
          <w:sz w:val="24"/>
          <w:szCs w:val="24"/>
        </w:rPr>
        <w:t>d</w:t>
      </w:r>
      <w:r w:rsidRPr="00A17AFC">
        <w:rPr>
          <w:rFonts w:ascii="Times New Roman" w:hAnsi="Times New Roman" w:cs="Times New Roman"/>
          <w:noProof/>
          <w:sz w:val="24"/>
          <w:szCs w:val="24"/>
        </w:rPr>
        <w:t>ata.</w:t>
      </w:r>
    </w:p>
    <w:p w14:paraId="4D5F2D10"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Bivand, R. S., Pebesma, E., and Gomez-Rubio, V. (n.d.). </w:t>
      </w:r>
      <w:r w:rsidRPr="00A17AFC">
        <w:rPr>
          <w:rFonts w:ascii="Times New Roman" w:hAnsi="Times New Roman" w:cs="Times New Roman"/>
          <w:i/>
          <w:iCs/>
          <w:noProof/>
          <w:sz w:val="24"/>
          <w:szCs w:val="24"/>
        </w:rPr>
        <w:t>Applied spatial data analysis with R</w:t>
      </w:r>
      <w:r w:rsidRPr="00A17AFC">
        <w:rPr>
          <w:rFonts w:ascii="Times New Roman" w:hAnsi="Times New Roman" w:cs="Times New Roman"/>
          <w:noProof/>
          <w:sz w:val="24"/>
          <w:szCs w:val="24"/>
        </w:rPr>
        <w:t>, New York: Springer.</w:t>
      </w:r>
    </w:p>
    <w:p w14:paraId="57509FD9"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Bivand, R. S., and Wong, D. W. S. (2018)</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Comparing implementations of global and local indicators of spatial association, </w:t>
      </w:r>
      <w:r w:rsidRPr="00A17AFC">
        <w:rPr>
          <w:rFonts w:ascii="Times New Roman" w:hAnsi="Times New Roman" w:cs="Times New Roman"/>
          <w:i/>
          <w:iCs/>
          <w:noProof/>
          <w:sz w:val="24"/>
          <w:szCs w:val="24"/>
        </w:rPr>
        <w:t>TEST</w:t>
      </w:r>
      <w:r w:rsidRPr="00A17AFC">
        <w:rPr>
          <w:rFonts w:ascii="Times New Roman" w:hAnsi="Times New Roman" w:cs="Times New Roman"/>
          <w:noProof/>
          <w:sz w:val="24"/>
          <w:szCs w:val="24"/>
        </w:rPr>
        <w:t>, 27, 716–748.</w:t>
      </w:r>
    </w:p>
    <w:p w14:paraId="4B111AED" w14:textId="77777777" w:rsidR="00EA1B19"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Blangiardo, M., Cameletti, M., Baio, G., and Rue, H. (2013)</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Spatial and spatio-temporal models with R-INLA</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Spat</w:t>
      </w:r>
      <w:r>
        <w:rPr>
          <w:rFonts w:ascii="Times New Roman" w:hAnsi="Times New Roman" w:cs="Times New Roman"/>
          <w:i/>
          <w:iCs/>
          <w:noProof/>
          <w:sz w:val="24"/>
          <w:szCs w:val="24"/>
        </w:rPr>
        <w:t>ial and</w:t>
      </w:r>
      <w:r w:rsidRPr="00A17AFC">
        <w:rPr>
          <w:rFonts w:ascii="Times New Roman" w:hAnsi="Times New Roman" w:cs="Times New Roman"/>
          <w:i/>
          <w:iCs/>
          <w:noProof/>
          <w:sz w:val="24"/>
          <w:szCs w:val="24"/>
        </w:rPr>
        <w:t xml:space="preserve"> Spatio</w:t>
      </w:r>
      <w:r>
        <w:rPr>
          <w:rFonts w:ascii="Times New Roman" w:hAnsi="Times New Roman" w:cs="Times New Roman"/>
          <w:i/>
          <w:iCs/>
          <w:noProof/>
          <w:sz w:val="24"/>
          <w:szCs w:val="24"/>
        </w:rPr>
        <w:t>-</w:t>
      </w:r>
      <w:r w:rsidRPr="00A17AFC">
        <w:rPr>
          <w:rFonts w:ascii="Times New Roman" w:hAnsi="Times New Roman" w:cs="Times New Roman"/>
          <w:i/>
          <w:iCs/>
          <w:noProof/>
          <w:sz w:val="24"/>
          <w:szCs w:val="24"/>
        </w:rPr>
        <w:t>temporal Epidemiol</w:t>
      </w:r>
      <w:r>
        <w:rPr>
          <w:rFonts w:ascii="Times New Roman" w:hAnsi="Times New Roman" w:cs="Times New Roman"/>
          <w:i/>
          <w:iCs/>
          <w:noProof/>
          <w:sz w:val="24"/>
          <w:szCs w:val="24"/>
        </w:rPr>
        <w:t>ogy</w:t>
      </w:r>
      <w:r w:rsidRPr="00A17AFC">
        <w:rPr>
          <w:rFonts w:ascii="Times New Roman" w:hAnsi="Times New Roman" w:cs="Times New Roman"/>
          <w:noProof/>
          <w:sz w:val="24"/>
          <w:szCs w:val="24"/>
        </w:rPr>
        <w:t>, 4, 33–49.</w:t>
      </w:r>
    </w:p>
    <w:p w14:paraId="6A42E0CB" w14:textId="77777777" w:rsidR="00EA1B19" w:rsidRPr="003038EF" w:rsidRDefault="00EA1B19" w:rsidP="00EA1B19">
      <w:pPr>
        <w:widowControl w:val="0"/>
        <w:autoSpaceDE w:val="0"/>
        <w:autoSpaceDN w:val="0"/>
        <w:adjustRightInd w:val="0"/>
        <w:spacing w:after="0" w:line="480" w:lineRule="auto"/>
        <w:ind w:left="480" w:hanging="480"/>
        <w:rPr>
          <w:rFonts w:ascii="Times New Roman" w:hAnsi="Times New Roman" w:cs="Times New Roman"/>
          <w:noProof/>
          <w:color w:val="000000" w:themeColor="text1"/>
          <w:sz w:val="24"/>
          <w:szCs w:val="24"/>
        </w:rPr>
      </w:pPr>
      <w:r w:rsidRPr="003038EF">
        <w:rPr>
          <w:rFonts w:ascii="Times New Roman" w:hAnsi="Times New Roman" w:cs="Times New Roman"/>
          <w:noProof/>
          <w:color w:val="000000" w:themeColor="text1"/>
          <w:sz w:val="24"/>
          <w:szCs w:val="24"/>
        </w:rPr>
        <w:t>Brennan, J., Paarlberg, L., and Hoyman, M. (2014)</w:t>
      </w:r>
      <w:r>
        <w:rPr>
          <w:rFonts w:ascii="Times New Roman" w:hAnsi="Times New Roman" w:cs="Times New Roman"/>
          <w:noProof/>
          <w:color w:val="000000" w:themeColor="text1"/>
          <w:sz w:val="24"/>
          <w:szCs w:val="24"/>
        </w:rPr>
        <w:t xml:space="preserve">. </w:t>
      </w:r>
      <w:r w:rsidRPr="003038EF">
        <w:rPr>
          <w:rFonts w:ascii="Times New Roman" w:hAnsi="Times New Roman" w:cs="Times New Roman"/>
          <w:noProof/>
          <w:color w:val="000000" w:themeColor="text1"/>
          <w:sz w:val="24"/>
          <w:szCs w:val="24"/>
        </w:rPr>
        <w:t>Assembling the puzzle of the nonprofit-economic development linkage</w:t>
      </w:r>
      <w:r>
        <w:rPr>
          <w:rFonts w:ascii="Times New Roman" w:hAnsi="Times New Roman" w:cs="Times New Roman"/>
          <w:noProof/>
          <w:color w:val="000000" w:themeColor="text1"/>
          <w:sz w:val="24"/>
          <w:szCs w:val="24"/>
        </w:rPr>
        <w:t>.</w:t>
      </w:r>
      <w:r w:rsidRPr="003038EF">
        <w:rPr>
          <w:rFonts w:ascii="Times New Roman" w:hAnsi="Times New Roman" w:cs="Times New Roman"/>
          <w:noProof/>
          <w:color w:val="000000" w:themeColor="text1"/>
          <w:sz w:val="24"/>
          <w:szCs w:val="24"/>
        </w:rPr>
        <w:t xml:space="preserve"> </w:t>
      </w:r>
      <w:r w:rsidRPr="003038EF">
        <w:rPr>
          <w:rFonts w:ascii="Times New Roman" w:hAnsi="Times New Roman" w:cs="Times New Roman"/>
          <w:i/>
          <w:iCs/>
          <w:noProof/>
          <w:color w:val="000000" w:themeColor="text1"/>
          <w:sz w:val="24"/>
          <w:szCs w:val="24"/>
        </w:rPr>
        <w:t xml:space="preserve">Nonprofit Policy Forum, </w:t>
      </w:r>
      <w:r w:rsidRPr="003038EF">
        <w:rPr>
          <w:rFonts w:ascii="Times New Roman" w:hAnsi="Times New Roman" w:cs="Times New Roman"/>
          <w:noProof/>
          <w:color w:val="000000" w:themeColor="text1"/>
          <w:sz w:val="24"/>
          <w:szCs w:val="24"/>
        </w:rPr>
        <w:t>5</w:t>
      </w:r>
      <w:r>
        <w:rPr>
          <w:rFonts w:ascii="Times New Roman" w:hAnsi="Times New Roman" w:cs="Times New Roman"/>
          <w:noProof/>
          <w:color w:val="000000" w:themeColor="text1"/>
          <w:sz w:val="24"/>
          <w:szCs w:val="24"/>
        </w:rPr>
        <w:t>,</w:t>
      </w:r>
      <w:r w:rsidRPr="003038EF">
        <w:rPr>
          <w:rFonts w:ascii="Times New Roman" w:hAnsi="Times New Roman" w:cs="Times New Roman"/>
          <w:noProof/>
          <w:color w:val="000000" w:themeColor="text1"/>
          <w:sz w:val="24"/>
          <w:szCs w:val="24"/>
        </w:rPr>
        <w:t xml:space="preserve"> 45-65.</w:t>
      </w:r>
    </w:p>
    <w:p w14:paraId="22B6BEC3" w14:textId="77777777" w:rsidR="00EA1B19" w:rsidRPr="00001B24"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Carman, J. G., and Nesbit, R. (2013). Founding new nonprofit organizations: Syndrome or symptom?. </w:t>
      </w:r>
      <w:r>
        <w:rPr>
          <w:rFonts w:ascii="Times New Roman" w:hAnsi="Times New Roman" w:cs="Times New Roman"/>
          <w:i/>
          <w:iCs/>
          <w:noProof/>
          <w:sz w:val="24"/>
          <w:szCs w:val="24"/>
        </w:rPr>
        <w:t xml:space="preserve">Nonprofit and Voluntary Sector Quarterly, </w:t>
      </w:r>
      <w:r>
        <w:rPr>
          <w:rFonts w:ascii="Times New Roman" w:hAnsi="Times New Roman" w:cs="Times New Roman"/>
          <w:noProof/>
          <w:sz w:val="24"/>
          <w:szCs w:val="24"/>
        </w:rPr>
        <w:t>42, 603-621.</w:t>
      </w:r>
    </w:p>
    <w:p w14:paraId="57C111B6"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Carroll, R. (2016)</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fillmap: Create maps with SpatialPolygons objects.</w:t>
      </w:r>
    </w:p>
    <w:p w14:paraId="24D148E9"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Carroll, R., Lawson, A. B., Faes, C., Kirby, R. S., Aregay, M., and Watjou, K. (2015)</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Comparing INLA and OpenBUGS for hierarchical Poisson modeling in disease mapping</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lastRenderedPageBreak/>
        <w:t>Spat</w:t>
      </w:r>
      <w:r>
        <w:rPr>
          <w:rFonts w:ascii="Times New Roman" w:hAnsi="Times New Roman" w:cs="Times New Roman"/>
          <w:i/>
          <w:iCs/>
          <w:noProof/>
          <w:sz w:val="24"/>
          <w:szCs w:val="24"/>
        </w:rPr>
        <w:t>ial and</w:t>
      </w:r>
      <w:r w:rsidRPr="00A17AFC">
        <w:rPr>
          <w:rFonts w:ascii="Times New Roman" w:hAnsi="Times New Roman" w:cs="Times New Roman"/>
          <w:i/>
          <w:iCs/>
          <w:noProof/>
          <w:sz w:val="24"/>
          <w:szCs w:val="24"/>
        </w:rPr>
        <w:t xml:space="preserve"> Spatio</w:t>
      </w:r>
      <w:r>
        <w:rPr>
          <w:rFonts w:ascii="Times New Roman" w:hAnsi="Times New Roman" w:cs="Times New Roman"/>
          <w:i/>
          <w:iCs/>
          <w:noProof/>
          <w:sz w:val="24"/>
          <w:szCs w:val="24"/>
        </w:rPr>
        <w:t>-</w:t>
      </w:r>
      <w:r w:rsidRPr="00A17AFC">
        <w:rPr>
          <w:rFonts w:ascii="Times New Roman" w:hAnsi="Times New Roman" w:cs="Times New Roman"/>
          <w:i/>
          <w:iCs/>
          <w:noProof/>
          <w:sz w:val="24"/>
          <w:szCs w:val="24"/>
        </w:rPr>
        <w:t>temporal Epidemiol</w:t>
      </w:r>
      <w:r>
        <w:rPr>
          <w:rFonts w:ascii="Times New Roman" w:hAnsi="Times New Roman" w:cs="Times New Roman"/>
          <w:i/>
          <w:iCs/>
          <w:noProof/>
          <w:sz w:val="24"/>
          <w:szCs w:val="24"/>
        </w:rPr>
        <w:t>ogy</w:t>
      </w:r>
      <w:r w:rsidRPr="00A17AFC">
        <w:rPr>
          <w:rFonts w:ascii="Times New Roman" w:hAnsi="Times New Roman" w:cs="Times New Roman"/>
          <w:noProof/>
          <w:sz w:val="24"/>
          <w:szCs w:val="24"/>
        </w:rPr>
        <w:t>, 14–15, 45–54.</w:t>
      </w:r>
    </w:p>
    <w:p w14:paraId="34EB8424"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Cutter, S. L., Boruff, B. J., and Shirley, W. L. (2003)</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Social Vulnerability to Environmental Hazards*</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Social Science Quarterly</w:t>
      </w:r>
      <w:r w:rsidRPr="00A17AFC">
        <w:rPr>
          <w:rFonts w:ascii="Times New Roman" w:hAnsi="Times New Roman" w:cs="Times New Roman"/>
          <w:noProof/>
          <w:sz w:val="24"/>
          <w:szCs w:val="24"/>
        </w:rPr>
        <w:t>, 84, 242–261.</w:t>
      </w:r>
    </w:p>
    <w:p w14:paraId="4A393970" w14:textId="77777777" w:rsidR="00EA1B19" w:rsidRPr="007859B8"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Dees, J. G., Emerson, J., and Economy, P. (2001). </w:t>
      </w:r>
      <w:r>
        <w:rPr>
          <w:rFonts w:ascii="Times New Roman" w:hAnsi="Times New Roman" w:cs="Times New Roman"/>
          <w:i/>
          <w:iCs/>
          <w:noProof/>
          <w:sz w:val="24"/>
          <w:szCs w:val="24"/>
        </w:rPr>
        <w:t>Enterprising nonprofits</w:t>
      </w:r>
      <w:r>
        <w:rPr>
          <w:rFonts w:ascii="Times New Roman" w:hAnsi="Times New Roman" w:cs="Times New Roman"/>
          <w:noProof/>
          <w:sz w:val="24"/>
          <w:szCs w:val="24"/>
        </w:rPr>
        <w:t>. New York: Wiley.</w:t>
      </w:r>
    </w:p>
    <w:p w14:paraId="105D47CB"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Fox, J., and Weisberg, S. (2019)</w:t>
      </w:r>
      <w:r>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 xml:space="preserve">An R </w:t>
      </w:r>
      <w:r>
        <w:rPr>
          <w:rFonts w:ascii="Times New Roman" w:hAnsi="Times New Roman" w:cs="Times New Roman"/>
          <w:i/>
          <w:iCs/>
          <w:noProof/>
          <w:sz w:val="24"/>
          <w:szCs w:val="24"/>
        </w:rPr>
        <w:t>c</w:t>
      </w:r>
      <w:r w:rsidRPr="00A17AFC">
        <w:rPr>
          <w:rFonts w:ascii="Times New Roman" w:hAnsi="Times New Roman" w:cs="Times New Roman"/>
          <w:i/>
          <w:iCs/>
          <w:noProof/>
          <w:sz w:val="24"/>
          <w:szCs w:val="24"/>
        </w:rPr>
        <w:t xml:space="preserve">ompanion to </w:t>
      </w:r>
      <w:r>
        <w:rPr>
          <w:rFonts w:ascii="Times New Roman" w:hAnsi="Times New Roman" w:cs="Times New Roman"/>
          <w:i/>
          <w:iCs/>
          <w:noProof/>
          <w:sz w:val="24"/>
          <w:szCs w:val="24"/>
        </w:rPr>
        <w:t>a</w:t>
      </w:r>
      <w:r w:rsidRPr="00A17AFC">
        <w:rPr>
          <w:rFonts w:ascii="Times New Roman" w:hAnsi="Times New Roman" w:cs="Times New Roman"/>
          <w:i/>
          <w:iCs/>
          <w:noProof/>
          <w:sz w:val="24"/>
          <w:szCs w:val="24"/>
        </w:rPr>
        <w:t xml:space="preserve">pplied </w:t>
      </w:r>
      <w:r>
        <w:rPr>
          <w:rFonts w:ascii="Times New Roman" w:hAnsi="Times New Roman" w:cs="Times New Roman"/>
          <w:i/>
          <w:iCs/>
          <w:noProof/>
          <w:sz w:val="24"/>
          <w:szCs w:val="24"/>
        </w:rPr>
        <w:t>r</w:t>
      </w:r>
      <w:r w:rsidRPr="00A17AFC">
        <w:rPr>
          <w:rFonts w:ascii="Times New Roman" w:hAnsi="Times New Roman" w:cs="Times New Roman"/>
          <w:i/>
          <w:iCs/>
          <w:noProof/>
          <w:sz w:val="24"/>
          <w:szCs w:val="24"/>
        </w:rPr>
        <w:t>egression</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Thousand Oaks: Sage Publications.</w:t>
      </w:r>
    </w:p>
    <w:p w14:paraId="659802DF"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Garnier, S. (2018)</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viridis: Default </w:t>
      </w:r>
      <w:r>
        <w:rPr>
          <w:rFonts w:ascii="Times New Roman" w:hAnsi="Times New Roman" w:cs="Times New Roman"/>
          <w:noProof/>
          <w:sz w:val="24"/>
          <w:szCs w:val="24"/>
        </w:rPr>
        <w:t>c</w:t>
      </w:r>
      <w:r w:rsidRPr="00A17AFC">
        <w:rPr>
          <w:rFonts w:ascii="Times New Roman" w:hAnsi="Times New Roman" w:cs="Times New Roman"/>
          <w:noProof/>
          <w:sz w:val="24"/>
          <w:szCs w:val="24"/>
        </w:rPr>
        <w:t xml:space="preserve">olor </w:t>
      </w:r>
      <w:r>
        <w:rPr>
          <w:rFonts w:ascii="Times New Roman" w:hAnsi="Times New Roman" w:cs="Times New Roman"/>
          <w:noProof/>
          <w:sz w:val="24"/>
          <w:szCs w:val="24"/>
        </w:rPr>
        <w:t>m</w:t>
      </w:r>
      <w:r w:rsidRPr="00A17AFC">
        <w:rPr>
          <w:rFonts w:ascii="Times New Roman" w:hAnsi="Times New Roman" w:cs="Times New Roman"/>
          <w:noProof/>
          <w:sz w:val="24"/>
          <w:szCs w:val="24"/>
        </w:rPr>
        <w:t>aps from ‘matplotlib’.</w:t>
      </w:r>
    </w:p>
    <w:p w14:paraId="13B313D5" w14:textId="77777777" w:rsidR="00EA1B19" w:rsidRPr="002E19C5" w:rsidRDefault="00EA1B19" w:rsidP="00EA1B19">
      <w:pPr>
        <w:widowControl w:val="0"/>
        <w:autoSpaceDE w:val="0"/>
        <w:autoSpaceDN w:val="0"/>
        <w:adjustRightInd w:val="0"/>
        <w:spacing w:after="0" w:line="480" w:lineRule="auto"/>
        <w:ind w:left="480" w:hanging="480"/>
        <w:rPr>
          <w:rFonts w:ascii="Times New Roman" w:hAnsi="Times New Roman" w:cs="Times New Roman"/>
          <w:sz w:val="24"/>
          <w:szCs w:val="24"/>
        </w:rPr>
      </w:pPr>
      <w:r>
        <w:rPr>
          <w:rFonts w:ascii="Times New Roman" w:hAnsi="Times New Roman" w:cs="Times New Roman"/>
          <w:sz w:val="24"/>
          <w:szCs w:val="24"/>
        </w:rPr>
        <w:t xml:space="preserve">Ghatak, M. (2020). Economic theories of the social sector: From nonprofits to social enterprise. In W. W. Powell and P. Bromley (Eds.) </w:t>
      </w:r>
      <w:r>
        <w:rPr>
          <w:rFonts w:ascii="Times New Roman" w:hAnsi="Times New Roman" w:cs="Times New Roman"/>
          <w:i/>
          <w:iCs/>
          <w:sz w:val="24"/>
          <w:szCs w:val="24"/>
        </w:rPr>
        <w:t>The Nonprofit Sector: A Research Handbook (3</w:t>
      </w:r>
      <w:r w:rsidRPr="002E19C5">
        <w:rPr>
          <w:rFonts w:ascii="Times New Roman" w:hAnsi="Times New Roman" w:cs="Times New Roman"/>
          <w:i/>
          <w:iCs/>
          <w:sz w:val="24"/>
          <w:szCs w:val="24"/>
          <w:vertAlign w:val="superscript"/>
        </w:rPr>
        <w:t>rd</w:t>
      </w:r>
      <w:r>
        <w:rPr>
          <w:rFonts w:ascii="Times New Roman" w:hAnsi="Times New Roman" w:cs="Times New Roman"/>
          <w:i/>
          <w:iCs/>
          <w:sz w:val="24"/>
          <w:szCs w:val="24"/>
        </w:rPr>
        <w:t xml:space="preserve"> Edition)</w:t>
      </w:r>
      <w:r>
        <w:rPr>
          <w:rFonts w:ascii="Times New Roman" w:hAnsi="Times New Roman" w:cs="Times New Roman"/>
          <w:sz w:val="24"/>
          <w:szCs w:val="24"/>
        </w:rPr>
        <w:t>. Stanford: Stanford University Press.</w:t>
      </w:r>
    </w:p>
    <w:p w14:paraId="580C9EA8" w14:textId="77777777" w:rsidR="00EA1B19" w:rsidRPr="00E82EBD"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Hansmann, H. B. (1987). Economic theories of nonprofit organization. In W. W. Powell (Ed.), </w:t>
      </w:r>
      <w:r>
        <w:rPr>
          <w:rFonts w:ascii="Times New Roman" w:hAnsi="Times New Roman" w:cs="Times New Roman"/>
          <w:i/>
          <w:iCs/>
          <w:noProof/>
          <w:sz w:val="24"/>
          <w:szCs w:val="24"/>
        </w:rPr>
        <w:t>The Nonprofit Sector: A Research Handbook</w:t>
      </w:r>
      <w:r>
        <w:rPr>
          <w:rFonts w:ascii="Times New Roman" w:hAnsi="Times New Roman" w:cs="Times New Roman"/>
          <w:noProof/>
          <w:sz w:val="24"/>
          <w:szCs w:val="24"/>
        </w:rPr>
        <w:t>. New Haven: Yale University Press.</w:t>
      </w:r>
    </w:p>
    <w:p w14:paraId="772F696C"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Harrison, T., and Thornton, J. (2014)</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Too </w:t>
      </w:r>
      <w:r>
        <w:rPr>
          <w:rFonts w:ascii="Times New Roman" w:hAnsi="Times New Roman" w:cs="Times New Roman"/>
          <w:noProof/>
          <w:sz w:val="24"/>
          <w:szCs w:val="24"/>
        </w:rPr>
        <w:t>m</w:t>
      </w:r>
      <w:r w:rsidRPr="00A17AFC">
        <w:rPr>
          <w:rFonts w:ascii="Times New Roman" w:hAnsi="Times New Roman" w:cs="Times New Roman"/>
          <w:noProof/>
          <w:sz w:val="24"/>
          <w:szCs w:val="24"/>
        </w:rPr>
        <w:t xml:space="preserve">any </w:t>
      </w:r>
      <w:r>
        <w:rPr>
          <w:rFonts w:ascii="Times New Roman" w:hAnsi="Times New Roman" w:cs="Times New Roman"/>
          <w:noProof/>
          <w:sz w:val="24"/>
          <w:szCs w:val="24"/>
        </w:rPr>
        <w:t>n</w:t>
      </w:r>
      <w:r w:rsidRPr="00A17AFC">
        <w:rPr>
          <w:rFonts w:ascii="Times New Roman" w:hAnsi="Times New Roman" w:cs="Times New Roman"/>
          <w:noProof/>
          <w:sz w:val="24"/>
          <w:szCs w:val="24"/>
        </w:rPr>
        <w:t xml:space="preserve">onprofits? An </w:t>
      </w:r>
      <w:r>
        <w:rPr>
          <w:rFonts w:ascii="Times New Roman" w:hAnsi="Times New Roman" w:cs="Times New Roman"/>
          <w:noProof/>
          <w:sz w:val="24"/>
          <w:szCs w:val="24"/>
        </w:rPr>
        <w:t>e</w:t>
      </w:r>
      <w:r w:rsidRPr="00A17AFC">
        <w:rPr>
          <w:rFonts w:ascii="Times New Roman" w:hAnsi="Times New Roman" w:cs="Times New Roman"/>
          <w:noProof/>
          <w:sz w:val="24"/>
          <w:szCs w:val="24"/>
        </w:rPr>
        <w:t xml:space="preserve">mpirical </w:t>
      </w:r>
      <w:r>
        <w:rPr>
          <w:rFonts w:ascii="Times New Roman" w:hAnsi="Times New Roman" w:cs="Times New Roman"/>
          <w:noProof/>
          <w:sz w:val="24"/>
          <w:szCs w:val="24"/>
        </w:rPr>
        <w:t>a</w:t>
      </w:r>
      <w:r w:rsidRPr="00A17AFC">
        <w:rPr>
          <w:rFonts w:ascii="Times New Roman" w:hAnsi="Times New Roman" w:cs="Times New Roman"/>
          <w:noProof/>
          <w:sz w:val="24"/>
          <w:szCs w:val="24"/>
        </w:rPr>
        <w:t xml:space="preserve">pproach to </w:t>
      </w:r>
      <w:r>
        <w:rPr>
          <w:rFonts w:ascii="Times New Roman" w:hAnsi="Times New Roman" w:cs="Times New Roman"/>
          <w:noProof/>
          <w:sz w:val="24"/>
          <w:szCs w:val="24"/>
        </w:rPr>
        <w:t>es</w:t>
      </w:r>
      <w:r w:rsidRPr="00A17AFC">
        <w:rPr>
          <w:rFonts w:ascii="Times New Roman" w:hAnsi="Times New Roman" w:cs="Times New Roman"/>
          <w:noProof/>
          <w:sz w:val="24"/>
          <w:szCs w:val="24"/>
        </w:rPr>
        <w:t xml:space="preserve">timating </w:t>
      </w:r>
      <w:r>
        <w:rPr>
          <w:rFonts w:ascii="Times New Roman" w:hAnsi="Times New Roman" w:cs="Times New Roman"/>
          <w:noProof/>
          <w:sz w:val="24"/>
          <w:szCs w:val="24"/>
        </w:rPr>
        <w:t>t</w:t>
      </w:r>
      <w:r w:rsidRPr="00A17AFC">
        <w:rPr>
          <w:rFonts w:ascii="Times New Roman" w:hAnsi="Times New Roman" w:cs="Times New Roman"/>
          <w:noProof/>
          <w:sz w:val="24"/>
          <w:szCs w:val="24"/>
        </w:rPr>
        <w:t xml:space="preserve">rends in </w:t>
      </w:r>
      <w:r>
        <w:rPr>
          <w:rFonts w:ascii="Times New Roman" w:hAnsi="Times New Roman" w:cs="Times New Roman"/>
          <w:noProof/>
          <w:sz w:val="24"/>
          <w:szCs w:val="24"/>
        </w:rPr>
        <w:t>n</w:t>
      </w:r>
      <w:r w:rsidRPr="00A17AFC">
        <w:rPr>
          <w:rFonts w:ascii="Times New Roman" w:hAnsi="Times New Roman" w:cs="Times New Roman"/>
          <w:noProof/>
          <w:sz w:val="24"/>
          <w:szCs w:val="24"/>
        </w:rPr>
        <w:t xml:space="preserve">onprofit </w:t>
      </w:r>
      <w:r>
        <w:rPr>
          <w:rFonts w:ascii="Times New Roman" w:hAnsi="Times New Roman" w:cs="Times New Roman"/>
          <w:noProof/>
          <w:sz w:val="24"/>
          <w:szCs w:val="24"/>
        </w:rPr>
        <w:t>d</w:t>
      </w:r>
      <w:r w:rsidRPr="00A17AFC">
        <w:rPr>
          <w:rFonts w:ascii="Times New Roman" w:hAnsi="Times New Roman" w:cs="Times New Roman"/>
          <w:noProof/>
          <w:sz w:val="24"/>
          <w:szCs w:val="24"/>
        </w:rPr>
        <w:t xml:space="preserve">emand </w:t>
      </w:r>
      <w:r>
        <w:rPr>
          <w:rFonts w:ascii="Times New Roman" w:hAnsi="Times New Roman" w:cs="Times New Roman"/>
          <w:noProof/>
          <w:sz w:val="24"/>
          <w:szCs w:val="24"/>
        </w:rPr>
        <w:t>d</w:t>
      </w:r>
      <w:r w:rsidRPr="00A17AFC">
        <w:rPr>
          <w:rFonts w:ascii="Times New Roman" w:hAnsi="Times New Roman" w:cs="Times New Roman"/>
          <w:noProof/>
          <w:sz w:val="24"/>
          <w:szCs w:val="24"/>
        </w:rPr>
        <w:t>ensity</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Nonprofit Policy Forum</w:t>
      </w:r>
      <w:r w:rsidRPr="00A17AFC">
        <w:rPr>
          <w:rFonts w:ascii="Times New Roman" w:hAnsi="Times New Roman" w:cs="Times New Roman"/>
          <w:noProof/>
          <w:sz w:val="24"/>
          <w:szCs w:val="24"/>
        </w:rPr>
        <w:t>, 5, 213–229.</w:t>
      </w:r>
    </w:p>
    <w:p w14:paraId="70EC3EA1"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Hayes, C., Kingsley, T. G., Blackwood, A., and Pollak, T. (2015)</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Community-</w:t>
      </w:r>
      <w:r>
        <w:rPr>
          <w:rFonts w:ascii="Times New Roman" w:hAnsi="Times New Roman" w:cs="Times New Roman"/>
          <w:i/>
          <w:iCs/>
          <w:noProof/>
          <w:sz w:val="24"/>
          <w:szCs w:val="24"/>
        </w:rPr>
        <w:t>o</w:t>
      </w:r>
      <w:r w:rsidRPr="00A17AFC">
        <w:rPr>
          <w:rFonts w:ascii="Times New Roman" w:hAnsi="Times New Roman" w:cs="Times New Roman"/>
          <w:i/>
          <w:iCs/>
          <w:noProof/>
          <w:sz w:val="24"/>
          <w:szCs w:val="24"/>
        </w:rPr>
        <w:t xml:space="preserve">riented </w:t>
      </w:r>
      <w:r>
        <w:rPr>
          <w:rFonts w:ascii="Times New Roman" w:hAnsi="Times New Roman" w:cs="Times New Roman"/>
          <w:i/>
          <w:iCs/>
          <w:noProof/>
          <w:sz w:val="24"/>
          <w:szCs w:val="24"/>
        </w:rPr>
        <w:t>n</w:t>
      </w:r>
      <w:r w:rsidRPr="00A17AFC">
        <w:rPr>
          <w:rFonts w:ascii="Times New Roman" w:hAnsi="Times New Roman" w:cs="Times New Roman"/>
          <w:i/>
          <w:iCs/>
          <w:noProof/>
          <w:sz w:val="24"/>
          <w:szCs w:val="24"/>
        </w:rPr>
        <w:t xml:space="preserve">onprofits and </w:t>
      </w:r>
      <w:r>
        <w:rPr>
          <w:rFonts w:ascii="Times New Roman" w:hAnsi="Times New Roman" w:cs="Times New Roman"/>
          <w:i/>
          <w:iCs/>
          <w:noProof/>
          <w:sz w:val="24"/>
          <w:szCs w:val="24"/>
        </w:rPr>
        <w:t>n</w:t>
      </w:r>
      <w:r w:rsidRPr="00A17AFC">
        <w:rPr>
          <w:rFonts w:ascii="Times New Roman" w:hAnsi="Times New Roman" w:cs="Times New Roman"/>
          <w:i/>
          <w:iCs/>
          <w:noProof/>
          <w:sz w:val="24"/>
          <w:szCs w:val="24"/>
        </w:rPr>
        <w:t xml:space="preserve">eighborhood </w:t>
      </w:r>
      <w:r>
        <w:rPr>
          <w:rFonts w:ascii="Times New Roman" w:hAnsi="Times New Roman" w:cs="Times New Roman"/>
          <w:i/>
          <w:iCs/>
          <w:noProof/>
          <w:sz w:val="24"/>
          <w:szCs w:val="24"/>
        </w:rPr>
        <w:t>p</w:t>
      </w:r>
      <w:r w:rsidRPr="00A17AFC">
        <w:rPr>
          <w:rFonts w:ascii="Times New Roman" w:hAnsi="Times New Roman" w:cs="Times New Roman"/>
          <w:i/>
          <w:iCs/>
          <w:noProof/>
          <w:sz w:val="24"/>
          <w:szCs w:val="24"/>
        </w:rPr>
        <w:t xml:space="preserve">overty: Spatial </w:t>
      </w:r>
      <w:r>
        <w:rPr>
          <w:rFonts w:ascii="Times New Roman" w:hAnsi="Times New Roman" w:cs="Times New Roman"/>
          <w:i/>
          <w:iCs/>
          <w:noProof/>
          <w:sz w:val="24"/>
          <w:szCs w:val="24"/>
        </w:rPr>
        <w:t>p</w:t>
      </w:r>
      <w:r w:rsidRPr="00A17AFC">
        <w:rPr>
          <w:rFonts w:ascii="Times New Roman" w:hAnsi="Times New Roman" w:cs="Times New Roman"/>
          <w:i/>
          <w:iCs/>
          <w:noProof/>
          <w:sz w:val="24"/>
          <w:szCs w:val="24"/>
        </w:rPr>
        <w:t>atterns</w:t>
      </w:r>
      <w:r w:rsidRPr="00A17AFC">
        <w:rPr>
          <w:rFonts w:ascii="Times New Roman" w:hAnsi="Times New Roman" w:cs="Times New Roman"/>
          <w:noProof/>
          <w:sz w:val="24"/>
          <w:szCs w:val="24"/>
        </w:rPr>
        <w:t>.</w:t>
      </w:r>
      <w:r>
        <w:rPr>
          <w:rFonts w:ascii="Times New Roman" w:hAnsi="Times New Roman" w:cs="Times New Roman"/>
          <w:noProof/>
          <w:sz w:val="24"/>
          <w:szCs w:val="24"/>
        </w:rPr>
        <w:t xml:space="preserve"> Washington, DC: Urban.</w:t>
      </w:r>
    </w:p>
    <w:p w14:paraId="322BA3FF"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Jeong, J., and Cui, T. S. (2020)</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The </w:t>
      </w:r>
      <w:r>
        <w:rPr>
          <w:rFonts w:ascii="Times New Roman" w:hAnsi="Times New Roman" w:cs="Times New Roman"/>
          <w:noProof/>
          <w:sz w:val="24"/>
          <w:szCs w:val="24"/>
        </w:rPr>
        <w:t>d</w:t>
      </w:r>
      <w:r w:rsidRPr="00A17AFC">
        <w:rPr>
          <w:rFonts w:ascii="Times New Roman" w:hAnsi="Times New Roman" w:cs="Times New Roman"/>
          <w:noProof/>
          <w:sz w:val="24"/>
          <w:szCs w:val="24"/>
        </w:rPr>
        <w:t xml:space="preserve">ensity of </w:t>
      </w:r>
      <w:r>
        <w:rPr>
          <w:rFonts w:ascii="Times New Roman" w:hAnsi="Times New Roman" w:cs="Times New Roman"/>
          <w:noProof/>
          <w:sz w:val="24"/>
          <w:szCs w:val="24"/>
        </w:rPr>
        <w:t>n</w:t>
      </w:r>
      <w:r w:rsidRPr="00A17AFC">
        <w:rPr>
          <w:rFonts w:ascii="Times New Roman" w:hAnsi="Times New Roman" w:cs="Times New Roman"/>
          <w:noProof/>
          <w:sz w:val="24"/>
          <w:szCs w:val="24"/>
        </w:rPr>
        <w:t xml:space="preserve">onprofit </w:t>
      </w:r>
      <w:r>
        <w:rPr>
          <w:rFonts w:ascii="Times New Roman" w:hAnsi="Times New Roman" w:cs="Times New Roman"/>
          <w:noProof/>
          <w:sz w:val="24"/>
          <w:szCs w:val="24"/>
        </w:rPr>
        <w:t>o</w:t>
      </w:r>
      <w:r w:rsidRPr="00A17AFC">
        <w:rPr>
          <w:rFonts w:ascii="Times New Roman" w:hAnsi="Times New Roman" w:cs="Times New Roman"/>
          <w:noProof/>
          <w:sz w:val="24"/>
          <w:szCs w:val="24"/>
        </w:rPr>
        <w:t xml:space="preserve">rganizations: Beyond </w:t>
      </w:r>
      <w:r>
        <w:rPr>
          <w:rFonts w:ascii="Times New Roman" w:hAnsi="Times New Roman" w:cs="Times New Roman"/>
          <w:noProof/>
          <w:sz w:val="24"/>
          <w:szCs w:val="24"/>
        </w:rPr>
        <w:t>c</w:t>
      </w:r>
      <w:r w:rsidRPr="00A17AFC">
        <w:rPr>
          <w:rFonts w:ascii="Times New Roman" w:hAnsi="Times New Roman" w:cs="Times New Roman"/>
          <w:noProof/>
          <w:sz w:val="24"/>
          <w:szCs w:val="24"/>
        </w:rPr>
        <w:t xml:space="preserve">ommunity </w:t>
      </w:r>
      <w:r>
        <w:rPr>
          <w:rFonts w:ascii="Times New Roman" w:hAnsi="Times New Roman" w:cs="Times New Roman"/>
          <w:noProof/>
          <w:sz w:val="24"/>
          <w:szCs w:val="24"/>
        </w:rPr>
        <w:t>d</w:t>
      </w:r>
      <w:r w:rsidRPr="00A17AFC">
        <w:rPr>
          <w:rFonts w:ascii="Times New Roman" w:hAnsi="Times New Roman" w:cs="Times New Roman"/>
          <w:noProof/>
          <w:sz w:val="24"/>
          <w:szCs w:val="24"/>
        </w:rPr>
        <w:t xml:space="preserve">iversity and </w:t>
      </w:r>
      <w:r>
        <w:rPr>
          <w:rFonts w:ascii="Times New Roman" w:hAnsi="Times New Roman" w:cs="Times New Roman"/>
          <w:noProof/>
          <w:sz w:val="24"/>
          <w:szCs w:val="24"/>
        </w:rPr>
        <w:t>r</w:t>
      </w:r>
      <w:r w:rsidRPr="00A17AFC">
        <w:rPr>
          <w:rFonts w:ascii="Times New Roman" w:hAnsi="Times New Roman" w:cs="Times New Roman"/>
          <w:noProof/>
          <w:sz w:val="24"/>
          <w:szCs w:val="24"/>
        </w:rPr>
        <w:t xml:space="preserve">esource </w:t>
      </w:r>
      <w:r>
        <w:rPr>
          <w:rFonts w:ascii="Times New Roman" w:hAnsi="Times New Roman" w:cs="Times New Roman"/>
          <w:noProof/>
          <w:sz w:val="24"/>
          <w:szCs w:val="24"/>
        </w:rPr>
        <w:t>a</w:t>
      </w:r>
      <w:r w:rsidRPr="00A17AFC">
        <w:rPr>
          <w:rFonts w:ascii="Times New Roman" w:hAnsi="Times New Roman" w:cs="Times New Roman"/>
          <w:noProof/>
          <w:sz w:val="24"/>
          <w:szCs w:val="24"/>
        </w:rPr>
        <w:t>vailability</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VOLUNTAS: International Journal of Voluntary and Nonprofit Organizations</w:t>
      </w:r>
      <w:r w:rsidRPr="00A17AFC">
        <w:rPr>
          <w:rFonts w:ascii="Times New Roman" w:hAnsi="Times New Roman" w:cs="Times New Roman"/>
          <w:noProof/>
          <w:sz w:val="24"/>
          <w:szCs w:val="24"/>
        </w:rPr>
        <w:t>, 31, 213–226.</w:t>
      </w:r>
    </w:p>
    <w:p w14:paraId="4F3F2AB4"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Kim, M. (2015)</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Socioeconomic </w:t>
      </w:r>
      <w:r>
        <w:rPr>
          <w:rFonts w:ascii="Times New Roman" w:hAnsi="Times New Roman" w:cs="Times New Roman"/>
          <w:noProof/>
          <w:sz w:val="24"/>
          <w:szCs w:val="24"/>
        </w:rPr>
        <w:t>d</w:t>
      </w:r>
      <w:r w:rsidRPr="00A17AFC">
        <w:rPr>
          <w:rFonts w:ascii="Times New Roman" w:hAnsi="Times New Roman" w:cs="Times New Roman"/>
          <w:noProof/>
          <w:sz w:val="24"/>
          <w:szCs w:val="24"/>
        </w:rPr>
        <w:t xml:space="preserve">iversity, </w:t>
      </w:r>
      <w:r>
        <w:rPr>
          <w:rFonts w:ascii="Times New Roman" w:hAnsi="Times New Roman" w:cs="Times New Roman"/>
          <w:noProof/>
          <w:sz w:val="24"/>
          <w:szCs w:val="24"/>
        </w:rPr>
        <w:t>p</w:t>
      </w:r>
      <w:r w:rsidRPr="00A17AFC">
        <w:rPr>
          <w:rFonts w:ascii="Times New Roman" w:hAnsi="Times New Roman" w:cs="Times New Roman"/>
          <w:noProof/>
          <w:sz w:val="24"/>
          <w:szCs w:val="24"/>
        </w:rPr>
        <w:t xml:space="preserve">olitical </w:t>
      </w:r>
      <w:r>
        <w:rPr>
          <w:rFonts w:ascii="Times New Roman" w:hAnsi="Times New Roman" w:cs="Times New Roman"/>
          <w:noProof/>
          <w:sz w:val="24"/>
          <w:szCs w:val="24"/>
        </w:rPr>
        <w:t>e</w:t>
      </w:r>
      <w:r w:rsidRPr="00A17AFC">
        <w:rPr>
          <w:rFonts w:ascii="Times New Roman" w:hAnsi="Times New Roman" w:cs="Times New Roman"/>
          <w:noProof/>
          <w:sz w:val="24"/>
          <w:szCs w:val="24"/>
        </w:rPr>
        <w:t xml:space="preserve">ngagement, and the </w:t>
      </w:r>
      <w:r>
        <w:rPr>
          <w:rFonts w:ascii="Times New Roman" w:hAnsi="Times New Roman" w:cs="Times New Roman"/>
          <w:noProof/>
          <w:sz w:val="24"/>
          <w:szCs w:val="24"/>
        </w:rPr>
        <w:t>d</w:t>
      </w:r>
      <w:r w:rsidRPr="00A17AFC">
        <w:rPr>
          <w:rFonts w:ascii="Times New Roman" w:hAnsi="Times New Roman" w:cs="Times New Roman"/>
          <w:noProof/>
          <w:sz w:val="24"/>
          <w:szCs w:val="24"/>
        </w:rPr>
        <w:t xml:space="preserve">ensity of </w:t>
      </w:r>
      <w:r>
        <w:rPr>
          <w:rFonts w:ascii="Times New Roman" w:hAnsi="Times New Roman" w:cs="Times New Roman"/>
          <w:noProof/>
          <w:sz w:val="24"/>
          <w:szCs w:val="24"/>
        </w:rPr>
        <w:t>n</w:t>
      </w:r>
      <w:r w:rsidRPr="00A17AFC">
        <w:rPr>
          <w:rFonts w:ascii="Times New Roman" w:hAnsi="Times New Roman" w:cs="Times New Roman"/>
          <w:noProof/>
          <w:sz w:val="24"/>
          <w:szCs w:val="24"/>
        </w:rPr>
        <w:t xml:space="preserve">onprofit </w:t>
      </w:r>
      <w:r>
        <w:rPr>
          <w:rFonts w:ascii="Times New Roman" w:hAnsi="Times New Roman" w:cs="Times New Roman"/>
          <w:noProof/>
          <w:sz w:val="24"/>
          <w:szCs w:val="24"/>
        </w:rPr>
        <w:t>o</w:t>
      </w:r>
      <w:r w:rsidRPr="00A17AFC">
        <w:rPr>
          <w:rFonts w:ascii="Times New Roman" w:hAnsi="Times New Roman" w:cs="Times New Roman"/>
          <w:noProof/>
          <w:sz w:val="24"/>
          <w:szCs w:val="24"/>
        </w:rPr>
        <w:t xml:space="preserve">rganizations in U.S. </w:t>
      </w:r>
      <w:r>
        <w:rPr>
          <w:rFonts w:ascii="Times New Roman" w:hAnsi="Times New Roman" w:cs="Times New Roman"/>
          <w:noProof/>
          <w:sz w:val="24"/>
          <w:szCs w:val="24"/>
        </w:rPr>
        <w:t>c</w:t>
      </w:r>
      <w:r w:rsidRPr="00A17AFC">
        <w:rPr>
          <w:rFonts w:ascii="Times New Roman" w:hAnsi="Times New Roman" w:cs="Times New Roman"/>
          <w:noProof/>
          <w:sz w:val="24"/>
          <w:szCs w:val="24"/>
        </w:rPr>
        <w:t>ounties</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The American Review of Public Administration</w:t>
      </w:r>
      <w:r w:rsidRPr="00A17AFC">
        <w:rPr>
          <w:rFonts w:ascii="Times New Roman" w:hAnsi="Times New Roman" w:cs="Times New Roman"/>
          <w:noProof/>
          <w:sz w:val="24"/>
          <w:szCs w:val="24"/>
        </w:rPr>
        <w:t>, 45, 402–416.</w:t>
      </w:r>
    </w:p>
    <w:p w14:paraId="455616A7" w14:textId="77777777" w:rsidR="00EA1B19" w:rsidRPr="0001360D"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Kingma, B. R. (1997). Public good theories of the non-profit sector: Weisbrod revisited. </w:t>
      </w:r>
      <w:r w:rsidRPr="0001360D">
        <w:rPr>
          <w:rFonts w:ascii="Times New Roman" w:hAnsi="Times New Roman" w:cs="Times New Roman"/>
          <w:i/>
          <w:iCs/>
          <w:noProof/>
          <w:sz w:val="24"/>
          <w:szCs w:val="24"/>
        </w:rPr>
        <w:lastRenderedPageBreak/>
        <w:t>VOLUNTAS: International Journal of Voluntary and Nonprofit Organizations</w:t>
      </w:r>
      <w:r>
        <w:rPr>
          <w:rFonts w:ascii="Times New Roman" w:hAnsi="Times New Roman" w:cs="Times New Roman"/>
          <w:noProof/>
          <w:sz w:val="24"/>
          <w:szCs w:val="24"/>
        </w:rPr>
        <w:t>, 8, 135-148.</w:t>
      </w:r>
    </w:p>
    <w:p w14:paraId="12AFE7A7"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Kleinbaum, D. G., and Klein, M. (2012)</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Evaluating the </w:t>
      </w:r>
      <w:r>
        <w:rPr>
          <w:rFonts w:ascii="Times New Roman" w:hAnsi="Times New Roman" w:cs="Times New Roman"/>
          <w:noProof/>
          <w:sz w:val="24"/>
          <w:szCs w:val="24"/>
        </w:rPr>
        <w:t>p</w:t>
      </w:r>
      <w:r w:rsidRPr="00A17AFC">
        <w:rPr>
          <w:rFonts w:ascii="Times New Roman" w:hAnsi="Times New Roman" w:cs="Times New Roman"/>
          <w:noProof/>
          <w:sz w:val="24"/>
          <w:szCs w:val="24"/>
        </w:rPr>
        <w:t xml:space="preserve">roportional </w:t>
      </w:r>
      <w:r>
        <w:rPr>
          <w:rFonts w:ascii="Times New Roman" w:hAnsi="Times New Roman" w:cs="Times New Roman"/>
          <w:noProof/>
          <w:sz w:val="24"/>
          <w:szCs w:val="24"/>
        </w:rPr>
        <w:t>h</w:t>
      </w:r>
      <w:r w:rsidRPr="00A17AFC">
        <w:rPr>
          <w:rFonts w:ascii="Times New Roman" w:hAnsi="Times New Roman" w:cs="Times New Roman"/>
          <w:noProof/>
          <w:sz w:val="24"/>
          <w:szCs w:val="24"/>
        </w:rPr>
        <w:t xml:space="preserve">azards </w:t>
      </w:r>
      <w:r>
        <w:rPr>
          <w:rFonts w:ascii="Times New Roman" w:hAnsi="Times New Roman" w:cs="Times New Roman"/>
          <w:noProof/>
          <w:sz w:val="24"/>
          <w:szCs w:val="24"/>
        </w:rPr>
        <w:t>a</w:t>
      </w:r>
      <w:r w:rsidRPr="00A17AFC">
        <w:rPr>
          <w:rFonts w:ascii="Times New Roman" w:hAnsi="Times New Roman" w:cs="Times New Roman"/>
          <w:noProof/>
          <w:sz w:val="24"/>
          <w:szCs w:val="24"/>
        </w:rPr>
        <w:t>ssumption</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Pr>
          <w:rFonts w:ascii="Times New Roman" w:hAnsi="Times New Roman" w:cs="Times New Roman"/>
          <w:noProof/>
          <w:sz w:val="24"/>
          <w:szCs w:val="24"/>
        </w:rPr>
        <w:t>I</w:t>
      </w:r>
      <w:r w:rsidRPr="00A17AFC">
        <w:rPr>
          <w:rFonts w:ascii="Times New Roman" w:hAnsi="Times New Roman" w:cs="Times New Roman"/>
          <w:noProof/>
          <w:sz w:val="24"/>
          <w:szCs w:val="24"/>
        </w:rPr>
        <w:t>n M. Gail, K. Krickeberg, J. M. Samet, A. Tsiatis, and W. Wong</w:t>
      </w:r>
      <w:r>
        <w:rPr>
          <w:rFonts w:ascii="Times New Roman" w:hAnsi="Times New Roman" w:cs="Times New Roman"/>
          <w:noProof/>
          <w:sz w:val="24"/>
          <w:szCs w:val="24"/>
        </w:rPr>
        <w:t xml:space="preserve"> (EDs.)</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 xml:space="preserve">Survival </w:t>
      </w:r>
      <w:r>
        <w:rPr>
          <w:rFonts w:ascii="Times New Roman" w:hAnsi="Times New Roman" w:cs="Times New Roman"/>
          <w:i/>
          <w:iCs/>
          <w:noProof/>
          <w:sz w:val="24"/>
          <w:szCs w:val="24"/>
        </w:rPr>
        <w:t>a</w:t>
      </w:r>
      <w:r w:rsidRPr="00A17AFC">
        <w:rPr>
          <w:rFonts w:ascii="Times New Roman" w:hAnsi="Times New Roman" w:cs="Times New Roman"/>
          <w:i/>
          <w:iCs/>
          <w:noProof/>
          <w:sz w:val="24"/>
          <w:szCs w:val="24"/>
        </w:rPr>
        <w:t xml:space="preserve">nalysis: A </w:t>
      </w:r>
      <w:r>
        <w:rPr>
          <w:rFonts w:ascii="Times New Roman" w:hAnsi="Times New Roman" w:cs="Times New Roman"/>
          <w:i/>
          <w:iCs/>
          <w:noProof/>
          <w:sz w:val="24"/>
          <w:szCs w:val="24"/>
        </w:rPr>
        <w:t>s</w:t>
      </w:r>
      <w:r w:rsidRPr="00A17AFC">
        <w:rPr>
          <w:rFonts w:ascii="Times New Roman" w:hAnsi="Times New Roman" w:cs="Times New Roman"/>
          <w:i/>
          <w:iCs/>
          <w:noProof/>
          <w:sz w:val="24"/>
          <w:szCs w:val="24"/>
        </w:rPr>
        <w:t>elf-</w:t>
      </w:r>
      <w:r>
        <w:rPr>
          <w:rFonts w:ascii="Times New Roman" w:hAnsi="Times New Roman" w:cs="Times New Roman"/>
          <w:i/>
          <w:iCs/>
          <w:noProof/>
          <w:sz w:val="24"/>
          <w:szCs w:val="24"/>
        </w:rPr>
        <w:t>l</w:t>
      </w:r>
      <w:r w:rsidRPr="00A17AFC">
        <w:rPr>
          <w:rFonts w:ascii="Times New Roman" w:hAnsi="Times New Roman" w:cs="Times New Roman"/>
          <w:i/>
          <w:iCs/>
          <w:noProof/>
          <w:sz w:val="24"/>
          <w:szCs w:val="24"/>
        </w:rPr>
        <w:t xml:space="preserve">earning </w:t>
      </w:r>
      <w:r>
        <w:rPr>
          <w:rFonts w:ascii="Times New Roman" w:hAnsi="Times New Roman" w:cs="Times New Roman"/>
          <w:i/>
          <w:iCs/>
          <w:noProof/>
          <w:sz w:val="24"/>
          <w:szCs w:val="24"/>
        </w:rPr>
        <w:t>t</w:t>
      </w:r>
      <w:r w:rsidRPr="00A17AFC">
        <w:rPr>
          <w:rFonts w:ascii="Times New Roman" w:hAnsi="Times New Roman" w:cs="Times New Roman"/>
          <w:i/>
          <w:iCs/>
          <w:noProof/>
          <w:sz w:val="24"/>
          <w:szCs w:val="24"/>
        </w:rPr>
        <w:t>ext</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New York, NY: Springer.</w:t>
      </w:r>
    </w:p>
    <w:p w14:paraId="0156A320"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Lawson, A. B. (2013)</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Bayesian disease mapping: Hierarchical modeling in spatial epidemiology</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Boca Raton: CRC Press.</w:t>
      </w:r>
    </w:p>
    <w:p w14:paraId="73BCB19A" w14:textId="77777777" w:rsidR="00EA1B19" w:rsidRPr="00A17AFC" w:rsidRDefault="00EA1B19" w:rsidP="00EA1B19">
      <w:pPr>
        <w:widowControl w:val="0"/>
        <w:autoSpaceDE w:val="0"/>
        <w:autoSpaceDN w:val="0"/>
        <w:adjustRightInd w:val="0"/>
        <w:spacing w:after="0" w:line="480" w:lineRule="auto"/>
        <w:ind w:left="720" w:hanging="720"/>
        <w:rPr>
          <w:rFonts w:ascii="Times New Roman" w:hAnsi="Times New Roman" w:cs="Times New Roman"/>
          <w:noProof/>
          <w:sz w:val="24"/>
          <w:szCs w:val="24"/>
        </w:rPr>
      </w:pPr>
      <w:r w:rsidRPr="00A17AFC">
        <w:rPr>
          <w:rFonts w:ascii="Times New Roman" w:hAnsi="Times New Roman" w:cs="Times New Roman"/>
          <w:noProof/>
          <w:sz w:val="24"/>
          <w:szCs w:val="24"/>
        </w:rPr>
        <w:t>Lawson, A., and Lee, D. (2017)</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Bayesian </w:t>
      </w:r>
      <w:r>
        <w:rPr>
          <w:rFonts w:ascii="Times New Roman" w:hAnsi="Times New Roman" w:cs="Times New Roman"/>
          <w:noProof/>
          <w:sz w:val="24"/>
          <w:szCs w:val="24"/>
        </w:rPr>
        <w:t>d</w:t>
      </w:r>
      <w:r w:rsidRPr="00A17AFC">
        <w:rPr>
          <w:rFonts w:ascii="Times New Roman" w:hAnsi="Times New Roman" w:cs="Times New Roman"/>
          <w:noProof/>
          <w:sz w:val="24"/>
          <w:szCs w:val="24"/>
        </w:rPr>
        <w:t xml:space="preserve">isease </w:t>
      </w:r>
      <w:r>
        <w:rPr>
          <w:rFonts w:ascii="Times New Roman" w:hAnsi="Times New Roman" w:cs="Times New Roman"/>
          <w:noProof/>
          <w:sz w:val="24"/>
          <w:szCs w:val="24"/>
        </w:rPr>
        <w:t>m</w:t>
      </w:r>
      <w:r w:rsidRPr="00A17AFC">
        <w:rPr>
          <w:rFonts w:ascii="Times New Roman" w:hAnsi="Times New Roman" w:cs="Times New Roman"/>
          <w:noProof/>
          <w:sz w:val="24"/>
          <w:szCs w:val="24"/>
        </w:rPr>
        <w:t xml:space="preserve">apping for </w:t>
      </w:r>
      <w:r>
        <w:rPr>
          <w:rFonts w:ascii="Times New Roman" w:hAnsi="Times New Roman" w:cs="Times New Roman"/>
          <w:noProof/>
          <w:sz w:val="24"/>
          <w:szCs w:val="24"/>
        </w:rPr>
        <w:t>p</w:t>
      </w:r>
      <w:r w:rsidRPr="00A17AFC">
        <w:rPr>
          <w:rFonts w:ascii="Times New Roman" w:hAnsi="Times New Roman" w:cs="Times New Roman"/>
          <w:noProof/>
          <w:sz w:val="24"/>
          <w:szCs w:val="24"/>
        </w:rPr>
        <w:t xml:space="preserve">ublic </w:t>
      </w:r>
      <w:r>
        <w:rPr>
          <w:rFonts w:ascii="Times New Roman" w:hAnsi="Times New Roman" w:cs="Times New Roman"/>
          <w:noProof/>
          <w:sz w:val="24"/>
          <w:szCs w:val="24"/>
        </w:rPr>
        <w:t>h</w:t>
      </w:r>
      <w:r w:rsidRPr="00A17AFC">
        <w:rPr>
          <w:rFonts w:ascii="Times New Roman" w:hAnsi="Times New Roman" w:cs="Times New Roman"/>
          <w:noProof/>
          <w:sz w:val="24"/>
          <w:szCs w:val="24"/>
        </w:rPr>
        <w:t>ealth</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Pr>
          <w:rFonts w:ascii="Times New Roman" w:hAnsi="Times New Roman" w:cs="Times New Roman"/>
          <w:noProof/>
          <w:sz w:val="24"/>
          <w:szCs w:val="24"/>
        </w:rPr>
        <w:t xml:space="preserve">In Srinivasa Rao, A. S. R, Pyne, S., and Rao, C. R. (EDs), </w:t>
      </w:r>
      <w:r>
        <w:rPr>
          <w:rFonts w:ascii="Times New Roman" w:hAnsi="Times New Roman" w:cs="Times New Roman"/>
          <w:i/>
          <w:iCs/>
          <w:noProof/>
          <w:sz w:val="24"/>
          <w:szCs w:val="24"/>
        </w:rPr>
        <w:t>Handbook of Statistics</w:t>
      </w:r>
      <w:r>
        <w:rPr>
          <w:rFonts w:ascii="Times New Roman" w:hAnsi="Times New Roman" w:cs="Times New Roman"/>
          <w:noProof/>
          <w:sz w:val="24"/>
          <w:szCs w:val="24"/>
        </w:rPr>
        <w:t>. Elsevier.</w:t>
      </w:r>
    </w:p>
    <w:p w14:paraId="28F65CE1"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Lesaffre, E., and Lawson, A. B. (2013)</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 xml:space="preserve">Bayesian </w:t>
      </w:r>
      <w:r>
        <w:rPr>
          <w:rFonts w:ascii="Times New Roman" w:hAnsi="Times New Roman" w:cs="Times New Roman"/>
          <w:i/>
          <w:iCs/>
          <w:noProof/>
          <w:sz w:val="24"/>
          <w:szCs w:val="24"/>
        </w:rPr>
        <w:t>b</w:t>
      </w:r>
      <w:r w:rsidRPr="00A17AFC">
        <w:rPr>
          <w:rFonts w:ascii="Times New Roman" w:hAnsi="Times New Roman" w:cs="Times New Roman"/>
          <w:i/>
          <w:iCs/>
          <w:noProof/>
          <w:sz w:val="24"/>
          <w:szCs w:val="24"/>
        </w:rPr>
        <w:t>iostatistics</w:t>
      </w:r>
      <w:r w:rsidRPr="00A17AFC">
        <w:rPr>
          <w:rFonts w:ascii="Times New Roman" w:hAnsi="Times New Roman" w:cs="Times New Roman"/>
          <w:noProof/>
          <w:sz w:val="24"/>
          <w:szCs w:val="24"/>
        </w:rPr>
        <w:t xml:space="preserve">, West Sussex: Wiley. </w:t>
      </w:r>
    </w:p>
    <w:p w14:paraId="0E55F364"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Li, H., Calder, C. A., and Cressie, N. (2007)</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Beyond Moran’s I: Testing for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patial </w:t>
      </w:r>
      <w:r>
        <w:rPr>
          <w:rFonts w:ascii="Times New Roman" w:hAnsi="Times New Roman" w:cs="Times New Roman"/>
          <w:noProof/>
          <w:sz w:val="24"/>
          <w:szCs w:val="24"/>
        </w:rPr>
        <w:t>d</w:t>
      </w:r>
      <w:r w:rsidRPr="00A17AFC">
        <w:rPr>
          <w:rFonts w:ascii="Times New Roman" w:hAnsi="Times New Roman" w:cs="Times New Roman"/>
          <w:noProof/>
          <w:sz w:val="24"/>
          <w:szCs w:val="24"/>
        </w:rPr>
        <w:t xml:space="preserve">ependence </w:t>
      </w:r>
      <w:r>
        <w:rPr>
          <w:rFonts w:ascii="Times New Roman" w:hAnsi="Times New Roman" w:cs="Times New Roman"/>
          <w:noProof/>
          <w:sz w:val="24"/>
          <w:szCs w:val="24"/>
        </w:rPr>
        <w:t>b</w:t>
      </w:r>
      <w:r w:rsidRPr="00A17AFC">
        <w:rPr>
          <w:rFonts w:ascii="Times New Roman" w:hAnsi="Times New Roman" w:cs="Times New Roman"/>
          <w:noProof/>
          <w:sz w:val="24"/>
          <w:szCs w:val="24"/>
        </w:rPr>
        <w:t xml:space="preserve">ased on the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patial </w:t>
      </w:r>
      <w:r>
        <w:rPr>
          <w:rFonts w:ascii="Times New Roman" w:hAnsi="Times New Roman" w:cs="Times New Roman"/>
          <w:noProof/>
          <w:sz w:val="24"/>
          <w:szCs w:val="24"/>
        </w:rPr>
        <w:t>a</w:t>
      </w:r>
      <w:r w:rsidRPr="00A17AFC">
        <w:rPr>
          <w:rFonts w:ascii="Times New Roman" w:hAnsi="Times New Roman" w:cs="Times New Roman"/>
          <w:noProof/>
          <w:sz w:val="24"/>
          <w:szCs w:val="24"/>
        </w:rPr>
        <w:t xml:space="preserve">utoregressive </w:t>
      </w:r>
      <w:r>
        <w:rPr>
          <w:rFonts w:ascii="Times New Roman" w:hAnsi="Times New Roman" w:cs="Times New Roman"/>
          <w:noProof/>
          <w:sz w:val="24"/>
          <w:szCs w:val="24"/>
        </w:rPr>
        <w:t>m</w:t>
      </w:r>
      <w:r w:rsidRPr="00A17AFC">
        <w:rPr>
          <w:rFonts w:ascii="Times New Roman" w:hAnsi="Times New Roman" w:cs="Times New Roman"/>
          <w:noProof/>
          <w:sz w:val="24"/>
          <w:szCs w:val="24"/>
        </w:rPr>
        <w:t>odel</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Geographical Analysis</w:t>
      </w:r>
      <w:r w:rsidRPr="00A17AFC">
        <w:rPr>
          <w:rFonts w:ascii="Times New Roman" w:hAnsi="Times New Roman" w:cs="Times New Roman"/>
          <w:noProof/>
          <w:sz w:val="24"/>
          <w:szCs w:val="24"/>
        </w:rPr>
        <w:t xml:space="preserve">, 39, 357–375. </w:t>
      </w:r>
    </w:p>
    <w:p w14:paraId="1266FA07" w14:textId="77777777" w:rsidR="00EA1B19"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Lu, J. (2020). Does population heterogeneity really matter to nonprofit sector size? Revisiting Weisbrod's demand heterogeneity hypothesis. </w:t>
      </w:r>
      <w:r w:rsidRPr="00A17AFC">
        <w:rPr>
          <w:rFonts w:ascii="Times New Roman" w:hAnsi="Times New Roman" w:cs="Times New Roman"/>
          <w:i/>
          <w:iCs/>
          <w:noProof/>
          <w:sz w:val="24"/>
          <w:szCs w:val="24"/>
        </w:rPr>
        <w:t>VOLUNTAS: International Journal of Voluntary and Nonprofit Organizations</w:t>
      </w:r>
      <w:r w:rsidRPr="00A17AFC">
        <w:rPr>
          <w:rFonts w:ascii="Times New Roman" w:hAnsi="Times New Roman" w:cs="Times New Roman"/>
          <w:noProof/>
          <w:sz w:val="24"/>
          <w:szCs w:val="24"/>
        </w:rPr>
        <w:t xml:space="preserve">, </w:t>
      </w:r>
      <w:r>
        <w:rPr>
          <w:rFonts w:ascii="Times New Roman" w:hAnsi="Times New Roman" w:cs="Times New Roman"/>
          <w:noProof/>
          <w:sz w:val="24"/>
          <w:szCs w:val="24"/>
        </w:rPr>
        <w:t>31</w:t>
      </w:r>
      <w:r w:rsidRPr="00A17AFC">
        <w:rPr>
          <w:rFonts w:ascii="Times New Roman" w:hAnsi="Times New Roman" w:cs="Times New Roman"/>
          <w:noProof/>
          <w:sz w:val="24"/>
          <w:szCs w:val="24"/>
        </w:rPr>
        <w:t>, 1</w:t>
      </w:r>
      <w:r>
        <w:rPr>
          <w:rFonts w:ascii="Times New Roman" w:hAnsi="Times New Roman" w:cs="Times New Roman"/>
          <w:noProof/>
          <w:sz w:val="24"/>
          <w:szCs w:val="24"/>
        </w:rPr>
        <w:t>077</w:t>
      </w:r>
      <w:r w:rsidRPr="00A17AFC">
        <w:rPr>
          <w:rFonts w:ascii="Times New Roman" w:hAnsi="Times New Roman" w:cs="Times New Roman"/>
          <w:noProof/>
          <w:sz w:val="24"/>
          <w:szCs w:val="24"/>
        </w:rPr>
        <w:t>–1</w:t>
      </w:r>
      <w:r>
        <w:rPr>
          <w:rFonts w:ascii="Times New Roman" w:hAnsi="Times New Roman" w:cs="Times New Roman"/>
          <w:noProof/>
          <w:sz w:val="24"/>
          <w:szCs w:val="24"/>
        </w:rPr>
        <w:t>092.</w:t>
      </w:r>
    </w:p>
    <w:p w14:paraId="1392A8F3"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Martins, T. G., Simpson, D., Lindgren, F., and Rue, H. (2013)</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Bayesian computing with INLA: New features</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Comput</w:t>
      </w:r>
      <w:r>
        <w:rPr>
          <w:rFonts w:ascii="Times New Roman" w:hAnsi="Times New Roman" w:cs="Times New Roman"/>
          <w:i/>
          <w:iCs/>
          <w:noProof/>
          <w:sz w:val="24"/>
          <w:szCs w:val="24"/>
        </w:rPr>
        <w:t>er</w:t>
      </w:r>
      <w:r w:rsidRPr="00A17AFC">
        <w:rPr>
          <w:rFonts w:ascii="Times New Roman" w:hAnsi="Times New Roman" w:cs="Times New Roman"/>
          <w:i/>
          <w:iCs/>
          <w:noProof/>
          <w:sz w:val="24"/>
          <w:szCs w:val="24"/>
        </w:rPr>
        <w:t xml:space="preserve"> Stat</w:t>
      </w:r>
      <w:r>
        <w:rPr>
          <w:rFonts w:ascii="Times New Roman" w:hAnsi="Times New Roman" w:cs="Times New Roman"/>
          <w:i/>
          <w:iCs/>
          <w:noProof/>
          <w:sz w:val="24"/>
          <w:szCs w:val="24"/>
        </w:rPr>
        <w:t>istics &amp;</w:t>
      </w:r>
      <w:r w:rsidRPr="00A17AFC">
        <w:rPr>
          <w:rFonts w:ascii="Times New Roman" w:hAnsi="Times New Roman" w:cs="Times New Roman"/>
          <w:i/>
          <w:iCs/>
          <w:noProof/>
          <w:sz w:val="24"/>
          <w:szCs w:val="24"/>
        </w:rPr>
        <w:t xml:space="preserve"> Data An</w:t>
      </w:r>
      <w:r>
        <w:rPr>
          <w:rFonts w:ascii="Times New Roman" w:hAnsi="Times New Roman" w:cs="Times New Roman"/>
          <w:i/>
          <w:iCs/>
          <w:noProof/>
          <w:sz w:val="24"/>
          <w:szCs w:val="24"/>
        </w:rPr>
        <w:t>alysis</w:t>
      </w:r>
      <w:r w:rsidRPr="00A17AFC">
        <w:rPr>
          <w:rFonts w:ascii="Times New Roman" w:hAnsi="Times New Roman" w:cs="Times New Roman"/>
          <w:noProof/>
          <w:sz w:val="24"/>
          <w:szCs w:val="24"/>
        </w:rPr>
        <w:t>, 67, 68–83.</w:t>
      </w:r>
    </w:p>
    <w:p w14:paraId="7C6833E9"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Moran, P. A. P. (1950)</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Notes on </w:t>
      </w:r>
      <w:r>
        <w:rPr>
          <w:rFonts w:ascii="Times New Roman" w:hAnsi="Times New Roman" w:cs="Times New Roman"/>
          <w:noProof/>
          <w:sz w:val="24"/>
          <w:szCs w:val="24"/>
        </w:rPr>
        <w:t>c</w:t>
      </w:r>
      <w:r w:rsidRPr="00A17AFC">
        <w:rPr>
          <w:rFonts w:ascii="Times New Roman" w:hAnsi="Times New Roman" w:cs="Times New Roman"/>
          <w:noProof/>
          <w:sz w:val="24"/>
          <w:szCs w:val="24"/>
        </w:rPr>
        <w:t xml:space="preserve">ontinuous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tochastic </w:t>
      </w:r>
      <w:r>
        <w:rPr>
          <w:rFonts w:ascii="Times New Roman" w:hAnsi="Times New Roman" w:cs="Times New Roman"/>
          <w:noProof/>
          <w:sz w:val="24"/>
          <w:szCs w:val="24"/>
        </w:rPr>
        <w:t>p</w:t>
      </w:r>
      <w:r w:rsidRPr="00A17AFC">
        <w:rPr>
          <w:rFonts w:ascii="Times New Roman" w:hAnsi="Times New Roman" w:cs="Times New Roman"/>
          <w:noProof/>
          <w:sz w:val="24"/>
          <w:szCs w:val="24"/>
        </w:rPr>
        <w:t>henomena</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Biometrika</w:t>
      </w:r>
      <w:r w:rsidRPr="00A17AFC">
        <w:rPr>
          <w:rFonts w:ascii="Times New Roman" w:hAnsi="Times New Roman" w:cs="Times New Roman"/>
          <w:noProof/>
          <w:sz w:val="24"/>
          <w:szCs w:val="24"/>
        </w:rPr>
        <w:t>, 37, 17</w:t>
      </w:r>
      <w:r>
        <w:rPr>
          <w:rFonts w:ascii="Times New Roman" w:hAnsi="Times New Roman" w:cs="Times New Roman"/>
          <w:noProof/>
          <w:sz w:val="24"/>
          <w:szCs w:val="24"/>
        </w:rPr>
        <w:t>.</w:t>
      </w:r>
    </w:p>
    <w:p w14:paraId="449C7658"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National Center for Charitable Statistics (2015)</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NCCS Core files</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NCCS Data Archive</w:t>
      </w:r>
      <w:r w:rsidRPr="00A17AFC">
        <w:rPr>
          <w:rFonts w:ascii="Times New Roman" w:hAnsi="Times New Roman" w:cs="Times New Roman"/>
          <w:noProof/>
          <w:sz w:val="24"/>
          <w:szCs w:val="24"/>
        </w:rPr>
        <w:t>, Urban Institute.</w:t>
      </w:r>
    </w:p>
    <w:p w14:paraId="4174DBD2"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Never, B. (2011)</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The </w:t>
      </w:r>
      <w:r>
        <w:rPr>
          <w:rFonts w:ascii="Times New Roman" w:hAnsi="Times New Roman" w:cs="Times New Roman"/>
          <w:noProof/>
          <w:sz w:val="24"/>
          <w:szCs w:val="24"/>
        </w:rPr>
        <w:t>c</w:t>
      </w:r>
      <w:r w:rsidRPr="00A17AFC">
        <w:rPr>
          <w:rFonts w:ascii="Times New Roman" w:hAnsi="Times New Roman" w:cs="Times New Roman"/>
          <w:noProof/>
          <w:sz w:val="24"/>
          <w:szCs w:val="24"/>
        </w:rPr>
        <w:t xml:space="preserve">ase for </w:t>
      </w:r>
      <w:r>
        <w:rPr>
          <w:rFonts w:ascii="Times New Roman" w:hAnsi="Times New Roman" w:cs="Times New Roman"/>
          <w:noProof/>
          <w:sz w:val="24"/>
          <w:szCs w:val="24"/>
        </w:rPr>
        <w:t>b</w:t>
      </w:r>
      <w:r w:rsidRPr="00A17AFC">
        <w:rPr>
          <w:rFonts w:ascii="Times New Roman" w:hAnsi="Times New Roman" w:cs="Times New Roman"/>
          <w:noProof/>
          <w:sz w:val="24"/>
          <w:szCs w:val="24"/>
        </w:rPr>
        <w:t xml:space="preserve">etter </w:t>
      </w:r>
      <w:r>
        <w:rPr>
          <w:rFonts w:ascii="Times New Roman" w:hAnsi="Times New Roman" w:cs="Times New Roman"/>
          <w:noProof/>
          <w:sz w:val="24"/>
          <w:szCs w:val="24"/>
        </w:rPr>
        <w:t>m</w:t>
      </w:r>
      <w:r w:rsidRPr="00A17AFC">
        <w:rPr>
          <w:rFonts w:ascii="Times New Roman" w:hAnsi="Times New Roman" w:cs="Times New Roman"/>
          <w:noProof/>
          <w:sz w:val="24"/>
          <w:szCs w:val="24"/>
        </w:rPr>
        <w:t xml:space="preserve">aps of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ocial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ervice </w:t>
      </w:r>
      <w:r>
        <w:rPr>
          <w:rFonts w:ascii="Times New Roman" w:hAnsi="Times New Roman" w:cs="Times New Roman"/>
          <w:noProof/>
          <w:sz w:val="24"/>
          <w:szCs w:val="24"/>
        </w:rPr>
        <w:t>p</w:t>
      </w:r>
      <w:r w:rsidRPr="00A17AFC">
        <w:rPr>
          <w:rFonts w:ascii="Times New Roman" w:hAnsi="Times New Roman" w:cs="Times New Roman"/>
          <w:noProof/>
          <w:sz w:val="24"/>
          <w:szCs w:val="24"/>
        </w:rPr>
        <w:t xml:space="preserve">rovision: Using the Holy Cross </w:t>
      </w:r>
      <w:r>
        <w:rPr>
          <w:rFonts w:ascii="Times New Roman" w:hAnsi="Times New Roman" w:cs="Times New Roman"/>
          <w:noProof/>
          <w:sz w:val="24"/>
          <w:szCs w:val="24"/>
        </w:rPr>
        <w:t>d</w:t>
      </w:r>
      <w:r w:rsidRPr="00A17AFC">
        <w:rPr>
          <w:rFonts w:ascii="Times New Roman" w:hAnsi="Times New Roman" w:cs="Times New Roman"/>
          <w:noProof/>
          <w:sz w:val="24"/>
          <w:szCs w:val="24"/>
        </w:rPr>
        <w:t xml:space="preserve">ispute to </w:t>
      </w:r>
      <w:r>
        <w:rPr>
          <w:rFonts w:ascii="Times New Roman" w:hAnsi="Times New Roman" w:cs="Times New Roman"/>
          <w:noProof/>
          <w:sz w:val="24"/>
          <w:szCs w:val="24"/>
        </w:rPr>
        <w:t>i</w:t>
      </w:r>
      <w:r w:rsidRPr="00A17AFC">
        <w:rPr>
          <w:rFonts w:ascii="Times New Roman" w:hAnsi="Times New Roman" w:cs="Times New Roman"/>
          <w:noProof/>
          <w:sz w:val="24"/>
          <w:szCs w:val="24"/>
        </w:rPr>
        <w:t xml:space="preserve">llustrate </w:t>
      </w:r>
      <w:r>
        <w:rPr>
          <w:rFonts w:ascii="Times New Roman" w:hAnsi="Times New Roman" w:cs="Times New Roman"/>
          <w:noProof/>
          <w:sz w:val="24"/>
          <w:szCs w:val="24"/>
        </w:rPr>
        <w:t>m</w:t>
      </w:r>
      <w:r w:rsidRPr="00A17AFC">
        <w:rPr>
          <w:rFonts w:ascii="Times New Roman" w:hAnsi="Times New Roman" w:cs="Times New Roman"/>
          <w:noProof/>
          <w:sz w:val="24"/>
          <w:szCs w:val="24"/>
        </w:rPr>
        <w:t xml:space="preserve">ore </w:t>
      </w:r>
      <w:r>
        <w:rPr>
          <w:rFonts w:ascii="Times New Roman" w:hAnsi="Times New Roman" w:cs="Times New Roman"/>
          <w:noProof/>
          <w:sz w:val="24"/>
          <w:szCs w:val="24"/>
        </w:rPr>
        <w:t>e</w:t>
      </w:r>
      <w:r w:rsidRPr="00A17AFC">
        <w:rPr>
          <w:rFonts w:ascii="Times New Roman" w:hAnsi="Times New Roman" w:cs="Times New Roman"/>
          <w:noProof/>
          <w:sz w:val="24"/>
          <w:szCs w:val="24"/>
        </w:rPr>
        <w:t xml:space="preserve">ffective </w:t>
      </w:r>
      <w:r>
        <w:rPr>
          <w:rFonts w:ascii="Times New Roman" w:hAnsi="Times New Roman" w:cs="Times New Roman"/>
          <w:noProof/>
          <w:sz w:val="24"/>
          <w:szCs w:val="24"/>
        </w:rPr>
        <w:t>m</w:t>
      </w:r>
      <w:r w:rsidRPr="00A17AFC">
        <w:rPr>
          <w:rFonts w:ascii="Times New Roman" w:hAnsi="Times New Roman" w:cs="Times New Roman"/>
          <w:noProof/>
          <w:sz w:val="24"/>
          <w:szCs w:val="24"/>
        </w:rPr>
        <w:t>apping</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VOLUNTAS: International Journal of Voluntary and Nonprofit Organizations</w:t>
      </w:r>
      <w:r w:rsidRPr="00A17AFC">
        <w:rPr>
          <w:rFonts w:ascii="Times New Roman" w:hAnsi="Times New Roman" w:cs="Times New Roman"/>
          <w:noProof/>
          <w:sz w:val="24"/>
          <w:szCs w:val="24"/>
        </w:rPr>
        <w:t>, 22, 174–188.</w:t>
      </w:r>
    </w:p>
    <w:p w14:paraId="3B21D690"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Never, B., and Westberg, D. (2016)</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Place </w:t>
      </w:r>
      <w:r>
        <w:rPr>
          <w:rFonts w:ascii="Times New Roman" w:hAnsi="Times New Roman" w:cs="Times New Roman"/>
          <w:noProof/>
          <w:sz w:val="24"/>
          <w:szCs w:val="24"/>
        </w:rPr>
        <w:t>m</w:t>
      </w:r>
      <w:r w:rsidRPr="00A17AFC">
        <w:rPr>
          <w:rFonts w:ascii="Times New Roman" w:hAnsi="Times New Roman" w:cs="Times New Roman"/>
          <w:noProof/>
          <w:sz w:val="24"/>
          <w:szCs w:val="24"/>
        </w:rPr>
        <w:t xml:space="preserve">atters: The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patial </w:t>
      </w:r>
      <w:r>
        <w:rPr>
          <w:rFonts w:ascii="Times New Roman" w:hAnsi="Times New Roman" w:cs="Times New Roman"/>
          <w:noProof/>
          <w:sz w:val="24"/>
          <w:szCs w:val="24"/>
        </w:rPr>
        <w:t>e</w:t>
      </w:r>
      <w:r w:rsidRPr="00A17AFC">
        <w:rPr>
          <w:rFonts w:ascii="Times New Roman" w:hAnsi="Times New Roman" w:cs="Times New Roman"/>
          <w:noProof/>
          <w:sz w:val="24"/>
          <w:szCs w:val="24"/>
        </w:rPr>
        <w:t xml:space="preserve">ffects of </w:t>
      </w:r>
      <w:r>
        <w:rPr>
          <w:rFonts w:ascii="Times New Roman" w:hAnsi="Times New Roman" w:cs="Times New Roman"/>
          <w:noProof/>
          <w:sz w:val="24"/>
          <w:szCs w:val="24"/>
        </w:rPr>
        <w:t>h</w:t>
      </w:r>
      <w:r w:rsidRPr="00A17AFC">
        <w:rPr>
          <w:rFonts w:ascii="Times New Roman" w:hAnsi="Times New Roman" w:cs="Times New Roman"/>
          <w:noProof/>
          <w:sz w:val="24"/>
          <w:szCs w:val="24"/>
        </w:rPr>
        <w:t xml:space="preserve">uman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ervice </w:t>
      </w:r>
      <w:r>
        <w:rPr>
          <w:rFonts w:ascii="Times New Roman" w:hAnsi="Times New Roman" w:cs="Times New Roman"/>
          <w:noProof/>
          <w:sz w:val="24"/>
          <w:szCs w:val="24"/>
        </w:rPr>
        <w:lastRenderedPageBreak/>
        <w:t>e</w:t>
      </w:r>
      <w:r w:rsidRPr="00A17AFC">
        <w:rPr>
          <w:rFonts w:ascii="Times New Roman" w:hAnsi="Times New Roman" w:cs="Times New Roman"/>
          <w:noProof/>
          <w:sz w:val="24"/>
          <w:szCs w:val="24"/>
        </w:rPr>
        <w:t>xpenditures</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Nonprofit Policy Forum</w:t>
      </w:r>
      <w:r w:rsidRPr="00A17AFC">
        <w:rPr>
          <w:rFonts w:ascii="Times New Roman" w:hAnsi="Times New Roman" w:cs="Times New Roman"/>
          <w:noProof/>
          <w:sz w:val="24"/>
          <w:szCs w:val="24"/>
        </w:rPr>
        <w:t>, 7, 369–388.</w:t>
      </w:r>
    </w:p>
    <w:p w14:paraId="6CF2A044" w14:textId="6DCB6D9C" w:rsidR="00013591" w:rsidRPr="00013591" w:rsidRDefault="00013591"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Paarlberg, L. E., Seung-Ho, A., Nesbit, R., Christensen, R. K., and Bullock, J. (2018). A field too crowded? How measures of market structure shape nonprofit fiscal health. </w:t>
      </w:r>
      <w:r>
        <w:rPr>
          <w:rFonts w:ascii="Times New Roman" w:hAnsi="Times New Roman" w:cs="Times New Roman"/>
          <w:i/>
          <w:iCs/>
          <w:noProof/>
          <w:sz w:val="24"/>
          <w:szCs w:val="24"/>
        </w:rPr>
        <w:t>Nonprofit and Voluntary Sector Quarterly</w:t>
      </w:r>
      <w:r>
        <w:rPr>
          <w:rFonts w:ascii="Times New Roman" w:hAnsi="Times New Roman" w:cs="Times New Roman"/>
          <w:noProof/>
          <w:sz w:val="24"/>
          <w:szCs w:val="24"/>
        </w:rPr>
        <w:t>, 47(3), 453-473.</w:t>
      </w:r>
    </w:p>
    <w:p w14:paraId="1C3132E6" w14:textId="0C13C17D"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Paarlberg, L. E., and Zuhlke, S. (2019)</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Revisiting the </w:t>
      </w:r>
      <w:r>
        <w:rPr>
          <w:rFonts w:ascii="Times New Roman" w:hAnsi="Times New Roman" w:cs="Times New Roman"/>
          <w:noProof/>
          <w:sz w:val="24"/>
          <w:szCs w:val="24"/>
        </w:rPr>
        <w:t>t</w:t>
      </w:r>
      <w:r w:rsidRPr="00A17AFC">
        <w:rPr>
          <w:rFonts w:ascii="Times New Roman" w:hAnsi="Times New Roman" w:cs="Times New Roman"/>
          <w:noProof/>
          <w:sz w:val="24"/>
          <w:szCs w:val="24"/>
        </w:rPr>
        <w:t xml:space="preserve">heory of </w:t>
      </w:r>
      <w:r>
        <w:rPr>
          <w:rFonts w:ascii="Times New Roman" w:hAnsi="Times New Roman" w:cs="Times New Roman"/>
          <w:noProof/>
          <w:sz w:val="24"/>
          <w:szCs w:val="24"/>
        </w:rPr>
        <w:t>g</w:t>
      </w:r>
      <w:r w:rsidRPr="00A17AFC">
        <w:rPr>
          <w:rFonts w:ascii="Times New Roman" w:hAnsi="Times New Roman" w:cs="Times New Roman"/>
          <w:noProof/>
          <w:sz w:val="24"/>
          <w:szCs w:val="24"/>
        </w:rPr>
        <w:t xml:space="preserve">overnment </w:t>
      </w:r>
      <w:r>
        <w:rPr>
          <w:rFonts w:ascii="Times New Roman" w:hAnsi="Times New Roman" w:cs="Times New Roman"/>
          <w:noProof/>
          <w:sz w:val="24"/>
          <w:szCs w:val="24"/>
        </w:rPr>
        <w:t>f</w:t>
      </w:r>
      <w:r w:rsidRPr="00A17AFC">
        <w:rPr>
          <w:rFonts w:ascii="Times New Roman" w:hAnsi="Times New Roman" w:cs="Times New Roman"/>
          <w:noProof/>
          <w:sz w:val="24"/>
          <w:szCs w:val="24"/>
        </w:rPr>
        <w:t xml:space="preserve">ailure in the </w:t>
      </w:r>
      <w:r>
        <w:rPr>
          <w:rFonts w:ascii="Times New Roman" w:hAnsi="Times New Roman" w:cs="Times New Roman"/>
          <w:noProof/>
          <w:sz w:val="24"/>
          <w:szCs w:val="24"/>
        </w:rPr>
        <w:t>f</w:t>
      </w:r>
      <w:r w:rsidRPr="00A17AFC">
        <w:rPr>
          <w:rFonts w:ascii="Times New Roman" w:hAnsi="Times New Roman" w:cs="Times New Roman"/>
          <w:noProof/>
          <w:sz w:val="24"/>
          <w:szCs w:val="24"/>
        </w:rPr>
        <w:t xml:space="preserve">ace of </w:t>
      </w:r>
      <w:r>
        <w:rPr>
          <w:rFonts w:ascii="Times New Roman" w:hAnsi="Times New Roman" w:cs="Times New Roman"/>
          <w:noProof/>
          <w:sz w:val="24"/>
          <w:szCs w:val="24"/>
        </w:rPr>
        <w:t>h</w:t>
      </w:r>
      <w:r w:rsidRPr="00A17AFC">
        <w:rPr>
          <w:rFonts w:ascii="Times New Roman" w:hAnsi="Times New Roman" w:cs="Times New Roman"/>
          <w:noProof/>
          <w:sz w:val="24"/>
          <w:szCs w:val="24"/>
        </w:rPr>
        <w:t xml:space="preserve">eterogeneous </w:t>
      </w:r>
      <w:r>
        <w:rPr>
          <w:rFonts w:ascii="Times New Roman" w:hAnsi="Times New Roman" w:cs="Times New Roman"/>
          <w:noProof/>
          <w:sz w:val="24"/>
          <w:szCs w:val="24"/>
        </w:rPr>
        <w:t>d</w:t>
      </w:r>
      <w:r w:rsidRPr="00A17AFC">
        <w:rPr>
          <w:rFonts w:ascii="Times New Roman" w:hAnsi="Times New Roman" w:cs="Times New Roman"/>
          <w:noProof/>
          <w:sz w:val="24"/>
          <w:szCs w:val="24"/>
        </w:rPr>
        <w:t>emands</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Perspectives on Public Management and Governance</w:t>
      </w:r>
      <w:r w:rsidRPr="00A17AFC">
        <w:rPr>
          <w:rFonts w:ascii="Times New Roman" w:hAnsi="Times New Roman" w:cs="Times New Roman"/>
          <w:noProof/>
          <w:sz w:val="24"/>
          <w:szCs w:val="24"/>
        </w:rPr>
        <w:t xml:space="preserve">, 2, 103–124. </w:t>
      </w:r>
    </w:p>
    <w:p w14:paraId="267A5A34"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Peck, L. R. (2008)</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Do </w:t>
      </w:r>
      <w:r>
        <w:rPr>
          <w:rFonts w:ascii="Times New Roman" w:hAnsi="Times New Roman" w:cs="Times New Roman"/>
          <w:noProof/>
          <w:sz w:val="24"/>
          <w:szCs w:val="24"/>
        </w:rPr>
        <w:t>a</w:t>
      </w:r>
      <w:r w:rsidRPr="00A17AFC">
        <w:rPr>
          <w:rFonts w:ascii="Times New Roman" w:hAnsi="Times New Roman" w:cs="Times New Roman"/>
          <w:noProof/>
          <w:sz w:val="24"/>
          <w:szCs w:val="24"/>
        </w:rPr>
        <w:t xml:space="preserve">ntipoverty </w:t>
      </w:r>
      <w:r>
        <w:rPr>
          <w:rFonts w:ascii="Times New Roman" w:hAnsi="Times New Roman" w:cs="Times New Roman"/>
          <w:noProof/>
          <w:sz w:val="24"/>
          <w:szCs w:val="24"/>
        </w:rPr>
        <w:t>n</w:t>
      </w:r>
      <w:r w:rsidRPr="00A17AFC">
        <w:rPr>
          <w:rFonts w:ascii="Times New Roman" w:hAnsi="Times New Roman" w:cs="Times New Roman"/>
          <w:noProof/>
          <w:sz w:val="24"/>
          <w:szCs w:val="24"/>
        </w:rPr>
        <w:t xml:space="preserve">onprofits </w:t>
      </w:r>
      <w:r>
        <w:rPr>
          <w:rFonts w:ascii="Times New Roman" w:hAnsi="Times New Roman" w:cs="Times New Roman"/>
          <w:noProof/>
          <w:sz w:val="24"/>
          <w:szCs w:val="24"/>
        </w:rPr>
        <w:t>l</w:t>
      </w:r>
      <w:r w:rsidRPr="00A17AFC">
        <w:rPr>
          <w:rFonts w:ascii="Times New Roman" w:hAnsi="Times New Roman" w:cs="Times New Roman"/>
          <w:noProof/>
          <w:sz w:val="24"/>
          <w:szCs w:val="24"/>
        </w:rPr>
        <w:t xml:space="preserve">ocate </w:t>
      </w:r>
      <w:r>
        <w:rPr>
          <w:rFonts w:ascii="Times New Roman" w:hAnsi="Times New Roman" w:cs="Times New Roman"/>
          <w:noProof/>
          <w:sz w:val="24"/>
          <w:szCs w:val="24"/>
        </w:rPr>
        <w:t>w</w:t>
      </w:r>
      <w:r w:rsidRPr="00A17AFC">
        <w:rPr>
          <w:rFonts w:ascii="Times New Roman" w:hAnsi="Times New Roman" w:cs="Times New Roman"/>
          <w:noProof/>
          <w:sz w:val="24"/>
          <w:szCs w:val="24"/>
        </w:rPr>
        <w:t xml:space="preserve">here </w:t>
      </w:r>
      <w:r>
        <w:rPr>
          <w:rFonts w:ascii="Times New Roman" w:hAnsi="Times New Roman" w:cs="Times New Roman"/>
          <w:noProof/>
          <w:sz w:val="24"/>
          <w:szCs w:val="24"/>
        </w:rPr>
        <w:t>p</w:t>
      </w:r>
      <w:r w:rsidRPr="00A17AFC">
        <w:rPr>
          <w:rFonts w:ascii="Times New Roman" w:hAnsi="Times New Roman" w:cs="Times New Roman"/>
          <w:noProof/>
          <w:sz w:val="24"/>
          <w:szCs w:val="24"/>
        </w:rPr>
        <w:t xml:space="preserve">eople </w:t>
      </w:r>
      <w:r>
        <w:rPr>
          <w:rFonts w:ascii="Times New Roman" w:hAnsi="Times New Roman" w:cs="Times New Roman"/>
          <w:noProof/>
          <w:sz w:val="24"/>
          <w:szCs w:val="24"/>
        </w:rPr>
        <w:t>n</w:t>
      </w:r>
      <w:r w:rsidRPr="00A17AFC">
        <w:rPr>
          <w:rFonts w:ascii="Times New Roman" w:hAnsi="Times New Roman" w:cs="Times New Roman"/>
          <w:noProof/>
          <w:sz w:val="24"/>
          <w:szCs w:val="24"/>
        </w:rPr>
        <w:t xml:space="preserve">eed </w:t>
      </w:r>
      <w:r>
        <w:rPr>
          <w:rFonts w:ascii="Times New Roman" w:hAnsi="Times New Roman" w:cs="Times New Roman"/>
          <w:noProof/>
          <w:sz w:val="24"/>
          <w:szCs w:val="24"/>
        </w:rPr>
        <w:t>t</w:t>
      </w:r>
      <w:r w:rsidRPr="00A17AFC">
        <w:rPr>
          <w:rFonts w:ascii="Times New Roman" w:hAnsi="Times New Roman" w:cs="Times New Roman"/>
          <w:noProof/>
          <w:sz w:val="24"/>
          <w:szCs w:val="24"/>
        </w:rPr>
        <w:t xml:space="preserve">hem? Evidence </w:t>
      </w:r>
      <w:r>
        <w:rPr>
          <w:rFonts w:ascii="Times New Roman" w:hAnsi="Times New Roman" w:cs="Times New Roman"/>
          <w:noProof/>
          <w:sz w:val="24"/>
          <w:szCs w:val="24"/>
        </w:rPr>
        <w:t>f</w:t>
      </w:r>
      <w:r w:rsidRPr="00A17AFC">
        <w:rPr>
          <w:rFonts w:ascii="Times New Roman" w:hAnsi="Times New Roman" w:cs="Times New Roman"/>
          <w:noProof/>
          <w:sz w:val="24"/>
          <w:szCs w:val="24"/>
        </w:rPr>
        <w:t xml:space="preserve">rom a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patial </w:t>
      </w:r>
      <w:r>
        <w:rPr>
          <w:rFonts w:ascii="Times New Roman" w:hAnsi="Times New Roman" w:cs="Times New Roman"/>
          <w:noProof/>
          <w:sz w:val="24"/>
          <w:szCs w:val="24"/>
        </w:rPr>
        <w:t>a</w:t>
      </w:r>
      <w:r w:rsidRPr="00A17AFC">
        <w:rPr>
          <w:rFonts w:ascii="Times New Roman" w:hAnsi="Times New Roman" w:cs="Times New Roman"/>
          <w:noProof/>
          <w:sz w:val="24"/>
          <w:szCs w:val="24"/>
        </w:rPr>
        <w:t>nalysis of Phoenix</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Nonprofit and Voluntary Sector Quarterly</w:t>
      </w:r>
      <w:r w:rsidRPr="00A17AFC">
        <w:rPr>
          <w:rFonts w:ascii="Times New Roman" w:hAnsi="Times New Roman" w:cs="Times New Roman"/>
          <w:noProof/>
          <w:sz w:val="24"/>
          <w:szCs w:val="24"/>
        </w:rPr>
        <w:t xml:space="preserve">, 37, 138–151. </w:t>
      </w:r>
    </w:p>
    <w:p w14:paraId="3EE33CA8"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Pennerstorfer, A., and Rutherford, A. C. (2019)</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Measuring </w:t>
      </w:r>
      <w:r>
        <w:rPr>
          <w:rFonts w:ascii="Times New Roman" w:hAnsi="Times New Roman" w:cs="Times New Roman"/>
          <w:noProof/>
          <w:sz w:val="24"/>
          <w:szCs w:val="24"/>
        </w:rPr>
        <w:t>g</w:t>
      </w:r>
      <w:r w:rsidRPr="00A17AFC">
        <w:rPr>
          <w:rFonts w:ascii="Times New Roman" w:hAnsi="Times New Roman" w:cs="Times New Roman"/>
          <w:noProof/>
          <w:sz w:val="24"/>
          <w:szCs w:val="24"/>
        </w:rPr>
        <w:t xml:space="preserve">rowth of the </w:t>
      </w:r>
      <w:r>
        <w:rPr>
          <w:rFonts w:ascii="Times New Roman" w:hAnsi="Times New Roman" w:cs="Times New Roman"/>
          <w:noProof/>
          <w:sz w:val="24"/>
          <w:szCs w:val="24"/>
        </w:rPr>
        <w:t>n</w:t>
      </w:r>
      <w:r w:rsidRPr="00A17AFC">
        <w:rPr>
          <w:rFonts w:ascii="Times New Roman" w:hAnsi="Times New Roman" w:cs="Times New Roman"/>
          <w:noProof/>
          <w:sz w:val="24"/>
          <w:szCs w:val="24"/>
        </w:rPr>
        <w:t xml:space="preserve">onprofit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ector: The </w:t>
      </w:r>
      <w:r>
        <w:rPr>
          <w:rFonts w:ascii="Times New Roman" w:hAnsi="Times New Roman" w:cs="Times New Roman"/>
          <w:noProof/>
          <w:sz w:val="24"/>
          <w:szCs w:val="24"/>
        </w:rPr>
        <w:t>c</w:t>
      </w:r>
      <w:r w:rsidRPr="00A17AFC">
        <w:rPr>
          <w:rFonts w:ascii="Times New Roman" w:hAnsi="Times New Roman" w:cs="Times New Roman"/>
          <w:noProof/>
          <w:sz w:val="24"/>
          <w:szCs w:val="24"/>
        </w:rPr>
        <w:t xml:space="preserve">hoice of </w:t>
      </w:r>
      <w:r>
        <w:rPr>
          <w:rFonts w:ascii="Times New Roman" w:hAnsi="Times New Roman" w:cs="Times New Roman"/>
          <w:noProof/>
          <w:sz w:val="24"/>
          <w:szCs w:val="24"/>
        </w:rPr>
        <w:t>i</w:t>
      </w:r>
      <w:r w:rsidRPr="00A17AFC">
        <w:rPr>
          <w:rFonts w:ascii="Times New Roman" w:hAnsi="Times New Roman" w:cs="Times New Roman"/>
          <w:noProof/>
          <w:sz w:val="24"/>
          <w:szCs w:val="24"/>
        </w:rPr>
        <w:t xml:space="preserve">ndicator </w:t>
      </w:r>
      <w:r>
        <w:rPr>
          <w:rFonts w:ascii="Times New Roman" w:hAnsi="Times New Roman" w:cs="Times New Roman"/>
          <w:noProof/>
          <w:sz w:val="24"/>
          <w:szCs w:val="24"/>
        </w:rPr>
        <w:t>m</w:t>
      </w:r>
      <w:r w:rsidRPr="00A17AFC">
        <w:rPr>
          <w:rFonts w:ascii="Times New Roman" w:hAnsi="Times New Roman" w:cs="Times New Roman"/>
          <w:noProof/>
          <w:sz w:val="24"/>
          <w:szCs w:val="24"/>
        </w:rPr>
        <w:t>atters</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Nonprofit and Voluntary Sector Quarterly</w:t>
      </w:r>
      <w:r w:rsidRPr="00A17AFC">
        <w:rPr>
          <w:rFonts w:ascii="Times New Roman" w:hAnsi="Times New Roman" w:cs="Times New Roman"/>
          <w:noProof/>
          <w:sz w:val="24"/>
          <w:szCs w:val="24"/>
        </w:rPr>
        <w:t>, 48, 440–456.</w:t>
      </w:r>
    </w:p>
    <w:p w14:paraId="2E9AC29D"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Polson, E. C. (2017)</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Religious </w:t>
      </w:r>
      <w:r>
        <w:rPr>
          <w:rFonts w:ascii="Times New Roman" w:hAnsi="Times New Roman" w:cs="Times New Roman"/>
          <w:noProof/>
          <w:sz w:val="24"/>
          <w:szCs w:val="24"/>
        </w:rPr>
        <w:t>e</w:t>
      </w:r>
      <w:r w:rsidRPr="00A17AFC">
        <w:rPr>
          <w:rFonts w:ascii="Times New Roman" w:hAnsi="Times New Roman" w:cs="Times New Roman"/>
          <w:noProof/>
          <w:sz w:val="24"/>
          <w:szCs w:val="24"/>
        </w:rPr>
        <w:t xml:space="preserve">nvironments and the </w:t>
      </w:r>
      <w:r>
        <w:rPr>
          <w:rFonts w:ascii="Times New Roman" w:hAnsi="Times New Roman" w:cs="Times New Roman"/>
          <w:noProof/>
          <w:sz w:val="24"/>
          <w:szCs w:val="24"/>
        </w:rPr>
        <w:t>d</w:t>
      </w:r>
      <w:r w:rsidRPr="00A17AFC">
        <w:rPr>
          <w:rFonts w:ascii="Times New Roman" w:hAnsi="Times New Roman" w:cs="Times New Roman"/>
          <w:noProof/>
          <w:sz w:val="24"/>
          <w:szCs w:val="24"/>
        </w:rPr>
        <w:t xml:space="preserve">istribution of </w:t>
      </w:r>
      <w:r>
        <w:rPr>
          <w:rFonts w:ascii="Times New Roman" w:hAnsi="Times New Roman" w:cs="Times New Roman"/>
          <w:noProof/>
          <w:sz w:val="24"/>
          <w:szCs w:val="24"/>
        </w:rPr>
        <w:t>a</w:t>
      </w:r>
      <w:r w:rsidRPr="00A17AFC">
        <w:rPr>
          <w:rFonts w:ascii="Times New Roman" w:hAnsi="Times New Roman" w:cs="Times New Roman"/>
          <w:noProof/>
          <w:sz w:val="24"/>
          <w:szCs w:val="24"/>
        </w:rPr>
        <w:t>nti-</w:t>
      </w:r>
      <w:r>
        <w:rPr>
          <w:rFonts w:ascii="Times New Roman" w:hAnsi="Times New Roman" w:cs="Times New Roman"/>
          <w:noProof/>
          <w:sz w:val="24"/>
          <w:szCs w:val="24"/>
        </w:rPr>
        <w:t>p</w:t>
      </w:r>
      <w:r w:rsidRPr="00A17AFC">
        <w:rPr>
          <w:rFonts w:ascii="Times New Roman" w:hAnsi="Times New Roman" w:cs="Times New Roman"/>
          <w:noProof/>
          <w:sz w:val="24"/>
          <w:szCs w:val="24"/>
        </w:rPr>
        <w:t xml:space="preserve">overty </w:t>
      </w:r>
      <w:r>
        <w:rPr>
          <w:rFonts w:ascii="Times New Roman" w:hAnsi="Times New Roman" w:cs="Times New Roman"/>
          <w:noProof/>
          <w:sz w:val="24"/>
          <w:szCs w:val="24"/>
        </w:rPr>
        <w:t>n</w:t>
      </w:r>
      <w:r w:rsidRPr="00A17AFC">
        <w:rPr>
          <w:rFonts w:ascii="Times New Roman" w:hAnsi="Times New Roman" w:cs="Times New Roman"/>
          <w:noProof/>
          <w:sz w:val="24"/>
          <w:szCs w:val="24"/>
        </w:rPr>
        <w:t xml:space="preserve">onprofit </w:t>
      </w:r>
      <w:r>
        <w:rPr>
          <w:rFonts w:ascii="Times New Roman" w:hAnsi="Times New Roman" w:cs="Times New Roman"/>
          <w:noProof/>
          <w:sz w:val="24"/>
          <w:szCs w:val="24"/>
        </w:rPr>
        <w:t>o</w:t>
      </w:r>
      <w:r w:rsidRPr="00A17AFC">
        <w:rPr>
          <w:rFonts w:ascii="Times New Roman" w:hAnsi="Times New Roman" w:cs="Times New Roman"/>
          <w:noProof/>
          <w:sz w:val="24"/>
          <w:szCs w:val="24"/>
        </w:rPr>
        <w:t>rganizations</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Nonprofit and Voluntary Sector Quarterly</w:t>
      </w:r>
      <w:r w:rsidRPr="00A17AFC">
        <w:rPr>
          <w:rFonts w:ascii="Times New Roman" w:hAnsi="Times New Roman" w:cs="Times New Roman"/>
          <w:noProof/>
          <w:sz w:val="24"/>
          <w:szCs w:val="24"/>
        </w:rPr>
        <w:t>, 46, 156–174.</w:t>
      </w:r>
    </w:p>
    <w:p w14:paraId="0228C2C0" w14:textId="77777777" w:rsidR="00EA1B19" w:rsidRPr="00172F28"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Prentice, C. R., and Brudney, J. L. (2016a). Contracting with nonprofit organizations. In R. A. Shick (Ed.), </w:t>
      </w:r>
      <w:r>
        <w:rPr>
          <w:rFonts w:ascii="Times New Roman" w:hAnsi="Times New Roman" w:cs="Times New Roman"/>
          <w:i/>
          <w:iCs/>
          <w:noProof/>
          <w:sz w:val="24"/>
          <w:szCs w:val="24"/>
        </w:rPr>
        <w:t>Government Contracting: A Public Solutions Handbook</w:t>
      </w:r>
      <w:r>
        <w:rPr>
          <w:rFonts w:ascii="Times New Roman" w:hAnsi="Times New Roman" w:cs="Times New Roman"/>
          <w:noProof/>
          <w:sz w:val="24"/>
          <w:szCs w:val="24"/>
        </w:rPr>
        <w:t>. New York: Routledge.</w:t>
      </w:r>
    </w:p>
    <w:p w14:paraId="70C3FEB0"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Prentice, C. R., and Brudney, J. L. (2016</w:t>
      </w:r>
      <w:r>
        <w:rPr>
          <w:rFonts w:ascii="Times New Roman" w:hAnsi="Times New Roman" w:cs="Times New Roman"/>
          <w:noProof/>
          <w:sz w:val="24"/>
          <w:szCs w:val="24"/>
        </w:rPr>
        <w:t>b</w:t>
      </w:r>
      <w:r w:rsidRPr="00A17AF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Definitions Do Make a Difference: County Managers and Their Conceptions of Collaboration</w:t>
      </w:r>
      <w:r>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Human Service Organizations: Management, Leadership &amp; Governance</w:t>
      </w:r>
      <w:r w:rsidRPr="00A17AFC">
        <w:rPr>
          <w:rFonts w:ascii="Times New Roman" w:hAnsi="Times New Roman" w:cs="Times New Roman"/>
          <w:noProof/>
          <w:sz w:val="24"/>
          <w:szCs w:val="24"/>
        </w:rPr>
        <w:t>, 40, 193–207.</w:t>
      </w:r>
    </w:p>
    <w:p w14:paraId="2A0E95F6"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 xml:space="preserve">R Core Team. R: A language and environment for statistical computing. (2015), </w:t>
      </w:r>
      <w:r w:rsidRPr="00A17AFC">
        <w:rPr>
          <w:rFonts w:ascii="Times New Roman" w:hAnsi="Times New Roman" w:cs="Times New Roman"/>
          <w:i/>
          <w:iCs/>
          <w:noProof/>
          <w:sz w:val="24"/>
          <w:szCs w:val="24"/>
        </w:rPr>
        <w:t>R Foundation for Statistical Computing</w:t>
      </w:r>
      <w:r w:rsidRPr="00A17AFC">
        <w:rPr>
          <w:rFonts w:ascii="Times New Roman" w:hAnsi="Times New Roman" w:cs="Times New Roman"/>
          <w:noProof/>
          <w:sz w:val="24"/>
          <w:szCs w:val="24"/>
        </w:rPr>
        <w:t>, Vienna, Austria. .</w:t>
      </w:r>
    </w:p>
    <w:p w14:paraId="0C9BB7B1"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Rue, H., Martino, S., and Chopin, N. (2009)</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Approximate Bayesian inference for latent Gaussian models using integrated nested Laplace approximations (with discussion)</w:t>
      </w:r>
      <w:r>
        <w:rPr>
          <w:rFonts w:ascii="Times New Roman" w:hAnsi="Times New Roman" w:cs="Times New Roman"/>
          <w:noProof/>
          <w:sz w:val="24"/>
          <w:szCs w:val="24"/>
        </w:rPr>
        <w:t xml:space="preserve">. </w:t>
      </w:r>
      <w:r>
        <w:rPr>
          <w:rFonts w:ascii="Times New Roman" w:hAnsi="Times New Roman" w:cs="Times New Roman"/>
          <w:i/>
          <w:iCs/>
          <w:noProof/>
          <w:sz w:val="24"/>
          <w:szCs w:val="24"/>
        </w:rPr>
        <w:t>Journal of the Royal Statistical Society: Series B</w:t>
      </w:r>
      <w:r w:rsidRPr="00A17AFC">
        <w:rPr>
          <w:rFonts w:ascii="Times New Roman" w:hAnsi="Times New Roman" w:cs="Times New Roman"/>
          <w:noProof/>
          <w:sz w:val="24"/>
          <w:szCs w:val="24"/>
        </w:rPr>
        <w:t>, 71, 319–392.</w:t>
      </w:r>
    </w:p>
    <w:p w14:paraId="4CE2B30D" w14:textId="77777777" w:rsidR="00EA1B19" w:rsidRPr="00CE2D25"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Salamon, L. M. (1987). Of market failure, voluntary failure, and third-party government: Toward a theory of government-nonprofit relations in the modern welfare state. </w:t>
      </w:r>
      <w:r>
        <w:rPr>
          <w:rFonts w:ascii="Times New Roman" w:hAnsi="Times New Roman" w:cs="Times New Roman"/>
          <w:i/>
          <w:iCs/>
          <w:noProof/>
          <w:sz w:val="24"/>
          <w:szCs w:val="24"/>
        </w:rPr>
        <w:t>Nonprofit and Vountary Sector Quarterly</w:t>
      </w:r>
      <w:r>
        <w:rPr>
          <w:rFonts w:ascii="Times New Roman" w:hAnsi="Times New Roman" w:cs="Times New Roman"/>
          <w:noProof/>
          <w:sz w:val="24"/>
          <w:szCs w:val="24"/>
        </w:rPr>
        <w:t>, 16, 29-49.</w:t>
      </w:r>
    </w:p>
    <w:p w14:paraId="2FFBEAF1" w14:textId="77777777" w:rsidR="00EA1B19"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Salamon, L.</w:t>
      </w:r>
      <w:r>
        <w:rPr>
          <w:rFonts w:ascii="Times New Roman" w:hAnsi="Times New Roman" w:cs="Times New Roman"/>
          <w:noProof/>
          <w:sz w:val="24"/>
          <w:szCs w:val="24"/>
        </w:rPr>
        <w:t xml:space="preserve"> M.</w:t>
      </w:r>
      <w:r w:rsidRPr="00A17AFC">
        <w:rPr>
          <w:rFonts w:ascii="Times New Roman" w:hAnsi="Times New Roman" w:cs="Times New Roman"/>
          <w:noProof/>
          <w:sz w:val="24"/>
          <w:szCs w:val="24"/>
        </w:rPr>
        <w:t xml:space="preserve"> (2012), </w:t>
      </w:r>
      <w:r w:rsidRPr="00A17AFC">
        <w:rPr>
          <w:rFonts w:ascii="Times New Roman" w:hAnsi="Times New Roman" w:cs="Times New Roman"/>
          <w:i/>
          <w:iCs/>
          <w:noProof/>
          <w:sz w:val="24"/>
          <w:szCs w:val="24"/>
        </w:rPr>
        <w:t>America’s nonprofit sector: A primer</w:t>
      </w:r>
      <w:r w:rsidRPr="00A17AFC">
        <w:rPr>
          <w:rFonts w:ascii="Times New Roman" w:hAnsi="Times New Roman" w:cs="Times New Roman"/>
          <w:noProof/>
          <w:sz w:val="24"/>
          <w:szCs w:val="24"/>
        </w:rPr>
        <w:t>, New York: The Foundation Center.</w:t>
      </w:r>
    </w:p>
    <w:p w14:paraId="6E70E4A2" w14:textId="048E71FC" w:rsidR="00EA1B19" w:rsidRPr="00C30DF9"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Scott, T. (2016). Is collaboration a good investment? Modeling the link between funds given to collaborative watershed councils and water quality. </w:t>
      </w:r>
      <w:r>
        <w:rPr>
          <w:rFonts w:ascii="Times New Roman" w:hAnsi="Times New Roman" w:cs="Times New Roman"/>
          <w:i/>
          <w:iCs/>
          <w:noProof/>
          <w:sz w:val="24"/>
          <w:szCs w:val="24"/>
        </w:rPr>
        <w:t>Journal of Public Administration Research and Theory</w:t>
      </w:r>
      <w:r>
        <w:rPr>
          <w:rFonts w:ascii="Times New Roman" w:hAnsi="Times New Roman" w:cs="Times New Roman"/>
          <w:noProof/>
          <w:sz w:val="24"/>
          <w:szCs w:val="24"/>
        </w:rPr>
        <w:t>, 26, 769-786.</w:t>
      </w:r>
    </w:p>
    <w:p w14:paraId="7C0006D2"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Simpson, D., Lindgren, F., and Rue, H. (2012)</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In order to make spatial statistics computationally feasible, we need to forget about the covariance function</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Environmetrics</w:t>
      </w:r>
      <w:r w:rsidRPr="00A17AFC">
        <w:rPr>
          <w:rFonts w:ascii="Times New Roman" w:hAnsi="Times New Roman" w:cs="Times New Roman"/>
          <w:noProof/>
          <w:sz w:val="24"/>
          <w:szCs w:val="24"/>
        </w:rPr>
        <w:t>, 23, 65–74.</w:t>
      </w:r>
    </w:p>
    <w:p w14:paraId="28129CC1"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Spiegelhalter, D. J., Best, N. G., Carlin, B. P., and van der Linde, A. (2002)</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Bayesian measures of model complexity and fit.</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Pr>
          <w:rFonts w:ascii="Times New Roman" w:hAnsi="Times New Roman" w:cs="Times New Roman"/>
          <w:i/>
          <w:iCs/>
          <w:noProof/>
          <w:sz w:val="24"/>
          <w:szCs w:val="24"/>
        </w:rPr>
        <w:t>Journal of the Royal Statistical Society: Series B</w:t>
      </w:r>
      <w:r w:rsidRPr="00A17AFC">
        <w:rPr>
          <w:rFonts w:ascii="Times New Roman" w:hAnsi="Times New Roman" w:cs="Times New Roman"/>
          <w:noProof/>
          <w:sz w:val="24"/>
          <w:szCs w:val="24"/>
        </w:rPr>
        <w:t>, 64, 583–639.</w:t>
      </w:r>
    </w:p>
    <w:p w14:paraId="6D145255" w14:textId="77777777" w:rsidR="00EA1B19" w:rsidRPr="00A50BCA"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Steinberg, R. (2006). Economic theories of nonprofit organizations. In W. W. Powell and R. Steinberg (Eds.) </w:t>
      </w:r>
      <w:r>
        <w:rPr>
          <w:rFonts w:ascii="Times New Roman" w:hAnsi="Times New Roman" w:cs="Times New Roman"/>
          <w:i/>
          <w:iCs/>
          <w:noProof/>
          <w:sz w:val="24"/>
          <w:szCs w:val="24"/>
        </w:rPr>
        <w:t>The Nonprofit Sector: A Research Handbook, 2</w:t>
      </w:r>
      <w:r w:rsidRPr="00A50BCA">
        <w:rPr>
          <w:rFonts w:ascii="Times New Roman" w:hAnsi="Times New Roman" w:cs="Times New Roman"/>
          <w:i/>
          <w:iCs/>
          <w:noProof/>
          <w:sz w:val="24"/>
          <w:szCs w:val="24"/>
          <w:vertAlign w:val="superscript"/>
        </w:rPr>
        <w:t>nd</w:t>
      </w:r>
      <w:r>
        <w:rPr>
          <w:rFonts w:ascii="Times New Roman" w:hAnsi="Times New Roman" w:cs="Times New Roman"/>
          <w:i/>
          <w:iCs/>
          <w:noProof/>
          <w:sz w:val="24"/>
          <w:szCs w:val="24"/>
        </w:rPr>
        <w:t xml:space="preserve"> Edition. </w:t>
      </w:r>
      <w:r>
        <w:rPr>
          <w:rFonts w:ascii="Times New Roman" w:hAnsi="Times New Roman" w:cs="Times New Roman"/>
          <w:noProof/>
          <w:sz w:val="24"/>
          <w:szCs w:val="24"/>
        </w:rPr>
        <w:t>New Haven: Yale University Press.</w:t>
      </w:r>
    </w:p>
    <w:p w14:paraId="3FA765E3" w14:textId="4F3772B3" w:rsidR="00EA1B19" w:rsidRPr="00A17AFC" w:rsidRDefault="00A85996"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Wei, T.</w:t>
      </w:r>
      <w:r w:rsidR="00EA1B19" w:rsidRPr="00A17AFC">
        <w:rPr>
          <w:rFonts w:ascii="Times New Roman" w:hAnsi="Times New Roman" w:cs="Times New Roman"/>
          <w:noProof/>
          <w:sz w:val="24"/>
          <w:szCs w:val="24"/>
        </w:rPr>
        <w:t xml:space="preserve">, and </w:t>
      </w:r>
      <w:r>
        <w:rPr>
          <w:rFonts w:ascii="Times New Roman" w:hAnsi="Times New Roman" w:cs="Times New Roman"/>
          <w:noProof/>
          <w:sz w:val="24"/>
          <w:szCs w:val="24"/>
        </w:rPr>
        <w:t xml:space="preserve">Simko, </w:t>
      </w:r>
      <w:r w:rsidR="00EA1B19" w:rsidRPr="00A17AFC">
        <w:rPr>
          <w:rFonts w:ascii="Times New Roman" w:hAnsi="Times New Roman" w:cs="Times New Roman"/>
          <w:noProof/>
          <w:sz w:val="24"/>
          <w:szCs w:val="24"/>
        </w:rPr>
        <w:t>V. (2017)</w:t>
      </w:r>
      <w:r w:rsidR="00EA1B19">
        <w:rPr>
          <w:rFonts w:ascii="Times New Roman" w:hAnsi="Times New Roman" w:cs="Times New Roman"/>
          <w:noProof/>
          <w:sz w:val="24"/>
          <w:szCs w:val="24"/>
        </w:rPr>
        <w:t xml:space="preserve">. </w:t>
      </w:r>
      <w:r w:rsidR="00EA1B19" w:rsidRPr="00A17AFC">
        <w:rPr>
          <w:rFonts w:ascii="Times New Roman" w:hAnsi="Times New Roman" w:cs="Times New Roman"/>
          <w:noProof/>
          <w:sz w:val="24"/>
          <w:szCs w:val="24"/>
        </w:rPr>
        <w:t>corrplot: Visualization of a correlation matrix.</w:t>
      </w:r>
    </w:p>
    <w:p w14:paraId="13FC9B98"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Tierney, N. (2017)</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visdat: Visualising </w:t>
      </w:r>
      <w:r>
        <w:rPr>
          <w:rFonts w:ascii="Times New Roman" w:hAnsi="Times New Roman" w:cs="Times New Roman"/>
          <w:noProof/>
          <w:sz w:val="24"/>
          <w:szCs w:val="24"/>
        </w:rPr>
        <w:t>w</w:t>
      </w:r>
      <w:r w:rsidRPr="00A17AFC">
        <w:rPr>
          <w:rFonts w:ascii="Times New Roman" w:hAnsi="Times New Roman" w:cs="Times New Roman"/>
          <w:noProof/>
          <w:sz w:val="24"/>
          <w:szCs w:val="24"/>
        </w:rPr>
        <w:t xml:space="preserve">hole </w:t>
      </w:r>
      <w:r>
        <w:rPr>
          <w:rFonts w:ascii="Times New Roman" w:hAnsi="Times New Roman" w:cs="Times New Roman"/>
          <w:noProof/>
          <w:sz w:val="24"/>
          <w:szCs w:val="24"/>
        </w:rPr>
        <w:t>d</w:t>
      </w:r>
      <w:r w:rsidRPr="00A17AFC">
        <w:rPr>
          <w:rFonts w:ascii="Times New Roman" w:hAnsi="Times New Roman" w:cs="Times New Roman"/>
          <w:noProof/>
          <w:sz w:val="24"/>
          <w:szCs w:val="24"/>
        </w:rPr>
        <w:t xml:space="preserve">ata </w:t>
      </w:r>
      <w:r>
        <w:rPr>
          <w:rFonts w:ascii="Times New Roman" w:hAnsi="Times New Roman" w:cs="Times New Roman"/>
          <w:noProof/>
          <w:sz w:val="24"/>
          <w:szCs w:val="24"/>
        </w:rPr>
        <w:t>f</w:t>
      </w:r>
      <w:r w:rsidRPr="00A17AFC">
        <w:rPr>
          <w:rFonts w:ascii="Times New Roman" w:hAnsi="Times New Roman" w:cs="Times New Roman"/>
          <w:noProof/>
          <w:sz w:val="24"/>
          <w:szCs w:val="24"/>
        </w:rPr>
        <w:t>rames</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The Journal of Open Source Software</w:t>
      </w:r>
      <w:r w:rsidRPr="00A17AFC">
        <w:rPr>
          <w:rFonts w:ascii="Times New Roman" w:hAnsi="Times New Roman" w:cs="Times New Roman"/>
          <w:noProof/>
          <w:sz w:val="24"/>
          <w:szCs w:val="24"/>
        </w:rPr>
        <w:t>, 2, 355.</w:t>
      </w:r>
    </w:p>
    <w:p w14:paraId="5CE9DFCC"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Van Puyvelde, S., and Brown, W. A. (2016)</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Determinants of </w:t>
      </w:r>
      <w:r>
        <w:rPr>
          <w:rFonts w:ascii="Times New Roman" w:hAnsi="Times New Roman" w:cs="Times New Roman"/>
          <w:noProof/>
          <w:sz w:val="24"/>
          <w:szCs w:val="24"/>
        </w:rPr>
        <w:t>n</w:t>
      </w:r>
      <w:r w:rsidRPr="00A17AFC">
        <w:rPr>
          <w:rFonts w:ascii="Times New Roman" w:hAnsi="Times New Roman" w:cs="Times New Roman"/>
          <w:noProof/>
          <w:sz w:val="24"/>
          <w:szCs w:val="24"/>
        </w:rPr>
        <w:t xml:space="preserve">onprofit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ector </w:t>
      </w:r>
      <w:r>
        <w:rPr>
          <w:rFonts w:ascii="Times New Roman" w:hAnsi="Times New Roman" w:cs="Times New Roman"/>
          <w:noProof/>
          <w:sz w:val="24"/>
          <w:szCs w:val="24"/>
        </w:rPr>
        <w:t>d</w:t>
      </w:r>
      <w:r w:rsidRPr="00A17AFC">
        <w:rPr>
          <w:rFonts w:ascii="Times New Roman" w:hAnsi="Times New Roman" w:cs="Times New Roman"/>
          <w:noProof/>
          <w:sz w:val="24"/>
          <w:szCs w:val="24"/>
        </w:rPr>
        <w:t xml:space="preserve">ensity: A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takeholder </w:t>
      </w:r>
      <w:r>
        <w:rPr>
          <w:rFonts w:ascii="Times New Roman" w:hAnsi="Times New Roman" w:cs="Times New Roman"/>
          <w:noProof/>
          <w:sz w:val="24"/>
          <w:szCs w:val="24"/>
        </w:rPr>
        <w:t>a</w:t>
      </w:r>
      <w:r w:rsidRPr="00A17AFC">
        <w:rPr>
          <w:rFonts w:ascii="Times New Roman" w:hAnsi="Times New Roman" w:cs="Times New Roman"/>
          <w:noProof/>
          <w:sz w:val="24"/>
          <w:szCs w:val="24"/>
        </w:rPr>
        <w:t>pproach</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VOLUNTAS: International Journal of Voluntary and Nonprofit Organizations</w:t>
      </w:r>
      <w:r w:rsidRPr="00A17AFC">
        <w:rPr>
          <w:rFonts w:ascii="Times New Roman" w:hAnsi="Times New Roman" w:cs="Times New Roman"/>
          <w:noProof/>
          <w:sz w:val="24"/>
          <w:szCs w:val="24"/>
        </w:rPr>
        <w:t>, 27, 1045–1063.</w:t>
      </w:r>
    </w:p>
    <w:p w14:paraId="133B7D30"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lastRenderedPageBreak/>
        <w:t>Watanabe, S. (2010)</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Asymptotic equivalence of Bayes cross validation and widely applicable information criterion in singular learning theory. </w:t>
      </w:r>
      <w:r w:rsidRPr="00A17AFC">
        <w:rPr>
          <w:rFonts w:ascii="Times New Roman" w:hAnsi="Times New Roman" w:cs="Times New Roman"/>
          <w:i/>
          <w:iCs/>
          <w:noProof/>
          <w:sz w:val="24"/>
          <w:szCs w:val="24"/>
        </w:rPr>
        <w:t>J</w:t>
      </w:r>
      <w:r>
        <w:rPr>
          <w:rFonts w:ascii="Times New Roman" w:hAnsi="Times New Roman" w:cs="Times New Roman"/>
          <w:i/>
          <w:iCs/>
          <w:noProof/>
          <w:sz w:val="24"/>
          <w:szCs w:val="24"/>
        </w:rPr>
        <w:t>ournal of</w:t>
      </w:r>
      <w:r w:rsidRPr="00A17AFC">
        <w:rPr>
          <w:rFonts w:ascii="Times New Roman" w:hAnsi="Times New Roman" w:cs="Times New Roman"/>
          <w:i/>
          <w:iCs/>
          <w:noProof/>
          <w:sz w:val="24"/>
          <w:szCs w:val="24"/>
        </w:rPr>
        <w:t xml:space="preserve"> Mach</w:t>
      </w:r>
      <w:r>
        <w:rPr>
          <w:rFonts w:ascii="Times New Roman" w:hAnsi="Times New Roman" w:cs="Times New Roman"/>
          <w:i/>
          <w:iCs/>
          <w:noProof/>
          <w:sz w:val="24"/>
          <w:szCs w:val="24"/>
        </w:rPr>
        <w:t>ine</w:t>
      </w:r>
      <w:r w:rsidRPr="00A17AFC">
        <w:rPr>
          <w:rFonts w:ascii="Times New Roman" w:hAnsi="Times New Roman" w:cs="Times New Roman"/>
          <w:i/>
          <w:iCs/>
          <w:noProof/>
          <w:sz w:val="24"/>
          <w:szCs w:val="24"/>
        </w:rPr>
        <w:t xml:space="preserve"> Learn</w:t>
      </w:r>
      <w:r>
        <w:rPr>
          <w:rFonts w:ascii="Times New Roman" w:hAnsi="Times New Roman" w:cs="Times New Roman"/>
          <w:i/>
          <w:iCs/>
          <w:noProof/>
          <w:sz w:val="24"/>
          <w:szCs w:val="24"/>
        </w:rPr>
        <w:t>ing</w:t>
      </w:r>
      <w:r w:rsidRPr="00A17AFC">
        <w:rPr>
          <w:rFonts w:ascii="Times New Roman" w:hAnsi="Times New Roman" w:cs="Times New Roman"/>
          <w:i/>
          <w:iCs/>
          <w:noProof/>
          <w:sz w:val="24"/>
          <w:szCs w:val="24"/>
        </w:rPr>
        <w:t xml:space="preserve"> Res</w:t>
      </w:r>
      <w:r>
        <w:rPr>
          <w:rFonts w:ascii="Times New Roman" w:hAnsi="Times New Roman" w:cs="Times New Roman"/>
          <w:i/>
          <w:iCs/>
          <w:noProof/>
          <w:sz w:val="24"/>
          <w:szCs w:val="24"/>
        </w:rPr>
        <w:t>earch</w:t>
      </w:r>
      <w:r w:rsidRPr="00A17AFC">
        <w:rPr>
          <w:rFonts w:ascii="Times New Roman" w:hAnsi="Times New Roman" w:cs="Times New Roman"/>
          <w:noProof/>
          <w:sz w:val="24"/>
          <w:szCs w:val="24"/>
        </w:rPr>
        <w:t>, 11, 3571–3594.</w:t>
      </w:r>
    </w:p>
    <w:p w14:paraId="6C3E5960" w14:textId="77777777" w:rsidR="00EA1B19"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Weisbrod, B. A. (1975). Toward a theory of the voluntary nonprofit sector in a three-sector economy. In E. S. Phelps (ED.) </w:t>
      </w:r>
      <w:r>
        <w:rPr>
          <w:rFonts w:ascii="Times New Roman" w:hAnsi="Times New Roman" w:cs="Times New Roman"/>
          <w:i/>
          <w:iCs/>
          <w:noProof/>
          <w:sz w:val="24"/>
          <w:szCs w:val="24"/>
        </w:rPr>
        <w:t>Altruism, Morality and Economic Theory</w:t>
      </w:r>
      <w:r>
        <w:rPr>
          <w:rFonts w:ascii="Times New Roman" w:hAnsi="Times New Roman" w:cs="Times New Roman"/>
          <w:noProof/>
          <w:sz w:val="24"/>
          <w:szCs w:val="24"/>
        </w:rPr>
        <w:t>. New York: Russel Sage Foundation.</w:t>
      </w:r>
    </w:p>
    <w:p w14:paraId="2EF7A7E5" w14:textId="77777777" w:rsidR="00EA1B19" w:rsidRPr="00E82EBD"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Weisbrod, B. A. (1977). </w:t>
      </w:r>
      <w:r>
        <w:rPr>
          <w:rFonts w:ascii="Times New Roman" w:hAnsi="Times New Roman" w:cs="Times New Roman"/>
          <w:i/>
          <w:iCs/>
          <w:noProof/>
          <w:sz w:val="24"/>
          <w:szCs w:val="24"/>
        </w:rPr>
        <w:t>The Nonprofit Economy</w:t>
      </w:r>
      <w:r>
        <w:rPr>
          <w:rFonts w:ascii="Times New Roman" w:hAnsi="Times New Roman" w:cs="Times New Roman"/>
          <w:noProof/>
          <w:sz w:val="24"/>
          <w:szCs w:val="24"/>
        </w:rPr>
        <w:t>. Cambridge: Harvard University Press.</w:t>
      </w:r>
    </w:p>
    <w:p w14:paraId="6DF0C4F2" w14:textId="532817BC" w:rsidR="00EA1B19" w:rsidRPr="00A6756E"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 xml:space="preserve">Witesman, E. M., Child, C., and Breck Wightman, G. (2019). Sector choice and sector regret. </w:t>
      </w:r>
      <w:r>
        <w:rPr>
          <w:rFonts w:ascii="Times New Roman" w:hAnsi="Times New Roman" w:cs="Times New Roman"/>
          <w:i/>
          <w:iCs/>
          <w:noProof/>
          <w:sz w:val="24"/>
          <w:szCs w:val="24"/>
        </w:rPr>
        <w:t>Nonprofit and Voluntary Sector Quarterly</w:t>
      </w:r>
      <w:r>
        <w:rPr>
          <w:rFonts w:ascii="Times New Roman" w:hAnsi="Times New Roman" w:cs="Times New Roman"/>
          <w:noProof/>
          <w:sz w:val="24"/>
          <w:szCs w:val="24"/>
        </w:rPr>
        <w:t>, 1-21.</w:t>
      </w:r>
    </w:p>
    <w:p w14:paraId="48C06010"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17AFC">
        <w:rPr>
          <w:rFonts w:ascii="Times New Roman" w:hAnsi="Times New Roman" w:cs="Times New Roman"/>
          <w:noProof/>
          <w:sz w:val="24"/>
          <w:szCs w:val="24"/>
        </w:rPr>
        <w:t>Wo, J. C. (2018)</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Understanding the density of nonprofit organizations across Los Angeles neighborhoods: Does concentrated disadvantage and violent crime matter</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Social Science Research</w:t>
      </w:r>
      <w:r w:rsidRPr="00A17AFC">
        <w:rPr>
          <w:rFonts w:ascii="Times New Roman" w:hAnsi="Times New Roman" w:cs="Times New Roman"/>
          <w:noProof/>
          <w:sz w:val="24"/>
          <w:szCs w:val="24"/>
        </w:rPr>
        <w:t>, 71, 56–71.</w:t>
      </w:r>
    </w:p>
    <w:p w14:paraId="1732323D" w14:textId="77777777" w:rsidR="00EA1B19" w:rsidRPr="00A17AFC" w:rsidRDefault="00EA1B19" w:rsidP="00EA1B19">
      <w:pPr>
        <w:widowControl w:val="0"/>
        <w:autoSpaceDE w:val="0"/>
        <w:autoSpaceDN w:val="0"/>
        <w:adjustRightInd w:val="0"/>
        <w:spacing w:after="0" w:line="480" w:lineRule="auto"/>
        <w:ind w:left="480" w:hanging="480"/>
        <w:rPr>
          <w:rFonts w:ascii="Times New Roman" w:hAnsi="Times New Roman" w:cs="Times New Roman"/>
          <w:noProof/>
          <w:sz w:val="24"/>
        </w:rPr>
      </w:pPr>
      <w:r w:rsidRPr="00A17AFC">
        <w:rPr>
          <w:rFonts w:ascii="Times New Roman" w:hAnsi="Times New Roman" w:cs="Times New Roman"/>
          <w:noProof/>
          <w:sz w:val="24"/>
          <w:szCs w:val="24"/>
        </w:rPr>
        <w:t>Yan, J., Guo, C., and Paarlberg, L. E. (2014)</w:t>
      </w:r>
      <w:r>
        <w:rPr>
          <w:rFonts w:ascii="Times New Roman" w:hAnsi="Times New Roman" w:cs="Times New Roman"/>
          <w:noProof/>
          <w:sz w:val="24"/>
          <w:szCs w:val="24"/>
        </w:rPr>
        <w:t xml:space="preserve">. </w:t>
      </w:r>
      <w:r w:rsidRPr="00A17AFC">
        <w:rPr>
          <w:rFonts w:ascii="Times New Roman" w:hAnsi="Times New Roman" w:cs="Times New Roman"/>
          <w:noProof/>
          <w:sz w:val="24"/>
          <w:szCs w:val="24"/>
        </w:rPr>
        <w:t xml:space="preserve">Are </w:t>
      </w:r>
      <w:r>
        <w:rPr>
          <w:rFonts w:ascii="Times New Roman" w:hAnsi="Times New Roman" w:cs="Times New Roman"/>
          <w:noProof/>
          <w:sz w:val="24"/>
          <w:szCs w:val="24"/>
        </w:rPr>
        <w:t>n</w:t>
      </w:r>
      <w:r w:rsidRPr="00A17AFC">
        <w:rPr>
          <w:rFonts w:ascii="Times New Roman" w:hAnsi="Times New Roman" w:cs="Times New Roman"/>
          <w:noProof/>
          <w:sz w:val="24"/>
          <w:szCs w:val="24"/>
        </w:rPr>
        <w:t xml:space="preserve">onprofit </w:t>
      </w:r>
      <w:r>
        <w:rPr>
          <w:rFonts w:ascii="Times New Roman" w:hAnsi="Times New Roman" w:cs="Times New Roman"/>
          <w:noProof/>
          <w:sz w:val="24"/>
          <w:szCs w:val="24"/>
        </w:rPr>
        <w:t>a</w:t>
      </w:r>
      <w:r w:rsidRPr="00A17AFC">
        <w:rPr>
          <w:rFonts w:ascii="Times New Roman" w:hAnsi="Times New Roman" w:cs="Times New Roman"/>
          <w:noProof/>
          <w:sz w:val="24"/>
          <w:szCs w:val="24"/>
        </w:rPr>
        <w:t xml:space="preserve">ntipoverty </w:t>
      </w:r>
      <w:r>
        <w:rPr>
          <w:rFonts w:ascii="Times New Roman" w:hAnsi="Times New Roman" w:cs="Times New Roman"/>
          <w:noProof/>
          <w:sz w:val="24"/>
          <w:szCs w:val="24"/>
        </w:rPr>
        <w:t>o</w:t>
      </w:r>
      <w:r w:rsidRPr="00A17AFC">
        <w:rPr>
          <w:rFonts w:ascii="Times New Roman" w:hAnsi="Times New Roman" w:cs="Times New Roman"/>
          <w:noProof/>
          <w:sz w:val="24"/>
          <w:szCs w:val="24"/>
        </w:rPr>
        <w:t xml:space="preserve">rganizations </w:t>
      </w:r>
      <w:r>
        <w:rPr>
          <w:rFonts w:ascii="Times New Roman" w:hAnsi="Times New Roman" w:cs="Times New Roman"/>
          <w:noProof/>
          <w:sz w:val="24"/>
          <w:szCs w:val="24"/>
        </w:rPr>
        <w:t>l</w:t>
      </w:r>
      <w:r w:rsidRPr="00A17AFC">
        <w:rPr>
          <w:rFonts w:ascii="Times New Roman" w:hAnsi="Times New Roman" w:cs="Times New Roman"/>
          <w:noProof/>
          <w:sz w:val="24"/>
          <w:szCs w:val="24"/>
        </w:rPr>
        <w:t xml:space="preserve">ocated </w:t>
      </w:r>
      <w:r>
        <w:rPr>
          <w:rFonts w:ascii="Times New Roman" w:hAnsi="Times New Roman" w:cs="Times New Roman"/>
          <w:noProof/>
          <w:sz w:val="24"/>
          <w:szCs w:val="24"/>
        </w:rPr>
        <w:t>w</w:t>
      </w:r>
      <w:r w:rsidRPr="00A17AFC">
        <w:rPr>
          <w:rFonts w:ascii="Times New Roman" w:hAnsi="Times New Roman" w:cs="Times New Roman"/>
          <w:noProof/>
          <w:sz w:val="24"/>
          <w:szCs w:val="24"/>
        </w:rPr>
        <w:t xml:space="preserve">here </w:t>
      </w:r>
      <w:r>
        <w:rPr>
          <w:rFonts w:ascii="Times New Roman" w:hAnsi="Times New Roman" w:cs="Times New Roman"/>
          <w:noProof/>
          <w:sz w:val="24"/>
          <w:szCs w:val="24"/>
        </w:rPr>
        <w:t>t</w:t>
      </w:r>
      <w:r w:rsidRPr="00A17AFC">
        <w:rPr>
          <w:rFonts w:ascii="Times New Roman" w:hAnsi="Times New Roman" w:cs="Times New Roman"/>
          <w:noProof/>
          <w:sz w:val="24"/>
          <w:szCs w:val="24"/>
        </w:rPr>
        <w:t xml:space="preserve">hey </w:t>
      </w:r>
      <w:r>
        <w:rPr>
          <w:rFonts w:ascii="Times New Roman" w:hAnsi="Times New Roman" w:cs="Times New Roman"/>
          <w:noProof/>
          <w:sz w:val="24"/>
          <w:szCs w:val="24"/>
        </w:rPr>
        <w:t>a</w:t>
      </w:r>
      <w:r w:rsidRPr="00A17AFC">
        <w:rPr>
          <w:rFonts w:ascii="Times New Roman" w:hAnsi="Times New Roman" w:cs="Times New Roman"/>
          <w:noProof/>
          <w:sz w:val="24"/>
          <w:szCs w:val="24"/>
        </w:rPr>
        <w:t xml:space="preserve">re </w:t>
      </w:r>
      <w:r>
        <w:rPr>
          <w:rFonts w:ascii="Times New Roman" w:hAnsi="Times New Roman" w:cs="Times New Roman"/>
          <w:noProof/>
          <w:sz w:val="24"/>
          <w:szCs w:val="24"/>
        </w:rPr>
        <w:t>n</w:t>
      </w:r>
      <w:r w:rsidRPr="00A17AFC">
        <w:rPr>
          <w:rFonts w:ascii="Times New Roman" w:hAnsi="Times New Roman" w:cs="Times New Roman"/>
          <w:noProof/>
          <w:sz w:val="24"/>
          <w:szCs w:val="24"/>
        </w:rPr>
        <w:t xml:space="preserve">eeded? A </w:t>
      </w:r>
      <w:r>
        <w:rPr>
          <w:rFonts w:ascii="Times New Roman" w:hAnsi="Times New Roman" w:cs="Times New Roman"/>
          <w:noProof/>
          <w:sz w:val="24"/>
          <w:szCs w:val="24"/>
        </w:rPr>
        <w:t>s</w:t>
      </w:r>
      <w:r w:rsidRPr="00A17AFC">
        <w:rPr>
          <w:rFonts w:ascii="Times New Roman" w:hAnsi="Times New Roman" w:cs="Times New Roman"/>
          <w:noProof/>
          <w:sz w:val="24"/>
          <w:szCs w:val="24"/>
        </w:rPr>
        <w:t xml:space="preserve">patial </w:t>
      </w:r>
      <w:r>
        <w:rPr>
          <w:rFonts w:ascii="Times New Roman" w:hAnsi="Times New Roman" w:cs="Times New Roman"/>
          <w:noProof/>
          <w:sz w:val="24"/>
          <w:szCs w:val="24"/>
        </w:rPr>
        <w:t>a</w:t>
      </w:r>
      <w:r w:rsidRPr="00A17AFC">
        <w:rPr>
          <w:rFonts w:ascii="Times New Roman" w:hAnsi="Times New Roman" w:cs="Times New Roman"/>
          <w:noProof/>
          <w:sz w:val="24"/>
          <w:szCs w:val="24"/>
        </w:rPr>
        <w:t xml:space="preserve">nalysis of the </w:t>
      </w:r>
      <w:r>
        <w:rPr>
          <w:rFonts w:ascii="Times New Roman" w:hAnsi="Times New Roman" w:cs="Times New Roman"/>
          <w:noProof/>
          <w:sz w:val="24"/>
          <w:szCs w:val="24"/>
        </w:rPr>
        <w:t>g</w:t>
      </w:r>
      <w:r w:rsidRPr="00A17AFC">
        <w:rPr>
          <w:rFonts w:ascii="Times New Roman" w:hAnsi="Times New Roman" w:cs="Times New Roman"/>
          <w:noProof/>
          <w:sz w:val="24"/>
          <w:szCs w:val="24"/>
        </w:rPr>
        <w:t xml:space="preserve">reater Hartford </w:t>
      </w:r>
      <w:r>
        <w:rPr>
          <w:rFonts w:ascii="Times New Roman" w:hAnsi="Times New Roman" w:cs="Times New Roman"/>
          <w:noProof/>
          <w:sz w:val="24"/>
          <w:szCs w:val="24"/>
        </w:rPr>
        <w:t>r</w:t>
      </w:r>
      <w:r w:rsidRPr="00A17AFC">
        <w:rPr>
          <w:rFonts w:ascii="Times New Roman" w:hAnsi="Times New Roman" w:cs="Times New Roman"/>
          <w:noProof/>
          <w:sz w:val="24"/>
          <w:szCs w:val="24"/>
        </w:rPr>
        <w:t>egion</w:t>
      </w:r>
      <w:r>
        <w:rPr>
          <w:rFonts w:ascii="Times New Roman" w:hAnsi="Times New Roman" w:cs="Times New Roman"/>
          <w:noProof/>
          <w:sz w:val="24"/>
          <w:szCs w:val="24"/>
        </w:rPr>
        <w:t>.</w:t>
      </w:r>
      <w:r w:rsidRPr="00A17AFC">
        <w:rPr>
          <w:rFonts w:ascii="Times New Roman" w:hAnsi="Times New Roman" w:cs="Times New Roman"/>
          <w:noProof/>
          <w:sz w:val="24"/>
          <w:szCs w:val="24"/>
        </w:rPr>
        <w:t xml:space="preserve"> </w:t>
      </w:r>
      <w:r w:rsidRPr="00A17AFC">
        <w:rPr>
          <w:rFonts w:ascii="Times New Roman" w:hAnsi="Times New Roman" w:cs="Times New Roman"/>
          <w:i/>
          <w:iCs/>
          <w:noProof/>
          <w:sz w:val="24"/>
          <w:szCs w:val="24"/>
        </w:rPr>
        <w:t>The American Statistician</w:t>
      </w:r>
      <w:r w:rsidRPr="00A17AFC">
        <w:rPr>
          <w:rFonts w:ascii="Times New Roman" w:hAnsi="Times New Roman" w:cs="Times New Roman"/>
          <w:noProof/>
          <w:sz w:val="24"/>
          <w:szCs w:val="24"/>
        </w:rPr>
        <w:t>, 68, 243–252.</w:t>
      </w:r>
    </w:p>
    <w:p w14:paraId="35B6528A" w14:textId="7BBDFB44" w:rsidR="00B70D1E" w:rsidRDefault="00EA1B19" w:rsidP="00EA1B19">
      <w:r>
        <w:rPr>
          <w:rFonts w:ascii="Times New Roman" w:hAnsi="Times New Roman" w:cs="Times New Roman"/>
          <w:sz w:val="24"/>
          <w:szCs w:val="24"/>
        </w:rPr>
        <w:fldChar w:fldCharType="end"/>
      </w:r>
    </w:p>
    <w:sectPr w:rsidR="00B70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0703B" w14:textId="77777777" w:rsidR="0088197B" w:rsidRDefault="0088197B" w:rsidP="00EA1B19">
      <w:pPr>
        <w:spacing w:after="0" w:line="240" w:lineRule="auto"/>
      </w:pPr>
      <w:r>
        <w:separator/>
      </w:r>
    </w:p>
  </w:endnote>
  <w:endnote w:type="continuationSeparator" w:id="0">
    <w:p w14:paraId="78F0F7DE" w14:textId="77777777" w:rsidR="0088197B" w:rsidRDefault="0088197B" w:rsidP="00EA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404369"/>
      <w:docPartObj>
        <w:docPartGallery w:val="Page Numbers (Bottom of Page)"/>
        <w:docPartUnique/>
      </w:docPartObj>
    </w:sdtPr>
    <w:sdtEndPr/>
    <w:sdtContent>
      <w:p w14:paraId="21DB214D" w14:textId="77777777" w:rsidR="00EA1B19" w:rsidRDefault="00EA1B19" w:rsidP="003B1618">
        <w:pPr>
          <w:framePr w:wrap="none" w:vAnchor="text" w:hAnchor="margin" w:xAlign="right" w:y="1"/>
        </w:pPr>
        <w:r>
          <w:fldChar w:fldCharType="begin"/>
        </w:r>
        <w:r>
          <w:instrText xml:space="preserve"> PAGE </w:instrText>
        </w:r>
        <w:r>
          <w:fldChar w:fldCharType="end"/>
        </w:r>
      </w:p>
    </w:sdtContent>
  </w:sdt>
  <w:p w14:paraId="6E99460F" w14:textId="77777777" w:rsidR="00EA1B19" w:rsidRDefault="00EA1B19" w:rsidP="00C91FBB">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118720"/>
      <w:docPartObj>
        <w:docPartGallery w:val="Page Numbers (Bottom of Page)"/>
        <w:docPartUnique/>
      </w:docPartObj>
    </w:sdtPr>
    <w:sdtEndPr/>
    <w:sdtContent>
      <w:p w14:paraId="6BB9754B" w14:textId="77777777" w:rsidR="00EA1B19" w:rsidRDefault="00EA1B19" w:rsidP="003B1618">
        <w:pPr>
          <w:framePr w:wrap="none" w:vAnchor="text" w:hAnchor="margin" w:xAlign="right" w:y="1"/>
        </w:pPr>
        <w:r>
          <w:fldChar w:fldCharType="begin"/>
        </w:r>
        <w:r>
          <w:instrText xml:space="preserve"> PAGE </w:instrText>
        </w:r>
        <w:r>
          <w:fldChar w:fldCharType="separate"/>
        </w:r>
        <w:r>
          <w:rPr>
            <w:noProof/>
          </w:rPr>
          <w:t>0</w:t>
        </w:r>
        <w:r>
          <w:fldChar w:fldCharType="end"/>
        </w:r>
      </w:p>
    </w:sdtContent>
  </w:sdt>
  <w:p w14:paraId="44D5A725" w14:textId="77777777" w:rsidR="00EA1B19" w:rsidRDefault="00EA1B19" w:rsidP="00C91FB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411157"/>
      <w:docPartObj>
        <w:docPartGallery w:val="Page Numbers (Bottom of Page)"/>
        <w:docPartUnique/>
      </w:docPartObj>
    </w:sdtPr>
    <w:sdtEndPr/>
    <w:sdtContent>
      <w:p w14:paraId="0E84582D" w14:textId="77777777" w:rsidR="00EA1B19" w:rsidRDefault="00EA1B19" w:rsidP="00435F76">
        <w:pPr>
          <w:framePr w:wrap="none" w:vAnchor="text" w:hAnchor="margin" w:xAlign="right" w:y="1"/>
        </w:pPr>
        <w:r>
          <w:fldChar w:fldCharType="begin"/>
        </w:r>
        <w:r>
          <w:instrText xml:space="preserve"> PAGE </w:instrText>
        </w:r>
        <w:r>
          <w:fldChar w:fldCharType="separate"/>
        </w:r>
        <w:r>
          <w:rPr>
            <w:noProof/>
          </w:rPr>
          <w:t>20</w:t>
        </w:r>
        <w:r>
          <w:fldChar w:fldCharType="end"/>
        </w:r>
      </w:p>
    </w:sdtContent>
  </w:sdt>
  <w:p w14:paraId="06375CCA" w14:textId="77777777" w:rsidR="00EA1B19" w:rsidRDefault="00EA1B19" w:rsidP="00F7571F">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60EF0" w14:textId="77777777" w:rsidR="0088197B" w:rsidRDefault="0088197B" w:rsidP="00EA1B19">
      <w:pPr>
        <w:spacing w:after="0" w:line="240" w:lineRule="auto"/>
      </w:pPr>
      <w:r>
        <w:separator/>
      </w:r>
    </w:p>
  </w:footnote>
  <w:footnote w:type="continuationSeparator" w:id="0">
    <w:p w14:paraId="4F27B792" w14:textId="77777777" w:rsidR="0088197B" w:rsidRDefault="0088197B" w:rsidP="00EA1B19">
      <w:pPr>
        <w:spacing w:after="0" w:line="240" w:lineRule="auto"/>
      </w:pPr>
      <w:r>
        <w:continuationSeparator/>
      </w:r>
    </w:p>
  </w:footnote>
  <w:footnote w:id="1">
    <w:p w14:paraId="172FDA6C" w14:textId="77777777" w:rsidR="00EA1B19" w:rsidRDefault="00EA1B19" w:rsidP="00EA1B19">
      <w:r w:rsidRPr="00D86CA8">
        <w:rPr>
          <w:rStyle w:val="Hyperlink"/>
          <w:color w:val="000000" w:themeColor="text1"/>
        </w:rPr>
        <w:footnoteRef/>
      </w:r>
      <w:r>
        <w:t xml:space="preserve"> The supplemental file can be found in the following repository: </w:t>
      </w:r>
      <w:r w:rsidRPr="002F65ED">
        <w:t>https://github.com/prenticecr/211.git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071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19"/>
    <w:rsid w:val="00013591"/>
    <w:rsid w:val="0005502C"/>
    <w:rsid w:val="00291A15"/>
    <w:rsid w:val="003232B6"/>
    <w:rsid w:val="00424D47"/>
    <w:rsid w:val="00445748"/>
    <w:rsid w:val="00553D85"/>
    <w:rsid w:val="00600029"/>
    <w:rsid w:val="00705FC9"/>
    <w:rsid w:val="00827231"/>
    <w:rsid w:val="0088197B"/>
    <w:rsid w:val="009303D1"/>
    <w:rsid w:val="00974CCC"/>
    <w:rsid w:val="00A15C7A"/>
    <w:rsid w:val="00A44351"/>
    <w:rsid w:val="00A44F5C"/>
    <w:rsid w:val="00A85996"/>
    <w:rsid w:val="00B04028"/>
    <w:rsid w:val="00B26229"/>
    <w:rsid w:val="00B421DD"/>
    <w:rsid w:val="00B7132D"/>
    <w:rsid w:val="00BF0B43"/>
    <w:rsid w:val="00D86CA8"/>
    <w:rsid w:val="00EA1B19"/>
    <w:rsid w:val="00F7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E214A"/>
  <w15:chartTrackingRefBased/>
  <w15:docId w15:val="{1E736B3F-2A24-F042-AFB7-3CCC6FF1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B19"/>
    <w:pPr>
      <w:spacing w:after="160" w:line="259" w:lineRule="auto"/>
    </w:pPr>
    <w:rPr>
      <w:sz w:val="22"/>
      <w:szCs w:val="22"/>
    </w:rPr>
  </w:style>
  <w:style w:type="paragraph" w:styleId="Heading1">
    <w:name w:val="heading 1"/>
    <w:basedOn w:val="Normal"/>
    <w:next w:val="Normal"/>
    <w:link w:val="Heading1Char"/>
    <w:uiPriority w:val="9"/>
    <w:qFormat/>
    <w:rsid w:val="00EA1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B1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sid w:val="00EA1B19"/>
    <w:rPr>
      <w:rFonts w:ascii="Segoe UI" w:hAnsi="Segoe UI" w:cs="Segoe UI"/>
      <w:sz w:val="18"/>
      <w:szCs w:val="18"/>
    </w:rPr>
  </w:style>
  <w:style w:type="paragraph" w:styleId="BalloonText">
    <w:name w:val="Balloon Text"/>
    <w:basedOn w:val="Normal"/>
    <w:link w:val="BalloonTextChar"/>
    <w:uiPriority w:val="99"/>
    <w:semiHidden/>
    <w:unhideWhenUsed/>
    <w:rsid w:val="00EA1B19"/>
    <w:pPr>
      <w:spacing w:after="0" w:line="240" w:lineRule="auto"/>
    </w:pPr>
    <w:rPr>
      <w:rFonts w:ascii="Segoe UI" w:hAnsi="Segoe UI" w:cs="Segoe UI"/>
      <w:sz w:val="18"/>
      <w:szCs w:val="18"/>
    </w:rPr>
  </w:style>
  <w:style w:type="character" w:customStyle="1" w:styleId="CommentTextChar">
    <w:name w:val="Comment Text Char"/>
    <w:basedOn w:val="DefaultParagraphFont"/>
    <w:link w:val="CommentText"/>
    <w:uiPriority w:val="99"/>
    <w:semiHidden/>
    <w:rsid w:val="00EA1B19"/>
    <w:rPr>
      <w:sz w:val="20"/>
      <w:szCs w:val="20"/>
    </w:rPr>
  </w:style>
  <w:style w:type="paragraph" w:styleId="CommentText">
    <w:name w:val="annotation text"/>
    <w:basedOn w:val="Normal"/>
    <w:link w:val="CommentTextChar"/>
    <w:uiPriority w:val="99"/>
    <w:semiHidden/>
    <w:unhideWhenUsed/>
    <w:rsid w:val="00EA1B19"/>
    <w:pPr>
      <w:spacing w:line="240" w:lineRule="auto"/>
    </w:pPr>
    <w:rPr>
      <w:sz w:val="20"/>
      <w:szCs w:val="20"/>
    </w:rPr>
  </w:style>
  <w:style w:type="character" w:customStyle="1" w:styleId="CommentSubjectChar">
    <w:name w:val="Comment Subject Char"/>
    <w:basedOn w:val="CommentTextChar"/>
    <w:link w:val="CommentSubject"/>
    <w:uiPriority w:val="99"/>
    <w:semiHidden/>
    <w:rsid w:val="00EA1B19"/>
    <w:rPr>
      <w:b/>
      <w:bCs/>
      <w:sz w:val="20"/>
      <w:szCs w:val="20"/>
    </w:rPr>
  </w:style>
  <w:style w:type="paragraph" w:styleId="CommentSubject">
    <w:name w:val="annotation subject"/>
    <w:basedOn w:val="CommentText"/>
    <w:next w:val="CommentText"/>
    <w:link w:val="CommentSubjectChar"/>
    <w:uiPriority w:val="99"/>
    <w:semiHidden/>
    <w:unhideWhenUsed/>
    <w:rsid w:val="00EA1B19"/>
    <w:rPr>
      <w:b/>
      <w:bCs/>
    </w:rPr>
  </w:style>
  <w:style w:type="paragraph" w:styleId="ListParagraph">
    <w:name w:val="List Paragraph"/>
    <w:basedOn w:val="Normal"/>
    <w:uiPriority w:val="34"/>
    <w:qFormat/>
    <w:rsid w:val="00EA1B19"/>
    <w:pPr>
      <w:ind w:left="720"/>
      <w:contextualSpacing/>
    </w:pPr>
  </w:style>
  <w:style w:type="paragraph" w:styleId="FootnoteText">
    <w:name w:val="footnote text"/>
    <w:basedOn w:val="Normal"/>
    <w:link w:val="FootnoteTextChar"/>
    <w:uiPriority w:val="99"/>
    <w:semiHidden/>
    <w:unhideWhenUsed/>
    <w:rsid w:val="00EA1B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1B19"/>
    <w:rPr>
      <w:sz w:val="20"/>
      <w:szCs w:val="20"/>
    </w:rPr>
  </w:style>
  <w:style w:type="character" w:styleId="FootnoteReference">
    <w:name w:val="footnote reference"/>
    <w:basedOn w:val="DefaultParagraphFont"/>
    <w:uiPriority w:val="99"/>
    <w:semiHidden/>
    <w:unhideWhenUsed/>
    <w:rsid w:val="00EA1B19"/>
    <w:rPr>
      <w:vertAlign w:val="superscript"/>
    </w:rPr>
  </w:style>
  <w:style w:type="table" w:styleId="TableGrid">
    <w:name w:val="Table Grid"/>
    <w:basedOn w:val="TableNormal"/>
    <w:uiPriority w:val="39"/>
    <w:rsid w:val="00EA1B1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1B19"/>
    <w:rPr>
      <w:color w:val="0563C1" w:themeColor="hyperlink"/>
      <w:u w:val="single"/>
    </w:rPr>
  </w:style>
  <w:style w:type="paragraph" w:styleId="Header">
    <w:name w:val="header"/>
    <w:basedOn w:val="Normal"/>
    <w:link w:val="HeaderChar"/>
    <w:uiPriority w:val="99"/>
    <w:unhideWhenUsed/>
    <w:rsid w:val="00EA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B19"/>
    <w:rPr>
      <w:sz w:val="22"/>
      <w:szCs w:val="22"/>
    </w:rPr>
  </w:style>
  <w:style w:type="paragraph" w:styleId="Footer">
    <w:name w:val="footer"/>
    <w:basedOn w:val="Normal"/>
    <w:link w:val="FooterChar"/>
    <w:uiPriority w:val="99"/>
    <w:unhideWhenUsed/>
    <w:rsid w:val="00EA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B19"/>
    <w:rPr>
      <w:sz w:val="22"/>
      <w:szCs w:val="22"/>
    </w:rPr>
  </w:style>
  <w:style w:type="character" w:styleId="PageNumber">
    <w:name w:val="page number"/>
    <w:basedOn w:val="DefaultParagraphFont"/>
    <w:uiPriority w:val="99"/>
    <w:semiHidden/>
    <w:unhideWhenUsed/>
    <w:rsid w:val="00EA1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5895-003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orcid.org/0000-0003-0959-117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enticecr@uncw.edu"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orcid.org/%200000-0003-1367-0866" TargetMode="External"/><Relationship Id="rId4" Type="http://schemas.openxmlformats.org/officeDocument/2006/relationships/webSettings" Target="webSettings.xml"/><Relationship Id="rId9" Type="http://schemas.openxmlformats.org/officeDocument/2006/relationships/hyperlink" Target="https://orcid.org/0000-0001-6559-4119"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17597</Words>
  <Characters>100305</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Prentice, Christopher</dc:creator>
  <cp:keywords/>
  <dc:description/>
  <cp:lastModifiedBy>Prentice, Christopher</cp:lastModifiedBy>
  <cp:revision>3</cp:revision>
  <dcterms:created xsi:type="dcterms:W3CDTF">2021-12-30T19:11:00Z</dcterms:created>
  <dcterms:modified xsi:type="dcterms:W3CDTF">2021-12-30T19:40:00Z</dcterms:modified>
</cp:coreProperties>
</file>