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numPr>
          <w:ilvl w:val="0"/>
          <w:numId w:val="1"/>
        </w:numPr>
        <w:ind w:left="720" w:hanging="360"/>
      </w:pPr>
      <w:bookmarkStart w:colFirst="0" w:colLast="0" w:name="_x43gscz22n3z" w:id="0"/>
      <w:bookmarkEnd w:id="0"/>
      <w:r w:rsidDel="00000000" w:rsidR="00000000" w:rsidRPr="00000000">
        <w:rPr>
          <w:rtl w:val="0"/>
        </w:rPr>
        <w:t xml:space="preserve">Generate consensus sequence: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a copy of the final VCF file (final_variants.vcf) with a new name (final_variants.phageD.vcf).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Compress the copied VCF file using </w:t>
      </w:r>
      <w:r w:rsidDel="00000000" w:rsidR="00000000" w:rsidRPr="00000000">
        <w:rPr>
          <w:rtl w:val="0"/>
        </w:rPr>
        <w:t xml:space="preserve">bgzip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an index file for the compressed VCF file using bcftools index.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bcftools consensus to generate a consensus sequence from the reference genome and the compressed VCF file.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Specify the output file as final.consensus.fasta in the sample's mapping directory.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>
      <w:b w:val="1"/>
      <w:i w:val="1"/>
      <w:color w:val="0000ff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