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C39B" w14:textId="571A9004" w:rsidR="00447362" w:rsidRDefault="00447362" w:rsidP="00447362">
      <w:pPr>
        <w:jc w:val="right"/>
        <w:rPr>
          <w:rFonts w:ascii="Roman times" w:hAnsi="Roman times"/>
        </w:rPr>
      </w:pPr>
    </w:p>
    <w:p w14:paraId="2F294FC5" w14:textId="5D81DD16" w:rsidR="00447362" w:rsidRDefault="00447362" w:rsidP="00447362">
      <w:pPr>
        <w:jc w:val="center"/>
        <w:rPr>
          <w:rFonts w:ascii="Roman times" w:hAnsi="Roman times"/>
        </w:rPr>
      </w:pPr>
      <w:r>
        <w:rPr>
          <w:rFonts w:ascii="Roman times" w:hAnsi="Roman times"/>
        </w:rPr>
        <w:t>Adaptive Staircase Experiment</w:t>
      </w:r>
    </w:p>
    <w:p w14:paraId="6C986585" w14:textId="0DD5C8B7" w:rsidR="00447362" w:rsidRDefault="00447362" w:rsidP="00447362">
      <w:pPr>
        <w:jc w:val="center"/>
        <w:rPr>
          <w:rFonts w:ascii="Roman times" w:hAnsi="Roman times"/>
        </w:rPr>
      </w:pPr>
      <w:r>
        <w:rPr>
          <w:rFonts w:ascii="Roman times" w:hAnsi="Roman times"/>
        </w:rPr>
        <w:t>Psy:310 Lab in Psychology</w:t>
      </w:r>
    </w:p>
    <w:p w14:paraId="27DA211B" w14:textId="44911B6C" w:rsidR="00447362" w:rsidRDefault="00447362" w:rsidP="00447362">
      <w:pPr>
        <w:jc w:val="center"/>
        <w:rPr>
          <w:rFonts w:ascii="Roman times" w:hAnsi="Roman times"/>
        </w:rPr>
      </w:pPr>
      <w:r>
        <w:rPr>
          <w:rFonts w:ascii="Roman times" w:hAnsi="Roman times"/>
        </w:rPr>
        <w:t>Professor Nithin George</w:t>
      </w:r>
    </w:p>
    <w:p w14:paraId="3715C2BA" w14:textId="77777777" w:rsidR="00447362" w:rsidRDefault="00447362">
      <w:pPr>
        <w:rPr>
          <w:rFonts w:ascii="Roman times" w:hAnsi="Roman times"/>
        </w:rPr>
      </w:pPr>
    </w:p>
    <w:p w14:paraId="26363C00" w14:textId="5EE5F5DB" w:rsidR="003E1CB3" w:rsidRPr="00447362" w:rsidRDefault="00DD6FB7">
      <w:pPr>
        <w:rPr>
          <w:rFonts w:ascii="Roman times" w:hAnsi="Roman times"/>
        </w:rPr>
      </w:pPr>
      <w:r w:rsidRPr="00447362">
        <w:rPr>
          <w:rFonts w:ascii="Roman times" w:hAnsi="Roman times"/>
        </w:rPr>
        <w:t>The adaptive staircase method is a psychophysical procedure used in experimental psychology, mainly in perception experiments, to establish thresholds, visual or auditory,</w:t>
      </w:r>
      <w:r w:rsidRPr="00447362">
        <w:rPr>
          <w:rFonts w:ascii="Roman times" w:hAnsi="Roman times"/>
        </w:rPr>
        <w:t xml:space="preserve"> etc. For each stimulus presented</w:t>
      </w:r>
      <w:r w:rsidRPr="00447362">
        <w:rPr>
          <w:rFonts w:ascii="Roman times" w:hAnsi="Roman times"/>
        </w:rPr>
        <w:t>, the participant is asked to describe</w:t>
      </w:r>
      <w:r w:rsidRPr="00447362">
        <w:rPr>
          <w:rFonts w:ascii="Roman times" w:hAnsi="Roman times"/>
        </w:rPr>
        <w:t xml:space="preserve"> his/her perception of the stimulus by answering a </w:t>
      </w:r>
      <w:r w:rsidRPr="00447362">
        <w:rPr>
          <w:rFonts w:ascii="Roman times" w:hAnsi="Roman times"/>
        </w:rPr>
        <w:t>forced-choice</w:t>
      </w:r>
      <w:r w:rsidRPr="00447362">
        <w:rPr>
          <w:rFonts w:ascii="Roman times" w:hAnsi="Roman times"/>
        </w:rPr>
        <w:t xml:space="preserve"> question. If the participant gives a correct response for the trial, then the </w:t>
      </w:r>
      <w:r w:rsidRPr="00447362">
        <w:rPr>
          <w:rFonts w:ascii="Roman times" w:hAnsi="Roman times"/>
        </w:rPr>
        <w:t>subsequent</w:t>
      </w:r>
      <w:r w:rsidRPr="00447362">
        <w:rPr>
          <w:rFonts w:ascii="Roman times" w:hAnsi="Roman times"/>
        </w:rPr>
        <w:t xml:space="preserve"> trial becomes </w:t>
      </w:r>
      <w:r w:rsidRPr="00447362">
        <w:rPr>
          <w:rFonts w:ascii="Roman times" w:hAnsi="Roman times"/>
        </w:rPr>
        <w:t>more complex</w:t>
      </w:r>
      <w:r w:rsidRPr="00447362">
        <w:rPr>
          <w:rFonts w:ascii="Roman times" w:hAnsi="Roman times"/>
        </w:rPr>
        <w:t xml:space="preserve"> (stimulus is weakened or strengthened).</w:t>
      </w:r>
      <w:r w:rsidRPr="00447362">
        <w:rPr>
          <w:rFonts w:ascii="Roman times" w:hAnsi="Roman times"/>
        </w:rPr>
        <w:br/>
        <w:t xml:space="preserve">If the participant provides an incorrect answer, then the probability (of the stimulus to occur) rises or the stimulus is made </w:t>
      </w:r>
      <w:r w:rsidRPr="00447362">
        <w:rPr>
          <w:rFonts w:ascii="Roman times" w:hAnsi="Roman times"/>
        </w:rPr>
        <w:t>more accessible</w:t>
      </w:r>
      <w:r w:rsidRPr="00447362">
        <w:rPr>
          <w:rFonts w:ascii="Roman times" w:hAnsi="Roman times"/>
        </w:rPr>
        <w:t>.</w:t>
      </w:r>
      <w:r w:rsidRPr="00447362">
        <w:rPr>
          <w:rFonts w:ascii="Roman times" w:hAnsi="Roman times"/>
        </w:rPr>
        <w:br/>
      </w:r>
      <w:r w:rsidRPr="00447362">
        <w:rPr>
          <w:rFonts w:ascii="Roman times" w:hAnsi="Roman times"/>
        </w:rPr>
        <w:t>The following literature describes several approaches for ascertaining the intensive value that signifies the cut-off point</w:t>
      </w:r>
      <w:r w:rsidRPr="00447362">
        <w:rPr>
          <w:rFonts w:ascii="Roman times" w:hAnsi="Roman times"/>
        </w:rPr>
        <w:t xml:space="preserve">. The simplest is </w:t>
      </w:r>
      <w:r w:rsidR="00E51241" w:rsidRPr="00447362">
        <w:rPr>
          <w:rFonts w:ascii="Roman times" w:hAnsi="Roman times"/>
        </w:rPr>
        <w:t>calculating</w:t>
      </w:r>
      <w:r w:rsidRPr="00447362">
        <w:rPr>
          <w:rFonts w:ascii="Roman times" w:hAnsi="Roman times"/>
        </w:rPr>
        <w:t xml:space="preserve"> the average values of </w:t>
      </w:r>
      <w:r w:rsidR="00E51241" w:rsidRPr="00447362">
        <w:rPr>
          <w:rFonts w:ascii="Roman times" w:hAnsi="Roman times"/>
        </w:rPr>
        <w:t xml:space="preserve">certain </w:t>
      </w:r>
      <w:r w:rsidRPr="00447362">
        <w:rPr>
          <w:rFonts w:ascii="Roman times" w:hAnsi="Roman times"/>
        </w:rPr>
        <w:t xml:space="preserve">stimuli administered after the series has attained its ultimate value. This means </w:t>
      </w:r>
      <w:r w:rsidRPr="00447362">
        <w:rPr>
          <w:rFonts w:ascii="Roman times" w:hAnsi="Roman times"/>
        </w:rPr>
        <w:t xml:space="preserve">an assumption must be </w:t>
      </w:r>
      <w:r w:rsidRPr="00447362">
        <w:rPr>
          <w:rFonts w:ascii="Roman times" w:hAnsi="Roman times"/>
        </w:rPr>
        <w:t xml:space="preserve">made </w:t>
      </w:r>
      <w:r w:rsidRPr="00447362">
        <w:rPr>
          <w:rFonts w:ascii="Roman times" w:hAnsi="Roman times"/>
        </w:rPr>
        <w:t>to</w:t>
      </w:r>
      <w:r w:rsidRPr="00447362">
        <w:rPr>
          <w:rFonts w:ascii="Roman times" w:hAnsi="Roman times"/>
        </w:rPr>
        <w:t xml:space="preserve"> decide when the last level has been obtained. The technique</w:t>
      </w:r>
      <w:r w:rsidRPr="00447362">
        <w:rPr>
          <w:rFonts w:ascii="Roman times" w:hAnsi="Roman times"/>
        </w:rPr>
        <w:t xml:space="preserve"> that does not encounter this problem and gives a 50 % number</w:t>
      </w:r>
      <w:r w:rsidRPr="00447362">
        <w:rPr>
          <w:rFonts w:ascii="Roman times" w:hAnsi="Roman times"/>
        </w:rPr>
        <w:t xml:space="preserve"> is to calculate it.</w:t>
      </w:r>
      <w:r w:rsidRPr="00447362">
        <w:rPr>
          <w:rFonts w:ascii="Roman times" w:hAnsi="Roman times"/>
        </w:rPr>
        <w:br/>
      </w:r>
      <w:r w:rsidRPr="00447362">
        <w:rPr>
          <w:rFonts w:ascii="Roman times" w:hAnsi="Roman times"/>
        </w:rPr>
        <w:t>Stimulus</w:t>
      </w:r>
      <w:r w:rsidRPr="00447362">
        <w:rPr>
          <w:rFonts w:ascii="Roman times" w:hAnsi="Roman times"/>
        </w:rPr>
        <w:t xml:space="preserve">, </w:t>
      </w:r>
      <w:r w:rsidRPr="00447362">
        <w:rPr>
          <w:rFonts w:ascii="Roman times" w:hAnsi="Roman times"/>
        </w:rPr>
        <w:t>more significant</w:t>
      </w:r>
      <w:r w:rsidRPr="00447362">
        <w:rPr>
          <w:rFonts w:ascii="Roman times" w:hAnsi="Roman times"/>
        </w:rPr>
        <w:t xml:space="preserve"> than which, the proportion of responses ‘yes,’ is fifty percent.</w:t>
      </w:r>
      <w:r w:rsidRPr="00447362">
        <w:rPr>
          <w:rFonts w:ascii="Roman times" w:hAnsi="Roman times"/>
        </w:rPr>
        <w:br/>
        <w:t xml:space="preserve">The main aim is to identify </w:t>
      </w:r>
      <w:r w:rsidRPr="00447362">
        <w:rPr>
          <w:rFonts w:ascii="Roman times" w:hAnsi="Roman times"/>
        </w:rPr>
        <w:t>the intensity at which the participant can identify the stimulus in a given way (e.g., 50% or 75% of the time</w:t>
      </w:r>
      <w:r w:rsidRPr="00447362">
        <w:rPr>
          <w:rFonts w:ascii="Roman times" w:hAnsi="Roman times"/>
        </w:rPr>
        <w:t>).</w:t>
      </w:r>
      <w:r w:rsidRPr="00447362">
        <w:rPr>
          <w:rFonts w:ascii="Roman times" w:hAnsi="Roman times"/>
        </w:rPr>
        <w:br/>
        <w:t xml:space="preserve">Kuhn’s experiment </w:t>
      </w:r>
      <w:r w:rsidRPr="00447362">
        <w:rPr>
          <w:rFonts w:ascii="Roman times" w:hAnsi="Roman times"/>
        </w:rPr>
        <w:t>is generally</w:t>
      </w:r>
      <w:r w:rsidRPr="00447362">
        <w:rPr>
          <w:rFonts w:ascii="Roman times" w:hAnsi="Roman times"/>
        </w:rPr>
        <w:t xml:space="preserve"> done in </w:t>
      </w:r>
      <w:r w:rsidRPr="00447362">
        <w:rPr>
          <w:rFonts w:ascii="Roman times" w:hAnsi="Roman times"/>
        </w:rPr>
        <w:t>several</w:t>
      </w:r>
      <w:r w:rsidRPr="00447362">
        <w:rPr>
          <w:rFonts w:ascii="Roman times" w:hAnsi="Roman times"/>
        </w:rPr>
        <w:t xml:space="preserve"> trials, and as the staircase proceeds, it defines the exact threshold.</w:t>
      </w:r>
      <w:r w:rsidRPr="00447362">
        <w:rPr>
          <w:rFonts w:ascii="Roman times" w:hAnsi="Roman times"/>
        </w:rPr>
        <w:br/>
      </w:r>
      <w:r w:rsidR="00E51241" w:rsidRPr="00447362">
        <w:rPr>
          <w:rFonts w:ascii="Roman times" w:hAnsi="Roman times"/>
        </w:rPr>
        <w:t>To</w:t>
      </w:r>
      <w:r w:rsidRPr="00447362">
        <w:rPr>
          <w:rFonts w:ascii="Roman times" w:hAnsi="Roman times"/>
        </w:rPr>
        <w:t xml:space="preserve"> fine-tune this threshold, the staircase may reverse directions (either increase or decrease the intensity of the stimulus).</w:t>
      </w:r>
    </w:p>
    <w:p w14:paraId="38428169" w14:textId="633B3B96" w:rsidR="00DD6FB7" w:rsidRPr="00447362" w:rsidRDefault="00E51241">
      <w:pPr>
        <w:rPr>
          <w:rFonts w:ascii="Roman times" w:hAnsi="Roman times"/>
        </w:rPr>
      </w:pPr>
      <w:r w:rsidRPr="00447362">
        <w:rPr>
          <w:rFonts w:ascii="Roman times" w:hAnsi="Roman times"/>
        </w:rPr>
        <w:t>METHOD:</w:t>
      </w:r>
    </w:p>
    <w:p w14:paraId="2255582A" w14:textId="23D1BD15" w:rsidR="009947F7" w:rsidRPr="009947F7" w:rsidRDefault="009947F7" w:rsidP="009947F7">
      <w:pPr>
        <w:rPr>
          <w:rFonts w:ascii="Roman times" w:hAnsi="Roman times"/>
        </w:rPr>
      </w:pPr>
      <w:r w:rsidRPr="009947F7">
        <w:rPr>
          <w:rFonts w:ascii="Roman times" w:hAnsi="Roman times"/>
        </w:rPr>
        <w:t>The participant was an undergraduate student, 20 years old</w:t>
      </w:r>
      <w:r w:rsidRPr="00447362">
        <w:rPr>
          <w:rFonts w:ascii="Roman times" w:hAnsi="Roman times"/>
        </w:rPr>
        <w:t>,</w:t>
      </w:r>
      <w:r w:rsidRPr="009947F7">
        <w:rPr>
          <w:rFonts w:ascii="Roman times" w:hAnsi="Roman times"/>
        </w:rPr>
        <w:t xml:space="preserve"> studying at Ahmedabad University. </w:t>
      </w:r>
      <w:proofErr w:type="spellStart"/>
      <w:r w:rsidRPr="009947F7">
        <w:rPr>
          <w:rFonts w:ascii="Roman times" w:hAnsi="Roman times"/>
        </w:rPr>
        <w:t>PsychoPy</w:t>
      </w:r>
      <w:proofErr w:type="spellEnd"/>
      <w:r w:rsidRPr="009947F7">
        <w:rPr>
          <w:rFonts w:ascii="Roman times" w:hAnsi="Roman times"/>
        </w:rPr>
        <w:t xml:space="preserve"> 2024.2 (py3.8) was used to develop the experimental configuration of this </w:t>
      </w:r>
      <w:r w:rsidRPr="00447362">
        <w:rPr>
          <w:rFonts w:ascii="Roman times" w:hAnsi="Roman times"/>
        </w:rPr>
        <w:t>experiment</w:t>
      </w:r>
      <w:r w:rsidRPr="009947F7">
        <w:rPr>
          <w:rFonts w:ascii="Roman times" w:hAnsi="Roman times"/>
        </w:rPr>
        <w:t xml:space="preserve">. </w:t>
      </w:r>
      <w:r w:rsidRPr="00447362">
        <w:rPr>
          <w:rFonts w:ascii="Roman times" w:hAnsi="Roman times"/>
        </w:rPr>
        <w:t>The dimensions</w:t>
      </w:r>
      <w:r w:rsidRPr="009947F7">
        <w:rPr>
          <w:rFonts w:ascii="Roman times" w:hAnsi="Roman times"/>
        </w:rPr>
        <w:t xml:space="preserve"> of the display were that of a 14-inch monitor. </w:t>
      </w:r>
    </w:p>
    <w:p w14:paraId="3F240771" w14:textId="1946874A" w:rsidR="009947F7" w:rsidRPr="009947F7" w:rsidRDefault="009947F7" w:rsidP="009947F7">
      <w:pPr>
        <w:rPr>
          <w:rFonts w:ascii="Roman times" w:hAnsi="Roman times"/>
        </w:rPr>
      </w:pPr>
      <w:r w:rsidRPr="009947F7">
        <w:rPr>
          <w:rFonts w:ascii="Roman times" w:hAnsi="Roman times"/>
        </w:rPr>
        <w:t xml:space="preserve">In this experiment, we used </w:t>
      </w:r>
      <w:r w:rsidRPr="00447362">
        <w:rPr>
          <w:rFonts w:ascii="Roman times" w:hAnsi="Roman times"/>
        </w:rPr>
        <w:t xml:space="preserve">the staircase procedure to access the minimum intensity value of a stimulus for detection with an orientation discrimination task, which will result in participants responding correctly whether a </w:t>
      </w:r>
      <w:r w:rsidRPr="009947F7">
        <w:rPr>
          <w:rFonts w:ascii="Roman times" w:hAnsi="Roman times"/>
        </w:rPr>
        <w:t xml:space="preserve">particular grading was titled to the left or the right. The responses had to be indicated with the “left” arrow key if the stimuli </w:t>
      </w:r>
      <w:r w:rsidRPr="00447362">
        <w:rPr>
          <w:rFonts w:ascii="Roman times" w:hAnsi="Roman times"/>
        </w:rPr>
        <w:t>were tilted towards the left and with the “right” arrow key otherwise. We started with</w:t>
      </w:r>
      <w:r w:rsidRPr="009947F7">
        <w:rPr>
          <w:rFonts w:ascii="Roman times" w:hAnsi="Roman times"/>
        </w:rPr>
        <w:t xml:space="preserve"> polygon properties</w:t>
      </w:r>
      <w:r w:rsidRPr="00447362">
        <w:rPr>
          <w:rFonts w:ascii="Roman times" w:hAnsi="Roman times"/>
        </w:rPr>
        <w:t>. Then, we moved</w:t>
      </w:r>
      <w:r w:rsidRPr="009947F7">
        <w:rPr>
          <w:rFonts w:ascii="Roman times" w:hAnsi="Roman times"/>
        </w:rPr>
        <w:t xml:space="preserve"> to grating properties, changing the orientation to direction. </w:t>
      </w:r>
      <w:r w:rsidRPr="00447362">
        <w:rPr>
          <w:rFonts w:ascii="Roman times" w:hAnsi="Roman times"/>
        </w:rPr>
        <w:t>Moving</w:t>
      </w:r>
      <w:r w:rsidRPr="009947F7">
        <w:rPr>
          <w:rFonts w:ascii="Roman times" w:hAnsi="Roman times"/>
        </w:rPr>
        <w:t xml:space="preserve"> forward to keyboard properties, we changed the keys to </w:t>
      </w:r>
      <w:r w:rsidRPr="00447362">
        <w:rPr>
          <w:rFonts w:ascii="Roman times" w:hAnsi="Roman times"/>
        </w:rPr>
        <w:t xml:space="preserve">the </w:t>
      </w:r>
      <w:r w:rsidRPr="009947F7">
        <w:rPr>
          <w:rFonts w:ascii="Roman times" w:hAnsi="Roman times"/>
        </w:rPr>
        <w:t xml:space="preserve">right and left and </w:t>
      </w:r>
      <w:r w:rsidRPr="00447362">
        <w:rPr>
          <w:rFonts w:ascii="Roman times" w:hAnsi="Roman times"/>
        </w:rPr>
        <w:t>the correct answer to ‘</w:t>
      </w:r>
      <w:proofErr w:type="spellStart"/>
      <w:r w:rsidRPr="00447362">
        <w:rPr>
          <w:rFonts w:ascii="Roman times" w:hAnsi="Roman times"/>
        </w:rPr>
        <w:t>corr_resp</w:t>
      </w:r>
      <w:proofErr w:type="spellEnd"/>
      <w:r w:rsidRPr="00447362">
        <w:rPr>
          <w:rFonts w:ascii="Roman times" w:hAnsi="Roman times"/>
        </w:rPr>
        <w:t>.’</w:t>
      </w:r>
      <w:r w:rsidRPr="009947F7">
        <w:rPr>
          <w:rFonts w:ascii="Roman times" w:hAnsi="Roman times"/>
        </w:rPr>
        <w:t> </w:t>
      </w:r>
    </w:p>
    <w:p w14:paraId="47D4501A" w14:textId="5F83F30F" w:rsidR="009947F7" w:rsidRPr="009947F7" w:rsidRDefault="009947F7" w:rsidP="009947F7">
      <w:pPr>
        <w:rPr>
          <w:rFonts w:ascii="Roman times" w:hAnsi="Roman times"/>
        </w:rPr>
      </w:pPr>
      <w:r w:rsidRPr="009947F7">
        <w:rPr>
          <w:rFonts w:ascii="Roman times" w:hAnsi="Roman times"/>
        </w:rPr>
        <w:t>We then provided two routines</w:t>
      </w:r>
      <w:r w:rsidRPr="00447362">
        <w:rPr>
          <w:rFonts w:ascii="Roman times" w:hAnsi="Roman times"/>
        </w:rPr>
        <w:t>, one for the beginning and the second for the end routine, by providing a 50:50 probability for beginning the routine, and for the end routine, we offered a code; if the answer is correct,</w:t>
      </w:r>
      <w:r w:rsidRPr="009947F7">
        <w:rPr>
          <w:rFonts w:ascii="Roman times" w:hAnsi="Roman times"/>
        </w:rPr>
        <w:t xml:space="preserve"> then it will show 1 in our data and 0 if it is incorrect. </w:t>
      </w:r>
      <w:r w:rsidRPr="00447362">
        <w:rPr>
          <w:rFonts w:ascii="Roman times" w:hAnsi="Roman times"/>
        </w:rPr>
        <w:t>We</w:t>
      </w:r>
      <w:r w:rsidRPr="009947F7">
        <w:rPr>
          <w:rFonts w:ascii="Roman times" w:hAnsi="Roman times"/>
        </w:rPr>
        <w:t xml:space="preserve"> then ended the </w:t>
      </w:r>
      <w:proofErr w:type="spellStart"/>
      <w:r w:rsidRPr="009947F7">
        <w:rPr>
          <w:rFonts w:ascii="Roman times" w:hAnsi="Roman times"/>
        </w:rPr>
        <w:t>psychopy</w:t>
      </w:r>
      <w:proofErr w:type="spellEnd"/>
      <w:r w:rsidRPr="009947F7">
        <w:rPr>
          <w:rFonts w:ascii="Roman times" w:hAnsi="Roman times"/>
        </w:rPr>
        <w:t xml:space="preserve"> function </w:t>
      </w:r>
      <w:r w:rsidRPr="00447362">
        <w:rPr>
          <w:rFonts w:ascii="Roman times" w:hAnsi="Roman times"/>
        </w:rPr>
        <w:t>by</w:t>
      </w:r>
      <w:r w:rsidRPr="009947F7">
        <w:rPr>
          <w:rFonts w:ascii="Roman times" w:hAnsi="Roman times"/>
        </w:rPr>
        <w:t xml:space="preserve"> adding loop properties with</w:t>
      </w:r>
      <w:r w:rsidRPr="00447362">
        <w:rPr>
          <w:rFonts w:ascii="Roman times" w:hAnsi="Roman times"/>
        </w:rPr>
        <w:t xml:space="preserve"> a</w:t>
      </w:r>
      <w:r w:rsidRPr="009947F7">
        <w:rPr>
          <w:rFonts w:ascii="Roman times" w:hAnsi="Roman times"/>
        </w:rPr>
        <w:t xml:space="preserve"> staircase loop. </w:t>
      </w:r>
    </w:p>
    <w:p w14:paraId="4343F63E" w14:textId="77777777" w:rsidR="009947F7" w:rsidRPr="00447362" w:rsidRDefault="009947F7">
      <w:pPr>
        <w:rPr>
          <w:rFonts w:ascii="Roman times" w:hAnsi="Roman times"/>
        </w:rPr>
      </w:pPr>
      <w:r w:rsidRPr="00447362">
        <w:rPr>
          <w:rFonts w:ascii="Roman times" w:hAnsi="Roman times"/>
        </w:rPr>
        <w:t>We</w:t>
      </w:r>
      <w:r w:rsidRPr="009947F7">
        <w:rPr>
          <w:rFonts w:ascii="Roman times" w:hAnsi="Roman times"/>
        </w:rPr>
        <w:t xml:space="preserve"> ended our experiment by running the experiment, where we </w:t>
      </w:r>
      <w:r w:rsidRPr="00447362">
        <w:rPr>
          <w:rFonts w:ascii="Roman times" w:hAnsi="Roman times"/>
        </w:rPr>
        <w:t>could</w:t>
      </w:r>
      <w:r w:rsidRPr="009947F7">
        <w:rPr>
          <w:rFonts w:ascii="Roman times" w:hAnsi="Roman times"/>
        </w:rPr>
        <w:t xml:space="preserve"> discriminate the orientation.</w:t>
      </w:r>
    </w:p>
    <w:p w14:paraId="4AF66EDE" w14:textId="5BCA2AEF" w:rsidR="00E51241" w:rsidRPr="00447362" w:rsidRDefault="009947F7">
      <w:pPr>
        <w:rPr>
          <w:rFonts w:ascii="Roman times" w:hAnsi="Roman times"/>
        </w:rPr>
      </w:pPr>
      <w:r w:rsidRPr="00447362">
        <w:rPr>
          <w:rFonts w:ascii="Roman times" w:hAnsi="Roman times"/>
        </w:rPr>
        <w:t xml:space="preserve">By ending the experiment, we received Excel data, and I calculated the absolute threshold with the mean formula. I received 14.5 as my absolute threshold value. </w:t>
      </w:r>
    </w:p>
    <w:p w14:paraId="5DDA5A08" w14:textId="77777777" w:rsidR="009947F7" w:rsidRPr="00447362" w:rsidRDefault="009947F7">
      <w:pPr>
        <w:rPr>
          <w:rFonts w:ascii="Roman times" w:hAnsi="Roman times"/>
        </w:rPr>
      </w:pPr>
    </w:p>
    <w:p w14:paraId="13D10A51" w14:textId="77777777" w:rsidR="009947F7" w:rsidRPr="00447362" w:rsidRDefault="009947F7">
      <w:pPr>
        <w:rPr>
          <w:rFonts w:ascii="Roman times" w:hAnsi="Roman times"/>
        </w:rPr>
      </w:pPr>
    </w:p>
    <w:p w14:paraId="7B73937C" w14:textId="77777777" w:rsidR="009947F7" w:rsidRPr="00447362" w:rsidRDefault="009947F7">
      <w:pPr>
        <w:rPr>
          <w:rFonts w:ascii="Roman times" w:hAnsi="Roman times"/>
        </w:rPr>
      </w:pPr>
    </w:p>
    <w:p w14:paraId="42DA5921" w14:textId="77777777" w:rsidR="009947F7" w:rsidRPr="00447362" w:rsidRDefault="009947F7">
      <w:pPr>
        <w:rPr>
          <w:rFonts w:ascii="Roman times" w:hAnsi="Roman times"/>
        </w:rPr>
      </w:pPr>
    </w:p>
    <w:p w14:paraId="66F4F402" w14:textId="1EFED797" w:rsidR="00225CA6" w:rsidRPr="00447362" w:rsidRDefault="00225CA6">
      <w:pPr>
        <w:rPr>
          <w:rFonts w:ascii="Roman times" w:hAnsi="Roman times"/>
        </w:rPr>
      </w:pPr>
    </w:p>
    <w:p w14:paraId="26EE8E4E" w14:textId="31A1727B" w:rsidR="009947F7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</w:rPr>
        <w:t>Tilt Intensity:</w:t>
      </w:r>
    </w:p>
    <w:p w14:paraId="375ABCE4" w14:textId="1BD944BC" w:rsidR="00DD6FB7" w:rsidRPr="00447362" w:rsidRDefault="009947F7">
      <w:pPr>
        <w:rPr>
          <w:rFonts w:ascii="Roman times" w:hAnsi="Roman times"/>
        </w:rPr>
      </w:pPr>
      <w:r w:rsidRPr="00447362">
        <w:rPr>
          <w:rFonts w:ascii="Roman times" w:hAnsi="Roman times"/>
          <w:noProof/>
        </w:rPr>
        <w:drawing>
          <wp:inline distT="0" distB="0" distL="0" distR="0" wp14:anchorId="792EAEAB" wp14:editId="0EEFD62D">
            <wp:extent cx="4572000" cy="2743200"/>
            <wp:effectExtent l="0" t="0" r="0" b="0"/>
            <wp:docPr id="866095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0B5CBE-F37C-40D5-2476-611DFDD17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81E572" w14:textId="77777777" w:rsidR="00225CA6" w:rsidRPr="00447362" w:rsidRDefault="00225CA6">
      <w:pPr>
        <w:rPr>
          <w:rFonts w:ascii="Roman times" w:hAnsi="Roman times"/>
        </w:rPr>
      </w:pPr>
    </w:p>
    <w:p w14:paraId="6F8725EA" w14:textId="3A913D4B" w:rsidR="00225CA6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</w:rPr>
        <w:t>Key Response intensity:</w:t>
      </w:r>
    </w:p>
    <w:p w14:paraId="2D2CFE2C" w14:textId="77777777" w:rsidR="00DD6FB7" w:rsidRPr="00447362" w:rsidRDefault="00DD6FB7">
      <w:pPr>
        <w:rPr>
          <w:rFonts w:ascii="Roman times" w:hAnsi="Roman times"/>
        </w:rPr>
      </w:pPr>
    </w:p>
    <w:p w14:paraId="3C6EBB97" w14:textId="120A7C26" w:rsidR="00225CA6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  <w:noProof/>
        </w:rPr>
        <w:drawing>
          <wp:inline distT="0" distB="0" distL="0" distR="0" wp14:anchorId="37496C09" wp14:editId="16C271E2">
            <wp:extent cx="4733925" cy="2743200"/>
            <wp:effectExtent l="0" t="0" r="9525" b="0"/>
            <wp:docPr id="8237086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F60E4D-FDE4-953E-9FB4-183C8D9C1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887970" w14:textId="77777777" w:rsidR="00225CA6" w:rsidRPr="00447362" w:rsidRDefault="00225CA6">
      <w:pPr>
        <w:rPr>
          <w:rFonts w:ascii="Roman times" w:hAnsi="Roman times"/>
        </w:rPr>
      </w:pPr>
    </w:p>
    <w:p w14:paraId="0E97DA45" w14:textId="4934D89E" w:rsidR="00225CA6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</w:rPr>
        <w:t>Results:</w:t>
      </w:r>
    </w:p>
    <w:p w14:paraId="0982D706" w14:textId="45F3E437" w:rsidR="00225CA6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</w:rPr>
        <w:lastRenderedPageBreak/>
        <w:t>The absolute threshold was reported to be 14.5, indicating that the participants could detect the presence of the signal. However, there were some responses that the participant could not identify.</w:t>
      </w:r>
    </w:p>
    <w:p w14:paraId="07B4B4D7" w14:textId="77777777" w:rsidR="00225CA6" w:rsidRPr="00447362" w:rsidRDefault="00225CA6">
      <w:pPr>
        <w:rPr>
          <w:rFonts w:ascii="Roman times" w:hAnsi="Roman times"/>
        </w:rPr>
      </w:pPr>
    </w:p>
    <w:p w14:paraId="651C2FD2" w14:textId="38719DE3" w:rsidR="00225CA6" w:rsidRPr="00447362" w:rsidRDefault="00225CA6">
      <w:pPr>
        <w:rPr>
          <w:rFonts w:ascii="Roman times" w:hAnsi="Roman times"/>
        </w:rPr>
      </w:pPr>
      <w:r w:rsidRPr="00447362">
        <w:rPr>
          <w:rFonts w:ascii="Roman times" w:hAnsi="Roman times"/>
        </w:rPr>
        <w:t xml:space="preserve">References: </w:t>
      </w:r>
    </w:p>
    <w:p w14:paraId="2E918346" w14:textId="77777777" w:rsidR="00447362" w:rsidRPr="00447362" w:rsidRDefault="00447362" w:rsidP="00447362">
      <w:pPr>
        <w:rPr>
          <w:rFonts w:ascii="Roman times" w:hAnsi="Roman times"/>
        </w:rPr>
      </w:pPr>
      <w:r w:rsidRPr="00447362">
        <w:rPr>
          <w:rFonts w:ascii="Roman times" w:hAnsi="Roman times"/>
        </w:rPr>
        <w:t>Zenner, A. (n.d.). The staircase procedure toolkit: Psychophysical detection ... </w:t>
      </w:r>
      <w:hyperlink r:id="rId6" w:tgtFrame="_blank" w:history="1">
        <w:r w:rsidRPr="00447362">
          <w:rPr>
            <w:rStyle w:val="Hyperlink"/>
            <w:rFonts w:ascii="Roman times" w:hAnsi="Roman times"/>
          </w:rPr>
          <w:t>https://umtl.cs.uni-saarland.de/paper_preprints/zenner-staircase-toolkit-vrst-23-pre-print.pdf</w:t>
        </w:r>
      </w:hyperlink>
      <w:r w:rsidRPr="00447362">
        <w:rPr>
          <w:rFonts w:ascii="Roman times" w:hAnsi="Roman times"/>
        </w:rPr>
        <w:t> </w:t>
      </w:r>
    </w:p>
    <w:p w14:paraId="1F65D159" w14:textId="77777777" w:rsidR="00447362" w:rsidRPr="00447362" w:rsidRDefault="00447362" w:rsidP="00447362">
      <w:pPr>
        <w:rPr>
          <w:rFonts w:ascii="Roman times" w:hAnsi="Roman times"/>
        </w:rPr>
      </w:pPr>
    </w:p>
    <w:p w14:paraId="201D10A9" w14:textId="77777777" w:rsidR="00447362" w:rsidRPr="00447362" w:rsidRDefault="00447362" w:rsidP="00447362">
      <w:pPr>
        <w:rPr>
          <w:rFonts w:ascii="Roman times" w:hAnsi="Roman times"/>
          <w:lang w:val="en-US"/>
        </w:rPr>
      </w:pPr>
      <w:proofErr w:type="spellStart"/>
      <w:r w:rsidRPr="00447362">
        <w:rPr>
          <w:rFonts w:ascii="Roman times" w:hAnsi="Roman times"/>
        </w:rPr>
        <w:t>Cornsweet</w:t>
      </w:r>
      <w:proofErr w:type="spellEnd"/>
      <w:r w:rsidRPr="00447362">
        <w:rPr>
          <w:rFonts w:ascii="Roman times" w:hAnsi="Roman times"/>
        </w:rPr>
        <w:t>, T. N. (1962). The Staircase-Method in Psychophysics. </w:t>
      </w:r>
      <w:r w:rsidRPr="00447362">
        <w:rPr>
          <w:rFonts w:ascii="Roman times" w:hAnsi="Roman times"/>
          <w:i/>
          <w:iCs/>
        </w:rPr>
        <w:t>The American Journal of Psychology</w:t>
      </w:r>
      <w:r w:rsidRPr="00447362">
        <w:rPr>
          <w:rFonts w:ascii="Roman times" w:hAnsi="Roman times"/>
        </w:rPr>
        <w:t>, </w:t>
      </w:r>
      <w:r w:rsidRPr="00447362">
        <w:rPr>
          <w:rFonts w:ascii="Roman times" w:hAnsi="Roman times"/>
          <w:i/>
          <w:iCs/>
        </w:rPr>
        <w:t>75</w:t>
      </w:r>
      <w:r w:rsidRPr="00447362">
        <w:rPr>
          <w:rFonts w:ascii="Roman times" w:hAnsi="Roman times"/>
        </w:rPr>
        <w:t>(3), 485–491. </w:t>
      </w:r>
      <w:hyperlink r:id="rId7" w:tgtFrame="_blank" w:history="1">
        <w:r w:rsidRPr="00447362">
          <w:rPr>
            <w:rStyle w:val="Hyperlink"/>
            <w:rFonts w:ascii="Roman times" w:hAnsi="Roman times"/>
          </w:rPr>
          <w:t>https://doi.org/10.2307/1419876</w:t>
        </w:r>
      </w:hyperlink>
    </w:p>
    <w:p w14:paraId="7F6FC641" w14:textId="77777777" w:rsidR="00225CA6" w:rsidRDefault="00225CA6"/>
    <w:sectPr w:rsidR="0022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 ti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B7"/>
    <w:rsid w:val="00225CA6"/>
    <w:rsid w:val="003E1CB3"/>
    <w:rsid w:val="00447362"/>
    <w:rsid w:val="00690CBE"/>
    <w:rsid w:val="00713011"/>
    <w:rsid w:val="009947F7"/>
    <w:rsid w:val="00DD6FB7"/>
    <w:rsid w:val="00E5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929EE"/>
  <w15:chartTrackingRefBased/>
  <w15:docId w15:val="{094BD8E9-9114-4DAB-9865-7E436667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/14198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tl.cs.uni-saarland.de/paper_preprints/zenner-staircase-toolkit-vrst-23-pre-print.pdf" TargetMode="Externa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</c:v>
                </c:pt>
                <c:pt idx="1">
                  <c:v>-8</c:v>
                </c:pt>
                <c:pt idx="2">
                  <c:v>6</c:v>
                </c:pt>
                <c:pt idx="3">
                  <c:v>-4</c:v>
                </c:pt>
                <c:pt idx="4">
                  <c:v>5</c:v>
                </c:pt>
                <c:pt idx="5">
                  <c:v>-5</c:v>
                </c:pt>
                <c:pt idx="6">
                  <c:v>6</c:v>
                </c:pt>
                <c:pt idx="7">
                  <c:v>-6</c:v>
                </c:pt>
                <c:pt idx="8">
                  <c:v>-7</c:v>
                </c:pt>
                <c:pt idx="9">
                  <c:v>-8</c:v>
                </c:pt>
                <c:pt idx="10">
                  <c:v>-9</c:v>
                </c:pt>
                <c:pt idx="11">
                  <c:v>-9</c:v>
                </c:pt>
                <c:pt idx="12">
                  <c:v>-9</c:v>
                </c:pt>
                <c:pt idx="13">
                  <c:v>-10</c:v>
                </c:pt>
                <c:pt idx="14">
                  <c:v>-11</c:v>
                </c:pt>
                <c:pt idx="15">
                  <c:v>11</c:v>
                </c:pt>
                <c:pt idx="16">
                  <c:v>-12</c:v>
                </c:pt>
                <c:pt idx="17">
                  <c:v>-12</c:v>
                </c:pt>
                <c:pt idx="18">
                  <c:v>12</c:v>
                </c:pt>
                <c:pt idx="19">
                  <c:v>-13</c:v>
                </c:pt>
                <c:pt idx="20">
                  <c:v>-13</c:v>
                </c:pt>
                <c:pt idx="21">
                  <c:v>13</c:v>
                </c:pt>
                <c:pt idx="22">
                  <c:v>14</c:v>
                </c:pt>
                <c:pt idx="23">
                  <c:v>-15</c:v>
                </c:pt>
                <c:pt idx="24">
                  <c:v>-16</c:v>
                </c:pt>
                <c:pt idx="25">
                  <c:v>17</c:v>
                </c:pt>
                <c:pt idx="26">
                  <c:v>17</c:v>
                </c:pt>
                <c:pt idx="27">
                  <c:v>18</c:v>
                </c:pt>
                <c:pt idx="28">
                  <c:v>-18</c:v>
                </c:pt>
                <c:pt idx="29">
                  <c:v>-19</c:v>
                </c:pt>
                <c:pt idx="30">
                  <c:v>20</c:v>
                </c:pt>
                <c:pt idx="31">
                  <c:v>-20</c:v>
                </c:pt>
                <c:pt idx="32">
                  <c:v>20</c:v>
                </c:pt>
                <c:pt idx="33">
                  <c:v>19</c:v>
                </c:pt>
                <c:pt idx="34">
                  <c:v>19</c:v>
                </c:pt>
                <c:pt idx="35">
                  <c:v>-19.5</c:v>
                </c:pt>
                <c:pt idx="36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19.5</c:v>
                </c:pt>
                <c:pt idx="40">
                  <c:v>-19.5</c:v>
                </c:pt>
                <c:pt idx="41">
                  <c:v>19.5</c:v>
                </c:pt>
                <c:pt idx="42">
                  <c:v>19</c:v>
                </c:pt>
                <c:pt idx="43">
                  <c:v>-19</c:v>
                </c:pt>
                <c:pt idx="44">
                  <c:v>19</c:v>
                </c:pt>
                <c:pt idx="45">
                  <c:v>-19.5</c:v>
                </c:pt>
                <c:pt idx="46">
                  <c:v>20</c:v>
                </c:pt>
                <c:pt idx="47">
                  <c:v>20</c:v>
                </c:pt>
                <c:pt idx="48">
                  <c:v>-20</c:v>
                </c:pt>
                <c:pt idx="49">
                  <c:v>-20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62-4257-9EE7-AB97CFCF700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Sheet1!$A$1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62-4257-9EE7-AB97CFCF7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070303"/>
        <c:axId val="1621065983"/>
      </c:lineChart>
      <c:catAx>
        <c:axId val="162107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065983"/>
        <c:crosses val="autoZero"/>
        <c:auto val="1"/>
        <c:lblAlgn val="ctr"/>
        <c:lblOffset val="100"/>
        <c:noMultiLvlLbl val="0"/>
      </c:catAx>
      <c:valAx>
        <c:axId val="162106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Tilt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070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key_resp.corr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Sheet2!$B$2:$B$51</c:f>
              <c:numCache>
                <c:formatCode>General</c:formatCode>
                <c:ptCount val="5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B6-428C-BA10-206142418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058783"/>
        <c:axId val="1621060223"/>
      </c:lineChart>
      <c:catAx>
        <c:axId val="162105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060223"/>
        <c:crosses val="autoZero"/>
        <c:auto val="1"/>
        <c:lblAlgn val="ctr"/>
        <c:lblOffset val="100"/>
        <c:noMultiLvlLbl val="0"/>
      </c:catAx>
      <c:valAx>
        <c:axId val="162106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Key</a:t>
                </a:r>
                <a:r>
                  <a:rPr lang="en-IN" baseline="0"/>
                  <a:t> response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05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558</Words>
  <Characters>3163</Characters>
  <Application>Microsoft Office Word</Application>
  <DocSecurity>0</DocSecurity>
  <Lines>67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bhandari.yashi@outlook.com</dc:creator>
  <cp:keywords/>
  <dc:description/>
  <cp:lastModifiedBy>bhandari.yashi@outlook.com</cp:lastModifiedBy>
  <cp:revision>1</cp:revision>
  <dcterms:created xsi:type="dcterms:W3CDTF">2024-09-12T15:24:00Z</dcterms:created>
  <dcterms:modified xsi:type="dcterms:W3CDTF">2024-09-12T17:51:00Z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12065622-0e5c-4846-b467-f11b46f42281</vt:lpwstr>
  </property>
</Properties>
</file>