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CCPA/CPRA Gap Analysis Report</w:t>
      </w:r>
    </w:p>
    <w:p>
      <w:r/>
      <w:r>
        <w:rPr>
          <w:b/>
        </w:rPr>
        <w:t>Company:</w:t>
      </w:r>
      <w:r>
        <w:t xml:space="preserve"> Stripe</w:t>
      </w:r>
    </w:p>
    <w:p>
      <w:r/>
      <w:r>
        <w:rPr>
          <w:b/>
        </w:rPr>
        <w:t>Analysis Date:</w:t>
      </w:r>
      <w:r>
        <w:t xml:space="preserve"> 2025-12-02T18:55:05.865300</w:t>
      </w:r>
    </w:p>
    <w:p>
      <w:r/>
      <w:r>
        <w:rPr>
          <w:b/>
        </w:rPr>
        <w:t>Session ID:</w:t>
      </w:r>
      <w:r>
        <w:t xml:space="preserve"> privacy_analysis_Stripe_20251202_185505</w:t>
      </w:r>
    </w:p>
    <w:p>
      <w:r>
        <w:t>__________________________________________________</w:t>
      </w:r>
    </w:p>
    <w:p>
      <w:pPr>
        <w:pStyle w:val="Heading1"/>
      </w:pPr>
      <w:r>
        <w:t>Gap Analysis</w:t>
      </w:r>
    </w:p>
    <w:p>
      <w:pPr>
        <w:pStyle w:val="Title"/>
      </w:pPr>
      <w:r>
        <w:t>Stripe Privacy Policy CCPA/CPRA Compliance Gap Analysis</w:t>
      </w:r>
    </w:p>
    <w:p>
      <w:pPr>
        <w:pStyle w:val="Heading1"/>
      </w:pPr>
      <w:r>
        <w:t>Executive Summary</w:t>
      </w:r>
    </w:p>
    <w:p>
      <w:r>
        <w:t>The Stripe Privacy Policy has been reviewed for compliance with the California Consumer Privacy Act (CCPA) and the California Privacy Rights Act (CPRA). The policy is comprehensive and addresses many of the requirements set forth by CCPA/CPRA. However, there are several areas where improvements can be made to ensure full compliance, particularly concerning consumer rights disclosures and specific procedural requirements.</w:t>
      </w:r>
    </w:p>
    <w:p>
      <w:pPr>
        <w:pStyle w:val="Heading1"/>
      </w:pPr>
      <w:r>
        <w:t>Detailed List of Gaps</w:t>
      </w:r>
    </w:p>
    <w:p>
      <w:pPr>
        <w:pStyle w:val="Heading2"/>
      </w:pPr>
      <w:r>
        <w:t>1. Right to Know Disclosure</w:t>
      </w:r>
    </w:p>
    <w:p>
      <w:pPr>
        <w:pStyle w:val="ListBullet"/>
      </w:pPr>
      <w:r/>
      <w:r>
        <w:rPr>
          <w:b/>
        </w:rPr>
        <w:t>Gap:</w:t>
      </w:r>
      <w:r>
        <w:t xml:space="preserve"> The policy does not explicitly detail the consumer's right to know about the specific pieces of personal information collected, the sources from which the information is collected, the business or commercial purpose for collecting, selling, or sharing personal information, and the categories of third parties with whom the business shares personal information.</w:t>
      </w:r>
    </w:p>
    <w:p>
      <w:pPr>
        <w:pStyle w:val="ListBullet"/>
      </w:pPr>
      <w:r/>
      <w:r>
        <w:rPr>
          <w:b/>
        </w:rPr>
        <w:t>CCPA/CPRA Section:</w:t>
      </w:r>
      <w:r>
        <w:t xml:space="preserve"> 1798.110</w:t>
      </w:r>
    </w:p>
    <w:p>
      <w:pPr>
        <w:pStyle w:val="ListBullet"/>
      </w:pPr>
      <w:r/>
      <w:r>
        <w:rPr>
          <w:b/>
        </w:rPr>
        <w:t>Recommendation:</w:t>
      </w:r>
      <w:r>
        <w:t xml:space="preserve"> Include a clear section outlining the consumer's right to know, detailing the specific pieces of personal information collected, sources, purposes, and third-party sharing.</w:t>
      </w:r>
    </w:p>
    <w:p>
      <w:pPr>
        <w:pStyle w:val="ListBullet"/>
      </w:pPr>
      <w:r/>
      <w:r>
        <w:rPr>
          <w:b/>
        </w:rPr>
        <w:t>Priority:</w:t>
      </w:r>
      <w:r>
        <w:t xml:space="preserve"> High</w:t>
      </w:r>
    </w:p>
    <w:p>
      <w:pPr>
        <w:pStyle w:val="Heading2"/>
      </w:pPr>
      <w:r>
        <w:t>2. Right to Delete Disclosure</w:t>
      </w:r>
    </w:p>
    <w:p>
      <w:pPr>
        <w:pStyle w:val="ListBullet"/>
      </w:pPr>
      <w:r/>
      <w:r>
        <w:rPr>
          <w:b/>
        </w:rPr>
        <w:t>Gap:</w:t>
      </w:r>
      <w:r>
        <w:t xml:space="preserve"> The policy does not clearly state the consumer's right to request the deletion of personal information collected by the business.</w:t>
      </w:r>
    </w:p>
    <w:p>
      <w:pPr>
        <w:pStyle w:val="ListBullet"/>
      </w:pPr>
      <w:r/>
      <w:r>
        <w:rPr>
          <w:b/>
        </w:rPr>
        <w:t>CCPA/CPRA Section:</w:t>
      </w:r>
      <w:r>
        <w:t xml:space="preserve"> 1798.105</w:t>
      </w:r>
    </w:p>
    <w:p>
      <w:pPr>
        <w:pStyle w:val="ListBullet"/>
      </w:pPr>
      <w:r/>
      <w:r>
        <w:rPr>
          <w:b/>
        </w:rPr>
        <w:t>Recommendation:</w:t>
      </w:r>
      <w:r>
        <w:t xml:space="preserve"> Add a section explicitly stating the consumer's right to request deletion of their personal information and the process for making such a request.</w:t>
      </w:r>
    </w:p>
    <w:p>
      <w:pPr>
        <w:pStyle w:val="ListBullet"/>
      </w:pPr>
      <w:r/>
      <w:r>
        <w:rPr>
          <w:b/>
        </w:rPr>
        <w:t>Priority:</w:t>
      </w:r>
      <w:r>
        <w:t xml:space="preserve"> High</w:t>
      </w:r>
    </w:p>
    <w:p>
      <w:pPr>
        <w:pStyle w:val="Heading2"/>
      </w:pPr>
      <w:r>
        <w:t>3. Right to Opt-Out of Sale/Sharing</w:t>
      </w:r>
    </w:p>
    <w:p>
      <w:pPr>
        <w:pStyle w:val="ListBullet"/>
      </w:pPr>
      <w:r/>
      <w:r>
        <w:rPr>
          <w:b/>
        </w:rPr>
        <w:t>Gap:</w:t>
      </w:r>
      <w:r>
        <w:t xml:space="preserve"> The policy lacks a clear explanation of the consumer's right to opt-out of the sale or sharing of their personal information.</w:t>
      </w:r>
    </w:p>
    <w:p>
      <w:pPr>
        <w:pStyle w:val="ListBullet"/>
      </w:pPr>
      <w:r/>
      <w:r>
        <w:rPr>
          <w:b/>
        </w:rPr>
        <w:t>CCPA/CPRA Section:</w:t>
      </w:r>
      <w:r>
        <w:t xml:space="preserve"> 1798.120</w:t>
      </w:r>
    </w:p>
    <w:p>
      <w:pPr>
        <w:pStyle w:val="ListBullet"/>
      </w:pPr>
      <w:r/>
      <w:r>
        <w:rPr>
          <w:b/>
        </w:rPr>
        <w:t>Recommendation:</w:t>
      </w:r>
      <w:r>
        <w:t xml:space="preserve"> Include a section on the right to opt-out, with a "Do Not Sell or Share My Personal Information" link prominently displayed on the homepage.</w:t>
      </w:r>
    </w:p>
    <w:p>
      <w:pPr>
        <w:pStyle w:val="ListBullet"/>
      </w:pPr>
      <w:r/>
      <w:r>
        <w:rPr>
          <w:b/>
        </w:rPr>
        <w:t>Priority:</w:t>
      </w:r>
      <w:r>
        <w:t xml:space="preserve"> Critical</w:t>
      </w:r>
    </w:p>
    <w:p>
      <w:pPr>
        <w:pStyle w:val="Heading2"/>
      </w:pPr>
      <w:r>
        <w:t>4. Right to Correct Inaccurate Information</w:t>
      </w:r>
    </w:p>
    <w:p>
      <w:pPr>
        <w:pStyle w:val="ListBullet"/>
      </w:pPr>
      <w:r/>
      <w:r>
        <w:rPr>
          <w:b/>
        </w:rPr>
        <w:t>Gap:</w:t>
      </w:r>
      <w:r>
        <w:t xml:space="preserve"> The policy does not mention the consumer's right to correct inaccurate personal information.</w:t>
      </w:r>
    </w:p>
    <w:p>
      <w:pPr>
        <w:pStyle w:val="ListBullet"/>
      </w:pPr>
      <w:r/>
      <w:r>
        <w:rPr>
          <w:b/>
        </w:rPr>
        <w:t>CCPA/CPRA Section:</w:t>
      </w:r>
      <w:r>
        <w:t xml:space="preserve"> 1798.106</w:t>
      </w:r>
    </w:p>
    <w:p>
      <w:pPr>
        <w:pStyle w:val="ListBullet"/>
      </w:pPr>
      <w:r/>
      <w:r>
        <w:rPr>
          <w:b/>
        </w:rPr>
        <w:t>Recommendation:</w:t>
      </w:r>
      <w:r>
        <w:t xml:space="preserve"> Add a section detailing the consumer's right to correct inaccurate personal information and the process for doing so.</w:t>
      </w:r>
    </w:p>
    <w:p>
      <w:pPr>
        <w:pStyle w:val="ListBullet"/>
      </w:pPr>
      <w:r/>
      <w:r>
        <w:rPr>
          <w:b/>
        </w:rPr>
        <w:t>Priority:</w:t>
      </w:r>
      <w:r>
        <w:t xml:space="preserve"> Medium</w:t>
      </w:r>
    </w:p>
    <w:p>
      <w:pPr>
        <w:pStyle w:val="Heading2"/>
      </w:pPr>
      <w:r>
        <w:t>5. Right to Limit Use of Sensitive Personal Information</w:t>
      </w:r>
    </w:p>
    <w:p>
      <w:pPr>
        <w:pStyle w:val="ListBullet"/>
      </w:pPr>
      <w:r/>
      <w:r>
        <w:rPr>
          <w:b/>
        </w:rPr>
        <w:t>Gap:</w:t>
      </w:r>
      <w:r>
        <w:t xml:space="preserve"> The policy does not address the consumer's right to limit the use of their sensitive personal information.</w:t>
      </w:r>
    </w:p>
    <w:p>
      <w:pPr>
        <w:pStyle w:val="ListBullet"/>
      </w:pPr>
      <w:r/>
      <w:r>
        <w:rPr>
          <w:b/>
        </w:rPr>
        <w:t>CCPA/CPRA Section:</w:t>
      </w:r>
      <w:r>
        <w:t xml:space="preserve"> 1798.121</w:t>
      </w:r>
    </w:p>
    <w:p>
      <w:pPr>
        <w:pStyle w:val="ListBullet"/>
      </w:pPr>
      <w:r/>
      <w:r>
        <w:rPr>
          <w:b/>
        </w:rPr>
        <w:t>Recommendation:</w:t>
      </w:r>
      <w:r>
        <w:t xml:space="preserve"> Include a section on the right to limit the use of sensitive personal information and how consumers can exercise this right.</w:t>
      </w:r>
    </w:p>
    <w:p>
      <w:pPr>
        <w:pStyle w:val="ListBullet"/>
      </w:pPr>
      <w:r/>
      <w:r>
        <w:rPr>
          <w:b/>
        </w:rPr>
        <w:t>Priority:</w:t>
      </w:r>
      <w:r>
        <w:t xml:space="preserve"> Medium</w:t>
      </w:r>
    </w:p>
    <w:p>
      <w:pPr>
        <w:pStyle w:val="Heading2"/>
      </w:pPr>
      <w:r>
        <w:t>6. Data Retention Policies</w:t>
      </w:r>
    </w:p>
    <w:p>
      <w:pPr>
        <w:pStyle w:val="ListBullet"/>
      </w:pPr>
      <w:r/>
      <w:r>
        <w:rPr>
          <w:b/>
        </w:rPr>
        <w:t>Gap:</w:t>
      </w:r>
      <w:r>
        <w:t xml:space="preserve"> The policy does not specify the retention period for each category of personal information collected.</w:t>
      </w:r>
    </w:p>
    <w:p>
      <w:pPr>
        <w:pStyle w:val="ListBullet"/>
      </w:pPr>
      <w:r/>
      <w:r>
        <w:rPr>
          <w:b/>
        </w:rPr>
        <w:t>CCPA/CPRA Section:</w:t>
      </w:r>
      <w:r>
        <w:t xml:space="preserve"> 1798.100(a)(3)</w:t>
      </w:r>
    </w:p>
    <w:p>
      <w:pPr>
        <w:pStyle w:val="ListBullet"/>
      </w:pPr>
      <w:r/>
      <w:r>
        <w:rPr>
          <w:b/>
        </w:rPr>
        <w:t>Recommendation:</w:t>
      </w:r>
      <w:r>
        <w:t xml:space="preserve"> Clearly state the retention period for each category of personal information or the criteria used to determine such periods.</w:t>
      </w:r>
    </w:p>
    <w:p>
      <w:pPr>
        <w:pStyle w:val="ListBullet"/>
      </w:pPr>
      <w:r/>
      <w:r>
        <w:rPr>
          <w:b/>
        </w:rPr>
        <w:t>Priority:</w:t>
      </w:r>
      <w:r>
        <w:t xml:space="preserve"> Medium</w:t>
      </w:r>
    </w:p>
    <w:p>
      <w:pPr>
        <w:pStyle w:val="Heading2"/>
      </w:pPr>
      <w:r>
        <w:t>7. Children's Data Protections</w:t>
      </w:r>
    </w:p>
    <w:p>
      <w:pPr>
        <w:pStyle w:val="ListBullet"/>
      </w:pPr>
      <w:r/>
      <w:r>
        <w:rPr>
          <w:b/>
        </w:rPr>
        <w:t>Gap:</w:t>
      </w:r>
      <w:r>
        <w:t xml:space="preserve"> The policy does not adequately address protections for children's data, particularly for those aged 13-16.</w:t>
      </w:r>
    </w:p>
    <w:p>
      <w:pPr>
        <w:pStyle w:val="ListBullet"/>
      </w:pPr>
      <w:r/>
      <w:r>
        <w:rPr>
          <w:b/>
        </w:rPr>
        <w:t>CCPA/CPRA Section:</w:t>
      </w:r>
      <w:r>
        <w:t xml:space="preserve"> 1798.120(c)</w:t>
      </w:r>
    </w:p>
    <w:p>
      <w:pPr>
        <w:pStyle w:val="ListBullet"/>
      </w:pPr>
      <w:r/>
      <w:r>
        <w:rPr>
          <w:b/>
        </w:rPr>
        <w:t>Recommendation:</w:t>
      </w:r>
      <w:r>
        <w:t xml:space="preserve"> Include specific provisions for obtaining parental consent for children under 13 and opt-in consent for those aged 13-16.</w:t>
      </w:r>
    </w:p>
    <w:p>
      <w:pPr>
        <w:pStyle w:val="ListBullet"/>
      </w:pPr>
      <w:r/>
      <w:r>
        <w:rPr>
          <w:b/>
        </w:rPr>
        <w:t>Priority:</w:t>
      </w:r>
      <w:r>
        <w:t xml:space="preserve"> High</w:t>
      </w:r>
    </w:p>
    <w:p>
      <w:pPr>
        <w:pStyle w:val="Heading2"/>
      </w:pPr>
      <w:r>
        <w:t>8. Authorized Agent Procedures</w:t>
      </w:r>
    </w:p>
    <w:p>
      <w:pPr>
        <w:pStyle w:val="ListBullet"/>
      </w:pPr>
      <w:r/>
      <w:r>
        <w:rPr>
          <w:b/>
        </w:rPr>
        <w:t>Gap:</w:t>
      </w:r>
      <w:r>
        <w:t xml:space="preserve"> The policy does not provide clear instructions on how consumers can use an authorized agent to exercise their rights.</w:t>
      </w:r>
    </w:p>
    <w:p>
      <w:pPr>
        <w:pStyle w:val="ListBullet"/>
      </w:pPr>
      <w:r/>
      <w:r>
        <w:rPr>
          <w:b/>
        </w:rPr>
        <w:t>CCPA/CPRA Section:</w:t>
      </w:r>
      <w:r>
        <w:t xml:space="preserve"> 999.326</w:t>
      </w:r>
    </w:p>
    <w:p>
      <w:pPr>
        <w:pStyle w:val="ListBullet"/>
      </w:pPr>
      <w:r/>
      <w:r>
        <w:rPr>
          <w:b/>
        </w:rPr>
        <w:t>Recommendation:</w:t>
      </w:r>
      <w:r>
        <w:t xml:space="preserve"> Add detailed procedures for consumers to designate an authorized agent and the verification process for such requests.</w:t>
      </w:r>
    </w:p>
    <w:p>
      <w:pPr>
        <w:pStyle w:val="ListBullet"/>
      </w:pPr>
      <w:r/>
      <w:r>
        <w:rPr>
          <w:b/>
        </w:rPr>
        <w:t>Priority:</w:t>
      </w:r>
      <w:r>
        <w:t xml:space="preserve"> Medium</w:t>
      </w:r>
    </w:p>
    <w:p>
      <w:pPr>
        <w:pStyle w:val="Heading2"/>
      </w:pPr>
      <w:r>
        <w:t>9. Non-Discrimination Policy</w:t>
      </w:r>
    </w:p>
    <w:p>
      <w:pPr>
        <w:pStyle w:val="ListBullet"/>
      </w:pPr>
      <w:r/>
      <w:r>
        <w:rPr>
          <w:b/>
        </w:rPr>
        <w:t>Gap:</w:t>
      </w:r>
      <w:r>
        <w:t xml:space="preserve"> The policy lacks a clear non-discrimination statement regarding consumers exercising their rights.</w:t>
      </w:r>
    </w:p>
    <w:p>
      <w:pPr>
        <w:pStyle w:val="ListBullet"/>
      </w:pPr>
      <w:r/>
      <w:r>
        <w:rPr>
          <w:b/>
        </w:rPr>
        <w:t>CCPA/CPRA Section:</w:t>
      </w:r>
      <w:r>
        <w:t xml:space="preserve"> 1798.125</w:t>
      </w:r>
    </w:p>
    <w:p>
      <w:pPr>
        <w:pStyle w:val="ListBullet"/>
      </w:pPr>
      <w:r/>
      <w:r>
        <w:rPr>
          <w:b/>
        </w:rPr>
        <w:t>Recommendation:</w:t>
      </w:r>
      <w:r>
        <w:t xml:space="preserve"> Include a non-discrimination statement ensuring consumers that they will not face discrimination for exercising their CCPA/CPRA rights.</w:t>
      </w:r>
    </w:p>
    <w:p>
      <w:pPr>
        <w:pStyle w:val="ListBullet"/>
      </w:pPr>
      <w:r/>
      <w:r>
        <w:rPr>
          <w:b/>
        </w:rPr>
        <w:t>Priority:</w:t>
      </w:r>
      <w:r>
        <w:t xml:space="preserve"> Low</w:t>
      </w:r>
    </w:p>
    <w:p>
      <w:pPr>
        <w:pStyle w:val="Heading1"/>
      </w:pPr>
      <w:r>
        <w:t>Conclusion</w:t>
      </w:r>
    </w:p>
    <w:p>
      <w:r>
        <w:t>To achieve full compliance with CCPA/CPRA, Stripe should address the identified gaps, particularly focusing on consumer rights disclosures and procedural clarity. Implementing these recommendations will enhance transparency and ensure adherence to California privacy laws.</w:t>
      </w:r>
    </w:p>
    <w:p>
      <w:r>
        <w:t>__________________________________________________</w:t>
      </w:r>
    </w:p>
    <w:p>
      <w:pPr>
        <w:pStyle w:val="Heading1"/>
      </w:pPr>
      <w:r>
        <w:t>Metadata</w:t>
      </w:r>
    </w:p>
    <w:p>
      <w:pPr>
        <w:pStyle w:val="ListBullet"/>
      </w:pPr>
      <w:r/>
      <w:r>
        <w:rPr>
          <w:b/>
        </w:rPr>
        <w:t>Model Used:</w:t>
      </w:r>
      <w:r>
        <w:t xml:space="preserve"> GPT-4.1</w:t>
      </w:r>
    </w:p>
    <w:p>
      <w:pPr>
        <w:pStyle w:val="ListBullet"/>
      </w:pPr>
      <w:r/>
      <w:r>
        <w:rPr>
          <w:b/>
        </w:rPr>
        <w:t>Tokens Consumed:</w:t>
      </w:r>
      <w:r>
        <w:t xml:space="preserve"> 41767</w:t>
      </w:r>
    </w:p>
    <w:p>
      <w:pPr>
        <w:pStyle w:val="ListBullet"/>
      </w:pPr>
      <w:r/>
      <w:r>
        <w:rPr>
          <w:b/>
        </w:rPr>
        <w:t>Framework:</w:t>
      </w:r>
      <w:r>
        <w:t xml:space="preserve"> CCPA/CPRA (California Consumer Privacy Act / California Privacy Rights Act)</w:t>
      </w:r>
    </w:p>
    <w:p>
      <w:r>
        <w:t>__________________________________________________</w:t>
      </w:r>
    </w:p>
    <w:p>
      <w:r>
        <w:t>*Report generated by Privacy Policy Gap Analysis System with RAG and MCP*</w:t>
      </w:r>
    </w:p>
    <w:p>
      <w:r>
        <w:t>*Powered by Cardinal Security Privacy Compliance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0C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