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CCPA/CPRA Gap Analysis Report</w:t>
      </w:r>
    </w:p>
    <w:p>
      <w:r/>
      <w:r>
        <w:rPr>
          <w:b/>
        </w:rPr>
        <w:t>Company:</w:t>
      </w:r>
      <w:r>
        <w:t xml:space="preserve"> Yahoo</w:t>
      </w:r>
    </w:p>
    <w:p>
      <w:r/>
      <w:r>
        <w:rPr>
          <w:b/>
        </w:rPr>
        <w:t>Analysis Date:</w:t>
      </w:r>
      <w:r>
        <w:t xml:space="preserve"> 2025-12-02T19:07:58.277146</w:t>
      </w:r>
    </w:p>
    <w:p>
      <w:r/>
      <w:r>
        <w:rPr>
          <w:b/>
        </w:rPr>
        <w:t>Session ID:</w:t>
      </w:r>
      <w:r>
        <w:t xml:space="preserve"> privacy_analysis_Yahoo_20251202_190758</w:t>
      </w:r>
    </w:p>
    <w:p>
      <w:r>
        <w:t>__________________________________________________</w:t>
      </w:r>
    </w:p>
    <w:p>
      <w:pPr>
        <w:pStyle w:val="Heading1"/>
      </w:pPr>
      <w:r>
        <w:t>Gap Analysis</w:t>
      </w:r>
    </w:p>
    <w:p>
      <w:r>
        <w:rPr>
          <w:b/>
        </w:rPr>
        <w:t>Yahoo Privacy Policy CCPA/CPRA Compliance Gap Analysis</w:t>
      </w:r>
    </w:p>
    <w:p>
      <w:r>
        <w:rPr>
          <w:b/>
        </w:rPr>
        <w:t>Executive Summary:</w:t>
      </w:r>
    </w:p>
    <w:p>
      <w:r>
        <w:t>The Yahoo privacy policy was reviewed for compliance with the California Consumer Privacy Act (CCPA) and the California Privacy Rights Act (CPRA). The policy demonstrates a general understanding of privacy requirements but lacks specific disclosures and mechanisms required by CCPA/CPRA. Key areas needing improvement include disclosures related to consumer rights, data sharing, and specific opt-out mechanisms.</w:t>
      </w:r>
    </w:p>
    <w:p>
      <w:r>
        <w:rPr>
          <w:b/>
        </w:rPr>
        <w:t>Detailed List of Gaps:</w:t>
      </w:r>
    </w:p>
    <w:p>
      <w:r>
        <w:t xml:space="preserve">1. </w:t>
      </w:r>
      <w:r>
        <w:rPr>
          <w:b/>
        </w:rPr>
        <w:t>Right to Know Disclosure:</w:t>
      </w:r>
      <w:r/>
    </w:p>
    <w:p>
      <w:r>
        <w:t xml:space="preserve">   - </w:t>
      </w:r>
      <w:r>
        <w:rPr>
          <w:b/>
        </w:rPr>
        <w:t>Gap:</w:t>
      </w:r>
      <w:r>
        <w:t xml:space="preserve"> The policy does not clearly specify the categories of personal information collected, the sources of that information, the business or commercial purposes for collecting, and the categories of third parties with whom the information is shared.</w:t>
      </w:r>
    </w:p>
    <w:p>
      <w:r>
        <w:t xml:space="preserve">   - </w:t>
      </w:r>
      <w:r>
        <w:rPr>
          <w:b/>
        </w:rPr>
        <w:t>CCPA/CPRA Section:</w:t>
      </w:r>
      <w:r>
        <w:t xml:space="preserve"> 1798.110</w:t>
      </w:r>
    </w:p>
    <w:p>
      <w:r>
        <w:t xml:space="preserve">   - </w:t>
      </w:r>
      <w:r>
        <w:rPr>
          <w:b/>
        </w:rPr>
        <w:t>Recommendation:</w:t>
      </w:r>
      <w:r>
        <w:t xml:space="preserve"> Include a detailed list of categories of personal information collected, sources, purposes, and third-party sharing in the privacy policy.</w:t>
      </w:r>
    </w:p>
    <w:p>
      <w:r>
        <w:t xml:space="preserve">   - </w:t>
      </w:r>
      <w:r>
        <w:rPr>
          <w:b/>
        </w:rPr>
        <w:t>Priority:</w:t>
      </w:r>
      <w:r>
        <w:t xml:space="preserve"> High</w:t>
      </w:r>
    </w:p>
    <w:p>
      <w:r>
        <w:t xml:space="preserve">2. </w:t>
      </w:r>
      <w:r>
        <w:rPr>
          <w:b/>
        </w:rPr>
        <w:t>Right to Delete Disclosure:</w:t>
      </w:r>
      <w:r/>
    </w:p>
    <w:p>
      <w:r>
        <w:t xml:space="preserve">   - </w:t>
      </w:r>
      <w:r>
        <w:rPr>
          <w:b/>
        </w:rPr>
        <w:t>Gap:</w:t>
      </w:r>
      <w:r>
        <w:t xml:space="preserve"> The policy does not provide clear instructions on how consumers can request the deletion of their personal information.</w:t>
      </w:r>
    </w:p>
    <w:p>
      <w:r>
        <w:t xml:space="preserve">   - </w:t>
      </w:r>
      <w:r>
        <w:rPr>
          <w:b/>
        </w:rPr>
        <w:t>CCPA/CPRA Section:</w:t>
      </w:r>
      <w:r>
        <w:t xml:space="preserve"> 1798.105</w:t>
      </w:r>
    </w:p>
    <w:p>
      <w:r>
        <w:t xml:space="preserve">   - </w:t>
      </w:r>
      <w:r>
        <w:rPr>
          <w:b/>
        </w:rPr>
        <w:t>Recommendation:</w:t>
      </w:r>
      <w:r>
        <w:t xml:space="preserve"> Add a section detailing the process for consumers to request deletion of their personal information, including contact methods and any verification process.</w:t>
      </w:r>
    </w:p>
    <w:p>
      <w:r>
        <w:t xml:space="preserve">   - </w:t>
      </w:r>
      <w:r>
        <w:rPr>
          <w:b/>
        </w:rPr>
        <w:t>Priority:</w:t>
      </w:r>
      <w:r>
        <w:t xml:space="preserve"> High</w:t>
      </w:r>
    </w:p>
    <w:p>
      <w:r>
        <w:t xml:space="preserve">3. </w:t>
      </w:r>
      <w:r>
        <w:rPr>
          <w:b/>
        </w:rPr>
        <w:t>Right to Opt-Out of Sale/Sharing:</w:t>
      </w:r>
      <w:r/>
    </w:p>
    <w:p>
      <w:r>
        <w:t xml:space="preserve">   - </w:t>
      </w:r>
      <w:r>
        <w:rPr>
          <w:b/>
        </w:rPr>
        <w:t>Gap:</w:t>
      </w:r>
      <w:r>
        <w:t xml:space="preserve"> The policy lacks a clear "Do Not Sell or Share My Personal Information" link or equivalent mechanism for consumers to opt-out of the sale or sharing of their personal information.</w:t>
      </w:r>
    </w:p>
    <w:p>
      <w:r>
        <w:t xml:space="preserve">   - </w:t>
      </w:r>
      <w:r>
        <w:rPr>
          <w:b/>
        </w:rPr>
        <w:t>CCPA/CPRA Section:</w:t>
      </w:r>
      <w:r>
        <w:t xml:space="preserve"> 1798.120</w:t>
      </w:r>
    </w:p>
    <w:p>
      <w:r>
        <w:t xml:space="preserve">   - </w:t>
      </w:r>
      <w:r>
        <w:rPr>
          <w:b/>
        </w:rPr>
        <w:t>Recommendation:</w:t>
      </w:r>
      <w:r>
        <w:t xml:space="preserve"> Implement a clear opt-out mechanism on the website, including a prominent link titled "Do Not Sell or Share My Personal Information."</w:t>
      </w:r>
    </w:p>
    <w:p>
      <w:r>
        <w:t xml:space="preserve">   - </w:t>
      </w:r>
      <w:r>
        <w:rPr>
          <w:b/>
        </w:rPr>
        <w:t>Priority:</w:t>
      </w:r>
      <w:r>
        <w:t xml:space="preserve"> Critical</w:t>
      </w:r>
    </w:p>
    <w:p>
      <w:r>
        <w:t xml:space="preserve">4. </w:t>
      </w:r>
      <w:r>
        <w:rPr>
          <w:b/>
        </w:rPr>
        <w:t>Right to Correct Inaccurate Information:</w:t>
      </w:r>
      <w:r/>
    </w:p>
    <w:p>
      <w:r>
        <w:t xml:space="preserve">   - </w:t>
      </w:r>
      <w:r>
        <w:rPr>
          <w:b/>
        </w:rPr>
        <w:t>Gap:</w:t>
      </w:r>
      <w:r>
        <w:t xml:space="preserve"> The policy does not mention consumers' rights to correct inaccurate personal information.</w:t>
      </w:r>
    </w:p>
    <w:p>
      <w:r>
        <w:t xml:space="preserve">   - </w:t>
      </w:r>
      <w:r>
        <w:rPr>
          <w:b/>
        </w:rPr>
        <w:t>CCPA/CPRA Section:</w:t>
      </w:r>
      <w:r>
        <w:t xml:space="preserve"> 1798.106</w:t>
      </w:r>
    </w:p>
    <w:p>
      <w:r>
        <w:t xml:space="preserve">   - </w:t>
      </w:r>
      <w:r>
        <w:rPr>
          <w:b/>
        </w:rPr>
        <w:t>Recommendation:</w:t>
      </w:r>
      <w:r>
        <w:t xml:space="preserve"> Include a section on consumers' rights to request corrections of inaccurate personal information and the process to do so.</w:t>
      </w:r>
    </w:p>
    <w:p>
      <w:r>
        <w:t xml:space="preserve">   - </w:t>
      </w:r>
      <w:r>
        <w:rPr>
          <w:b/>
        </w:rPr>
        <w:t>Priority:</w:t>
      </w:r>
      <w:r>
        <w:t xml:space="preserve"> Medium</w:t>
      </w:r>
    </w:p>
    <w:p>
      <w:r>
        <w:t xml:space="preserve">5. </w:t>
      </w:r>
      <w:r>
        <w:rPr>
          <w:b/>
        </w:rPr>
        <w:t>Right to Limit Use of Sensitive Personal Information:</w:t>
      </w:r>
      <w:r/>
    </w:p>
    <w:p>
      <w:r>
        <w:t xml:space="preserve">   - </w:t>
      </w:r>
      <w:r>
        <w:rPr>
          <w:b/>
        </w:rPr>
        <w:t>Gap:</w:t>
      </w:r>
      <w:r>
        <w:t xml:space="preserve"> The policy does not address the right to limit the use of sensitive personal information.</w:t>
      </w:r>
    </w:p>
    <w:p>
      <w:r>
        <w:t xml:space="preserve">   - </w:t>
      </w:r>
      <w:r>
        <w:rPr>
          <w:b/>
        </w:rPr>
        <w:t>CCPA/CPRA Section:</w:t>
      </w:r>
      <w:r>
        <w:t xml:space="preserve"> 1798.121</w:t>
      </w:r>
    </w:p>
    <w:p>
      <w:r>
        <w:t xml:space="preserve">   - </w:t>
      </w:r>
      <w:r>
        <w:rPr>
          <w:b/>
        </w:rPr>
        <w:t>Recommendation:</w:t>
      </w:r>
      <w:r>
        <w:t xml:space="preserve"> Provide consumers with information on how they can limit the use of their sensitive personal information.</w:t>
      </w:r>
    </w:p>
    <w:p>
      <w:r>
        <w:t xml:space="preserve">   - </w:t>
      </w:r>
      <w:r>
        <w:rPr>
          <w:b/>
        </w:rPr>
        <w:t>Priority:</w:t>
      </w:r>
      <w:r>
        <w:t xml:space="preserve"> Medium</w:t>
      </w:r>
    </w:p>
    <w:p>
      <w:r>
        <w:t xml:space="preserve">6. </w:t>
      </w:r>
      <w:r>
        <w:rPr>
          <w:b/>
        </w:rPr>
        <w:t>Data Retention Policies:</w:t>
      </w:r>
      <w:r/>
    </w:p>
    <w:p>
      <w:r>
        <w:t xml:space="preserve">   - </w:t>
      </w:r>
      <w:r>
        <w:rPr>
          <w:b/>
        </w:rPr>
        <w:t>Gap:</w:t>
      </w:r>
      <w:r>
        <w:t xml:space="preserve"> The policy does not specify the retention periods for different categories of personal information.</w:t>
      </w:r>
    </w:p>
    <w:p>
      <w:r>
        <w:t xml:space="preserve">   - </w:t>
      </w:r>
      <w:r>
        <w:rPr>
          <w:b/>
        </w:rPr>
        <w:t>CCPA/CPRA Section:</w:t>
      </w:r>
      <w:r>
        <w:t xml:space="preserve"> 1798.100(a)(3)</w:t>
      </w:r>
    </w:p>
    <w:p>
      <w:r>
        <w:t xml:space="preserve">   - </w:t>
      </w:r>
      <w:r>
        <w:rPr>
          <w:b/>
        </w:rPr>
        <w:t>Recommendation:</w:t>
      </w:r>
      <w:r>
        <w:t xml:space="preserve"> Include data retention periods for each category of personal information collected.</w:t>
      </w:r>
    </w:p>
    <w:p>
      <w:r>
        <w:t xml:space="preserve">   - </w:t>
      </w:r>
      <w:r>
        <w:rPr>
          <w:b/>
        </w:rPr>
        <w:t>Priority:</w:t>
      </w:r>
      <w:r>
        <w:t xml:space="preserve"> Medium</w:t>
      </w:r>
    </w:p>
    <w:p>
      <w:r>
        <w:t xml:space="preserve">7. </w:t>
      </w:r>
      <w:r>
        <w:rPr>
          <w:b/>
        </w:rPr>
        <w:t>Children's Data Protections:</w:t>
      </w:r>
      <w:r/>
    </w:p>
    <w:p>
      <w:r>
        <w:t xml:space="preserve">   - </w:t>
      </w:r>
      <w:r>
        <w:rPr>
          <w:b/>
        </w:rPr>
        <w:t>Gap:</w:t>
      </w:r>
      <w:r>
        <w:t xml:space="preserve"> The policy does not adequately address protections for children's data, especially for those under 13 and 13-16.</w:t>
      </w:r>
    </w:p>
    <w:p>
      <w:r>
        <w:t xml:space="preserve">   - </w:t>
      </w:r>
      <w:r>
        <w:rPr>
          <w:b/>
        </w:rPr>
        <w:t>CCPA/CPRA Section:</w:t>
      </w:r>
      <w:r>
        <w:t xml:space="preserve"> 1798.120(c)</w:t>
      </w:r>
    </w:p>
    <w:p>
      <w:r>
        <w:t xml:space="preserve">   - </w:t>
      </w:r>
      <w:r>
        <w:rPr>
          <w:b/>
        </w:rPr>
        <w:t>Recommendation:</w:t>
      </w:r>
      <w:r>
        <w:t xml:space="preserve"> Clearly outline the protections in place for children's data and the process for obtaining parental consent.</w:t>
      </w:r>
    </w:p>
    <w:p>
      <w:r>
        <w:t xml:space="preserve">   - </w:t>
      </w:r>
      <w:r>
        <w:rPr>
          <w:b/>
        </w:rPr>
        <w:t>Priority:</w:t>
      </w:r>
      <w:r>
        <w:t xml:space="preserve"> High</w:t>
      </w:r>
    </w:p>
    <w:p>
      <w:r>
        <w:t xml:space="preserve">8. </w:t>
      </w:r>
      <w:r>
        <w:rPr>
          <w:b/>
        </w:rPr>
        <w:t>Authorized Agent Procedures:</w:t>
      </w:r>
      <w:r/>
    </w:p>
    <w:p>
      <w:r>
        <w:t xml:space="preserve">   - </w:t>
      </w:r>
      <w:r>
        <w:rPr>
          <w:b/>
        </w:rPr>
        <w:t>Gap:</w:t>
      </w:r>
      <w:r>
        <w:t xml:space="preserve"> The policy does not specify procedures for consumers to use authorized agents to exercise their rights.</w:t>
      </w:r>
    </w:p>
    <w:p>
      <w:r>
        <w:t xml:space="preserve">   - </w:t>
      </w:r>
      <w:r>
        <w:rPr>
          <w:b/>
        </w:rPr>
        <w:t>CCPA/CPRA Section:</w:t>
      </w:r>
      <w:r>
        <w:t xml:space="preserve"> 1798.135</w:t>
      </w:r>
    </w:p>
    <w:p>
      <w:r>
        <w:t xml:space="preserve">   - </w:t>
      </w:r>
      <w:r>
        <w:rPr>
          <w:b/>
        </w:rPr>
        <w:t>Recommendation:</w:t>
      </w:r>
      <w:r>
        <w:t xml:space="preserve"> Detail the process for consumers to designate authorized agents and the verification process for such requests.</w:t>
      </w:r>
    </w:p>
    <w:p>
      <w:r>
        <w:t xml:space="preserve">   - </w:t>
      </w:r>
      <w:r>
        <w:rPr>
          <w:b/>
        </w:rPr>
        <w:t>Priority:</w:t>
      </w:r>
      <w:r>
        <w:t xml:space="preserve"> Low</w:t>
      </w:r>
    </w:p>
    <w:p>
      <w:r>
        <w:t xml:space="preserve">9. </w:t>
      </w:r>
      <w:r>
        <w:rPr>
          <w:b/>
        </w:rPr>
        <w:t>Non-Discrimination Policy:</w:t>
      </w:r>
      <w:r/>
    </w:p>
    <w:p>
      <w:r>
        <w:t xml:space="preserve">   - </w:t>
      </w:r>
      <w:r>
        <w:rPr>
          <w:b/>
        </w:rPr>
        <w:t>Gap:</w:t>
      </w:r>
      <w:r>
        <w:t xml:space="preserve"> The policy does not clearly state that consumers will not be discriminated against for exercising their CCPA/CPRA rights.</w:t>
      </w:r>
    </w:p>
    <w:p>
      <w:r>
        <w:t xml:space="preserve">   - </w:t>
      </w:r>
      <w:r>
        <w:rPr>
          <w:b/>
        </w:rPr>
        <w:t>CCPA/CPRA Section:</w:t>
      </w:r>
      <w:r>
        <w:t xml:space="preserve"> 1798.125</w:t>
      </w:r>
    </w:p>
    <w:p>
      <w:r>
        <w:t xml:space="preserve">   - </w:t>
      </w:r>
      <w:r>
        <w:rPr>
          <w:b/>
        </w:rPr>
        <w:t>Recommendation:</w:t>
      </w:r>
      <w:r>
        <w:t xml:space="preserve"> Include a non-discrimination statement ensuring consumers are not penalized for exercising their rights.</w:t>
      </w:r>
    </w:p>
    <w:p>
      <w:r>
        <w:t xml:space="preserve">   - </w:t>
      </w:r>
      <w:r>
        <w:rPr>
          <w:b/>
        </w:rPr>
        <w:t>Priority:</w:t>
      </w:r>
      <w:r>
        <w:t xml:space="preserve"> Medium</w:t>
      </w:r>
    </w:p>
    <w:p>
      <w:r>
        <w:t xml:space="preserve">10. </w:t>
      </w:r>
      <w:r>
        <w:rPr>
          <w:b/>
        </w:rPr>
        <w:t>Contact Methods for Exercising Rights:</w:t>
      </w:r>
      <w:r/>
    </w:p>
    <w:p>
      <w:r>
        <w:t xml:space="preserve">    - </w:t>
      </w:r>
      <w:r>
        <w:rPr>
          <w:b/>
        </w:rPr>
        <w:t>Gap:</w:t>
      </w:r>
      <w:r>
        <w:t xml:space="preserve"> The policy lacks clear contact information or methods for consumers to exercise their rights under CCPA/CPRA.</w:t>
      </w:r>
    </w:p>
    <w:p>
      <w:r>
        <w:t xml:space="preserve">    - </w:t>
      </w:r>
      <w:r>
        <w:rPr>
          <w:b/>
        </w:rPr>
        <w:t>CCPA/CPRA Section:</w:t>
      </w:r>
      <w:r>
        <w:t xml:space="preserve"> 1798.130</w:t>
      </w:r>
    </w:p>
    <w:p>
      <w:r>
        <w:t xml:space="preserve">    - </w:t>
      </w:r>
      <w:r>
        <w:rPr>
          <w:b/>
        </w:rPr>
        <w:t>Recommendation:</w:t>
      </w:r>
      <w:r>
        <w:t xml:space="preserve"> Provide multiple contact methods, such as a toll-free number and email, for consumers to exercise their rights.</w:t>
      </w:r>
    </w:p>
    <w:p>
      <w:r>
        <w:t xml:space="preserve">    - </w:t>
      </w:r>
      <w:r>
        <w:rPr>
          <w:b/>
        </w:rPr>
        <w:t>Priority:</w:t>
      </w:r>
      <w:r>
        <w:t xml:space="preserve"> High</w:t>
      </w:r>
    </w:p>
    <w:p>
      <w:r>
        <w:rPr>
          <w:b/>
        </w:rPr>
        <w:t>Conclusion:</w:t>
      </w:r>
    </w:p>
    <w:p>
      <w:r>
        <w:t>Addressing these gaps will significantly enhance Yahoo's compliance with CCPA/CPRA requirements, ensuring transparency and consumer trust. Immediate attention to critical and high-priority gaps is recommended to mitigate potential legal risks and enhance consumer privacy protections.</w:t>
      </w:r>
    </w:p>
    <w:p>
      <w:r>
        <w:t>__________________________________________________</w:t>
      </w:r>
    </w:p>
    <w:p>
      <w:pPr>
        <w:pStyle w:val="Heading1"/>
      </w:pPr>
      <w:r>
        <w:t>Metadata</w:t>
      </w:r>
    </w:p>
    <w:p>
      <w:pPr>
        <w:pStyle w:val="ListBullet"/>
      </w:pPr>
      <w:r/>
      <w:r>
        <w:rPr>
          <w:b/>
        </w:rPr>
        <w:t>Model Used:</w:t>
      </w:r>
      <w:r>
        <w:t xml:space="preserve"> GPT-4.1</w:t>
      </w:r>
    </w:p>
    <w:p>
      <w:pPr>
        <w:pStyle w:val="ListBullet"/>
      </w:pPr>
      <w:r/>
      <w:r>
        <w:rPr>
          <w:b/>
        </w:rPr>
        <w:t>Tokens Consumed:</w:t>
      </w:r>
      <w:r>
        <w:t xml:space="preserve"> 44633</w:t>
      </w:r>
    </w:p>
    <w:p>
      <w:pPr>
        <w:pStyle w:val="ListBullet"/>
      </w:pPr>
      <w:r/>
      <w:r>
        <w:rPr>
          <w:b/>
        </w:rPr>
        <w:t>Framework:</w:t>
      </w:r>
      <w:r>
        <w:t xml:space="preserve"> CCPA/CPRA (California Consumer Privacy Act / California Privacy Rights Act)</w:t>
      </w:r>
    </w:p>
    <w:p>
      <w:r>
        <w:t>__________________________________________________</w:t>
      </w:r>
    </w:p>
    <w:p>
      <w:r>
        <w:t>*Report generated by Privacy Policy Gap Analysis System with RAG and MCP*</w:t>
      </w:r>
    </w:p>
    <w:p>
      <w:r>
        <w:t>*Powered by Cardinal Security Privacy Compliance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0C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