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03366"/>
          <w:sz w:val="32"/>
        </w:rPr>
        <w:t>BLodgic</w:t>
      </w:r>
    </w:p>
    <w:p/>
    <w:p>
      <w:pPr>
        <w:jc w:val="center"/>
      </w:pPr>
      <w:r>
        <w:rPr>
          <w:rFonts w:ascii="Calibri" w:hAnsi="Calibri"/>
          <w:color w:val="000000"/>
          <w:sz w:val="28"/>
        </w:rPr>
        <w:t>20</w:t>
        <w:br/>
        <w:t>COMPLIANCE</w:t>
        <w:tab/>
        <w:t>25</w:t>
      </w:r>
    </w:p>
    <w:p>
      <w:pPr>
        <w:spacing w:after="240"/>
        <w:jc w:val="center"/>
      </w:pPr>
      <w:r>
        <w:rPr>
          <w:rFonts w:ascii="Calibri" w:hAnsi="Calibri"/>
          <w:b/>
          <w:color w:val="003366"/>
          <w:sz w:val="48"/>
        </w:rPr>
        <w:t>CCPA COMPLIANCE ASSESSMENT REPORT</w:t>
      </w:r>
    </w:p>
    <w:p>
      <w:pPr>
        <w:jc w:val="center"/>
      </w:pPr>
      <w:r>
        <w:rPr>
          <w:color w:val="000000"/>
          <w:sz w:val="28"/>
        </w:rPr>
        <w:t>BLodgic Privacy Policy</w:t>
        <w:br/>
        <w:t>Compliance Gap Analysis</w:t>
      </w:r>
    </w:p>
    <w:p/>
    <w:p/>
    <w:p/>
    <w:p/>
    <w:p/>
    <w:p/>
    <w:p>
      <w:pPr>
        <w:pStyle w:val="BodyText"/>
        <w:spacing w:line="360" w:lineRule="auto"/>
      </w:pPr>
      <w:r>
        <w:rPr>
          <w:rFonts w:ascii="Calibri" w:hAnsi="Calibri"/>
          <w:sz w:val="22"/>
        </w:rPr>
        <w:t>This report provides a comprehensive CCPA/CPRA compliance gap analysis, identifying specific areas where the privacy policy requires updates to meet California consumer privacy requirements.</w:t>
      </w:r>
    </w:p>
    <w:p/>
    <w:p/>
    <w:p>
      <w:pPr>
        <w:pStyle w:val="Heading3"/>
      </w:pPr>
      <w:r>
        <w:t>Report Generated By</w:t>
      </w:r>
    </w:p>
    <w:p>
      <w:pPr>
        <w:pStyle w:val="BodyText"/>
      </w:pPr>
      <w:r>
        <w:rPr>
          <w:sz w:val="22"/>
        </w:rPr>
        <w:t>Privacy Policy Gap Analysis System</w:t>
        <w:br/>
        <w:t>Powered by Cardinal Security</w:t>
      </w:r>
    </w:p>
    <w:p>
      <w:pPr>
        <w:pStyle w:val="Heading3"/>
      </w:pPr>
      <w:r>
        <w:t>Analysis Date</w:t>
      </w:r>
    </w:p>
    <w:p>
      <w:pPr>
        <w:pStyle w:val="BodyText"/>
      </w:pPr>
      <w:r>
        <w:rPr>
          <w:sz w:val="22"/>
        </w:rPr>
        <w:t>December 27, 2025</w:t>
      </w:r>
    </w:p>
    <w:p>
      <w:r>
        <w:br w:type="page"/>
      </w:r>
    </w:p>
    <w:p>
      <w:pPr>
        <w:pStyle w:val="Heading1"/>
      </w:pPr>
      <w:r>
        <w:t>CCPA/CPRA GAP ANALYSIS REPORT</w:t>
      </w:r>
    </w:p>
    <w:p>
      <w:pPr>
        <w:pStyle w:val="BodyText"/>
      </w:pPr>
      <w:r>
        <w:t>**Company:** BLodgic</w:t>
      </w:r>
    </w:p>
    <w:p>
      <w:pPr>
        <w:pStyle w:val="BodyText"/>
      </w:pPr>
      <w:r>
        <w:t>**Analysis Date:** 2025-12-27T11:53:33.125655</w:t>
      </w:r>
    </w:p>
    <w:p>
      <w:pPr>
        <w:pStyle w:val="BodyText"/>
      </w:pPr>
      <w:r>
        <w:t>**Session ID:** privacy_analysis_BLodgic_20251227_115333</w:t>
      </w:r>
    </w:p>
    <w:p>
      <w:pPr>
        <w:pStyle w:val="BodyText"/>
      </w:pPr>
      <w:r>
        <w:t>---</w:t>
      </w:r>
    </w:p>
    <w:p>
      <w:pPr>
        <w:pStyle w:val="Heading2"/>
      </w:pPr>
      <w:r>
        <w:t>Gap Analysis</w:t>
      </w:r>
    </w:p>
    <w:p>
      <w:pPr>
        <w:pStyle w:val="BodyText"/>
      </w:pPr>
      <w:r>
        <w:t>**BLodgic Privacy Policy CCPA/CPRA Compliance Gap Analysis Report**</w:t>
      </w:r>
    </w:p>
    <w:p>
      <w:pPr>
        <w:pStyle w:val="BodyText"/>
      </w:pPr>
      <w:r>
        <w:t>---</w:t>
      </w:r>
    </w:p>
    <w:p>
      <w:pPr>
        <w:pStyle w:val="BodyText"/>
      </w:pPr>
      <w:r>
        <w:t>**1. Executive Summary of Compliance Status**</w:t>
      </w:r>
    </w:p>
    <w:p>
      <w:pPr>
        <w:pStyle w:val="BodyText"/>
      </w:pPr>
      <w:r>
        <w:t>The BLodgic Privacy Policy provides a general overview of how personal information is managed, but it lacks several critical disclosures and mechanisms required under the CCPA/CPRA. Key areas such as consumer rights, specific notices, and detailed data practices are insufficiently addressed or entirely missing. This report identifies these gaps and provides recommendations to enhance compliance with California privacy laws.</w:t>
      </w:r>
    </w:p>
    <w:p>
      <w:pPr>
        <w:pStyle w:val="BodyText"/>
      </w:pPr>
      <w:r>
        <w:t>---</w:t>
      </w:r>
    </w:p>
    <w:p>
      <w:pPr>
        <w:pStyle w:val="BodyText"/>
      </w:pPr>
      <w:r>
        <w:t>**2. Detailed List of Gaps with Specific CCPA/CPRA Sections**</w:t>
      </w:r>
    </w:p>
    <w:p>
      <w:pPr>
        <w:pStyle w:val="BodyText"/>
      </w:pPr>
      <w:r>
        <w:t>**Gap 1: Right to Know Disclosure**</w:t>
      </w:r>
    </w:p>
    <w:p>
      <w:pPr>
        <w:pStyle w:val="ListBullet"/>
        <w:ind w:left="360"/>
      </w:pPr>
      <w:r>
        <w:t>**Missing:** Disclosure of categories and specific pieces of personal information collected, sources, business purposes, and third-party sharing.</w:t>
      </w:r>
    </w:p>
    <w:p>
      <w:pPr>
        <w:pStyle w:val="ListBullet"/>
        <w:ind w:left="360"/>
      </w:pPr>
      <w:r>
        <w:t>**Reference:** CCPA Section 1798.100</w:t>
      </w:r>
    </w:p>
    <w:p>
      <w:pPr>
        <w:pStyle w:val="BodyText"/>
      </w:pPr>
      <w:r>
        <w:t>**Gap 2: Right to Delete Disclosure**</w:t>
      </w:r>
    </w:p>
    <w:p>
      <w:pPr>
        <w:pStyle w:val="ListBullet"/>
        <w:ind w:left="360"/>
      </w:pPr>
      <w:r>
        <w:t>**Missing:** Information on consumers' right to request deletion of personal information.</w:t>
      </w:r>
    </w:p>
    <w:p>
      <w:pPr>
        <w:pStyle w:val="ListBullet"/>
        <w:ind w:left="360"/>
      </w:pPr>
      <w:r>
        <w:t>**Reference:** CCPA Section 1798.105</w:t>
      </w:r>
    </w:p>
    <w:p>
      <w:pPr>
        <w:pStyle w:val="BodyText"/>
      </w:pPr>
      <w:r>
        <w:t>**Gap 3: Right to Opt-Out of Sale/Sharing**</w:t>
      </w:r>
    </w:p>
    <w:p>
      <w:pPr>
        <w:pStyle w:val="ListBullet"/>
        <w:ind w:left="360"/>
      </w:pPr>
      <w:r>
        <w:t>**Missing:** Notice of the right to opt-out of the sale or sharing of personal information and a 'Do Not Sell or Share My Personal Information' link.</w:t>
      </w:r>
    </w:p>
    <w:p>
      <w:pPr>
        <w:pStyle w:val="ListBullet"/>
        <w:ind w:left="360"/>
      </w:pPr>
      <w:r>
        <w:t>**Reference:** CCPA Section 1798.120</w:t>
      </w:r>
    </w:p>
    <w:p>
      <w:pPr>
        <w:pStyle w:val="BodyText"/>
      </w:pPr>
      <w:r>
        <w:t>**Gap 4: Right to Correct Inaccurate Information**</w:t>
      </w:r>
    </w:p>
    <w:p>
      <w:pPr>
        <w:pStyle w:val="ListBullet"/>
        <w:ind w:left="360"/>
      </w:pPr>
      <w:r>
        <w:t>**Missing:** Disclosure of consumers' right to correct inaccurate personal information.</w:t>
      </w:r>
    </w:p>
    <w:p>
      <w:pPr>
        <w:pStyle w:val="ListBullet"/>
        <w:ind w:left="360"/>
      </w:pPr>
      <w:r>
        <w:t>**Reference:** CPRA Section 1798.106</w:t>
      </w:r>
    </w:p>
    <w:p>
      <w:pPr>
        <w:pStyle w:val="BodyText"/>
      </w:pPr>
      <w:r>
        <w:t>**Gap 5: Right to Limit Use of Sensitive Personal Information**</w:t>
      </w:r>
    </w:p>
    <w:p>
      <w:pPr>
        <w:pStyle w:val="ListBullet"/>
        <w:ind w:left="360"/>
      </w:pPr>
      <w:r>
        <w:t>**Missing:** Information on the right to limit the use and disclosure of sensitive personal information.</w:t>
      </w:r>
    </w:p>
    <w:p>
      <w:pPr>
        <w:pStyle w:val="ListBullet"/>
        <w:ind w:left="360"/>
      </w:pPr>
      <w:r>
        <w:t>**Reference:** CPRA Section 1798.121</w:t>
      </w:r>
    </w:p>
    <w:p>
      <w:pPr>
        <w:pStyle w:val="BodyText"/>
      </w:pPr>
      <w:r>
        <w:t>**Gap 6: Notice at Collection**</w:t>
      </w:r>
    </w:p>
    <w:p>
      <w:pPr>
        <w:pStyle w:val="ListBullet"/>
        <w:ind w:left="360"/>
      </w:pPr>
      <w:r>
        <w:t>**Missing:** Notice at or before the point of collection about categories of personal information collected and purposes.</w:t>
      </w:r>
    </w:p>
    <w:p>
      <w:pPr>
        <w:pStyle w:val="ListBullet"/>
        <w:ind w:left="360"/>
      </w:pPr>
      <w:r>
        <w:t>**Reference:** CCPA Section 1798.100(b)</w:t>
      </w:r>
    </w:p>
    <w:p>
      <w:pPr>
        <w:pStyle w:val="BodyText"/>
      </w:pPr>
      <w:r>
        <w:t>**Gap 7: Privacy Policy - Collection Disclosure**</w:t>
      </w:r>
    </w:p>
    <w:p>
      <w:pPr>
        <w:pStyle w:val="ListBullet"/>
        <w:ind w:left="360"/>
      </w:pPr>
      <w:r>
        <w:t>**Missing:** Detailed categories of personal information collected and purposes for use.</w:t>
      </w:r>
    </w:p>
    <w:p>
      <w:pPr>
        <w:pStyle w:val="ListBullet"/>
        <w:ind w:left="360"/>
      </w:pPr>
      <w:r>
        <w:t>**Reference:** CCPA Section 1798.130(a)(5)</w:t>
      </w:r>
    </w:p>
    <w:p>
      <w:pPr>
        <w:pStyle w:val="BodyText"/>
      </w:pPr>
      <w:r>
        <w:t>**Gap 8: Third-Party Disclosure Requirements**</w:t>
      </w:r>
    </w:p>
    <w:p>
      <w:pPr>
        <w:pStyle w:val="ListBullet"/>
        <w:ind w:left="360"/>
      </w:pPr>
      <w:r>
        <w:t>**Missing:** Disclosure of categories of personal information disclosed for business purposes and third parties involved.</w:t>
      </w:r>
    </w:p>
    <w:p>
      <w:pPr>
        <w:pStyle w:val="ListBullet"/>
        <w:ind w:left="360"/>
      </w:pPr>
      <w:r>
        <w:t>**Reference:** CCPA Section 1798.130(a)(5)(D)</w:t>
      </w:r>
    </w:p>
    <w:p>
      <w:pPr>
        <w:pStyle w:val="BodyText"/>
      </w:pPr>
      <w:r>
        <w:t>**Gap 9: Privacy Policy - Sharing and Selling**</w:t>
      </w:r>
    </w:p>
    <w:p>
      <w:pPr>
        <w:pStyle w:val="ListBullet"/>
        <w:ind w:left="360"/>
      </w:pPr>
      <w:r>
        <w:t>**Missing:** Disclosure of whether personal information is sold or shared.</w:t>
      </w:r>
    </w:p>
    <w:p>
      <w:pPr>
        <w:pStyle w:val="ListBullet"/>
        <w:ind w:left="360"/>
      </w:pPr>
      <w:r>
        <w:t>**Reference:** CCPA Section 1798.130(a)(5)(C)</w:t>
      </w:r>
    </w:p>
    <w:p>
      <w:pPr>
        <w:pStyle w:val="BodyText"/>
      </w:pPr>
      <w:r>
        <w:t>**Gap 10: Methods for Submitting Requests**</w:t>
      </w:r>
    </w:p>
    <w:p>
      <w:pPr>
        <w:pStyle w:val="ListBullet"/>
        <w:ind w:left="360"/>
      </w:pPr>
      <w:r>
        <w:t>**Missing:** Two or more designated methods for submitting requests to know and delete, including a toll-free number.</w:t>
      </w:r>
    </w:p>
    <w:p>
      <w:pPr>
        <w:pStyle w:val="ListBullet"/>
        <w:ind w:left="360"/>
      </w:pPr>
      <w:r>
        <w:t>**Reference:** CCPA Section 1798.130(a)(1)</w:t>
      </w:r>
    </w:p>
    <w:p>
      <w:pPr>
        <w:pStyle w:val="BodyText"/>
      </w:pPr>
      <w:r>
        <w:t>**Gap 11: Children's Data Protections**</w:t>
      </w:r>
    </w:p>
    <w:p>
      <w:pPr>
        <w:pStyle w:val="ListBullet"/>
        <w:ind w:left="360"/>
      </w:pPr>
      <w:r>
        <w:t>**Missing:** Affirmative authorization requirements for selling/sharing data of consumers under 13 and between 13-16 years.</w:t>
      </w:r>
    </w:p>
    <w:p>
      <w:pPr>
        <w:pStyle w:val="ListBullet"/>
        <w:ind w:left="360"/>
      </w:pPr>
      <w:r>
        <w:t>**Reference:** CCPA Section 1798.120(c)</w:t>
      </w:r>
    </w:p>
    <w:p>
      <w:pPr>
        <w:pStyle w:val="BodyText"/>
      </w:pPr>
      <w:r>
        <w:t>**Gap 12: Non-Discrimination Policy**</w:t>
      </w:r>
    </w:p>
    <w:p>
      <w:pPr>
        <w:pStyle w:val="ListBullet"/>
        <w:ind w:left="360"/>
      </w:pPr>
      <w:r>
        <w:t>**Missing:** Statement on non-discrimination against consumers exercising their rights.</w:t>
      </w:r>
    </w:p>
    <w:p>
      <w:pPr>
        <w:pStyle w:val="ListBullet"/>
        <w:ind w:left="360"/>
      </w:pPr>
      <w:r>
        <w:t>**Reference:** CCPA Section 1798.125(a)</w:t>
      </w:r>
    </w:p>
    <w:p>
      <w:pPr>
        <w:pStyle w:val="BodyText"/>
      </w:pPr>
      <w:r>
        <w:t>**Gap 13: Privacy Policy Accessibility**</w:t>
      </w:r>
    </w:p>
    <w:p>
      <w:pPr>
        <w:pStyle w:val="ListBullet"/>
        <w:ind w:left="360"/>
      </w:pPr>
      <w:r>
        <w:t>**Missing:** Assurance of accessibility and clarity of the privacy policy.</w:t>
      </w:r>
    </w:p>
    <w:p>
      <w:pPr>
        <w:pStyle w:val="ListBullet"/>
        <w:ind w:left="360"/>
      </w:pPr>
      <w:r>
        <w:t>**Reference:** CCPA Regulations Section 999.308</w:t>
      </w:r>
    </w:p>
    <w:p>
      <w:pPr>
        <w:pStyle w:val="BodyText"/>
      </w:pPr>
      <w:r>
        <w:t>**Gap 14: Service Provider Obligations**</w:t>
      </w:r>
    </w:p>
    <w:p>
      <w:pPr>
        <w:pStyle w:val="ListBullet"/>
        <w:ind w:left="360"/>
      </w:pPr>
      <w:r>
        <w:t>**Missing:** Assurance of compliance with CCPA obligations by service providers.</w:t>
      </w:r>
    </w:p>
    <w:p>
      <w:pPr>
        <w:pStyle w:val="ListBullet"/>
        <w:ind w:left="360"/>
      </w:pPr>
      <w:r>
        <w:t>**Reference:** CCPA Section 1798.140(ag)</w:t>
      </w:r>
    </w:p>
    <w:p>
      <w:pPr>
        <w:pStyle w:val="BodyText"/>
      </w:pPr>
      <w:r>
        <w:t>**Gap 15: Record Keeping Requirements**</w:t>
      </w:r>
    </w:p>
    <w:p>
      <w:pPr>
        <w:pStyle w:val="ListBullet"/>
        <w:ind w:left="360"/>
      </w:pPr>
      <w:r>
        <w:t>**Missing:** Maintenance of records of consumer requests and responses.</w:t>
      </w:r>
    </w:p>
    <w:p>
      <w:pPr>
        <w:pStyle w:val="ListBullet"/>
        <w:ind w:left="360"/>
      </w:pPr>
      <w:r>
        <w:t>**Reference:** CCPA Regulations Section 999.317</w:t>
      </w:r>
    </w:p>
    <w:p>
      <w:pPr>
        <w:pStyle w:val="BodyText"/>
      </w:pPr>
      <w:r>
        <w:t>**Gap 16: Annual Metrics Reporting**</w:t>
      </w:r>
    </w:p>
    <w:p>
      <w:pPr>
        <w:pStyle w:val="ListBullet"/>
        <w:ind w:left="360"/>
      </w:pPr>
      <w:r>
        <w:t>**Missing:** Compilation and availability of metrics regarding consumer requests.</w:t>
      </w:r>
    </w:p>
    <w:p>
      <w:pPr>
        <w:pStyle w:val="ListBullet"/>
        <w:ind w:left="360"/>
      </w:pPr>
      <w:r>
        <w:t>**Reference:** CCPA Regulations Section 999.317(g)</w:t>
      </w:r>
    </w:p>
    <w:p>
      <w:pPr>
        <w:pStyle w:val="BodyText"/>
      </w:pPr>
      <w:r>
        <w:t>**3. Recommendations for Each Gap**</w:t>
      </w:r>
    </w:p>
    <w:p>
      <w:pPr>
        <w:pStyle w:val="BodyText"/>
      </w:pPr>
      <w:r>
        <w:t>**Gap 1-4, 6-9, 11-12:** Update the privacy policy to explicitly include disclosures on consumer rights, including the right to know, delete, opt-out, correct, and limit use of sensitive information. Ensure these rights are clearly articulated with instructions on how consumers can exercise them.</w:t>
      </w:r>
    </w:p>
    <w:p>
      <w:pPr>
        <w:pStyle w:val="BodyText"/>
      </w:pPr>
      <w:r>
        <w:t>**Gap 5:** Add a section on the right to limit the use of sensitive personal information, specifying the categories considered sensitive and how consumers can exercise this right.</w:t>
      </w:r>
    </w:p>
    <w:p>
      <w:pPr>
        <w:pStyle w:val="BodyText"/>
      </w:pPr>
      <w:r>
        <w:t>**Gap 10:** Provide at least two methods for submitting consumer requests, including a toll-free number and an online form.</w:t>
      </w:r>
    </w:p>
    <w:p>
      <w:pPr>
        <w:pStyle w:val="BodyText"/>
      </w:pPr>
      <w:r>
        <w:t>**Gap 13:** Ensure the privacy policy is accessible and easy to read, with a clear and conspicuous link on the homepage.</w:t>
      </w:r>
    </w:p>
    <w:p>
      <w:pPr>
        <w:pStyle w:val="BodyText"/>
      </w:pPr>
      <w:r>
        <w:t>**Gap 14:** Include language in contracts with service providers that mandates compliance with CCPA obligations.</w:t>
      </w:r>
    </w:p>
    <w:p>
      <w:pPr>
        <w:pStyle w:val="BodyText"/>
      </w:pPr>
      <w:r>
        <w:t>**Gap 15-16:** Implement procedures for maintaining records of consumer requests and compile annual metrics on these requests, making them available in the privacy policy or on the website.</w:t>
      </w:r>
    </w:p>
    <w:p>
      <w:pPr>
        <w:pStyle w:val="BodyText"/>
      </w:pPr>
      <w:r>
        <w:t>**4. Priority Level for Each Gap**</w:t>
      </w:r>
    </w:p>
    <w:p>
      <w:pPr>
        <w:pStyle w:val="ListBullet"/>
        <w:ind w:left="360"/>
      </w:pPr>
      <w:r>
        <w:t>**Critical:** Gaps 1, 2, 3, 6, 7, 9, 10, 11, 12</w:t>
      </w:r>
    </w:p>
    <w:p>
      <w:pPr>
        <w:pStyle w:val="ListBullet"/>
        <w:ind w:left="360"/>
      </w:pPr>
      <w:r>
        <w:t>**High:** Gaps 4, 5, 8, 13, 14</w:t>
      </w:r>
    </w:p>
    <w:p>
      <w:pPr>
        <w:pStyle w:val="ListBullet"/>
        <w:ind w:left="360"/>
      </w:pPr>
      <w:r>
        <w:t>**Medium:** Gaps 15, 16</w:t>
      </w:r>
    </w:p>
    <w:p>
      <w:pPr>
        <w:pStyle w:val="BodyText"/>
      </w:pPr>
      <w:r>
        <w:t>---</w:t>
      </w:r>
    </w:p>
    <w:p>
      <w:pPr>
        <w:pStyle w:val="BodyText"/>
      </w:pPr>
      <w:r>
        <w:t>This structured report outlines the necessary steps BLodgic must take to achieve compliance with CCPA/CPRA requirements. Immediate attention to critical gaps is recommended to mitigate potential legal risks and enhance consumer trust.</w:t>
      </w:r>
    </w:p>
    <w:p>
      <w:pPr>
        <w:pStyle w:val="BodyText"/>
      </w:pPr>
      <w:r>
        <w:t>---</w:t>
      </w:r>
    </w:p>
    <w:p>
      <w:pPr>
        <w:pStyle w:val="Heading2"/>
      </w:pPr>
      <w:r>
        <w:t>Metadata</w:t>
      </w:r>
    </w:p>
    <w:p>
      <w:pPr>
        <w:pStyle w:val="ListBullet"/>
        <w:ind w:left="360"/>
      </w:pPr>
      <w:r>
        <w:t>**Model Used:** GPT-4.1</w:t>
      </w:r>
    </w:p>
    <w:p>
      <w:pPr>
        <w:pStyle w:val="ListBullet"/>
        <w:ind w:left="360"/>
      </w:pPr>
      <w:r>
        <w:t>**Tokens Consumed:** 4236</w:t>
      </w:r>
    </w:p>
    <w:p>
      <w:pPr>
        <w:pStyle w:val="ListBullet"/>
        <w:ind w:left="360"/>
      </w:pPr>
      <w:r>
        <w:t>**Framework:** CCPA/CPRA (California Consumer Privacy Act / California Privacy Rights Act)</w:t>
      </w:r>
    </w:p>
    <w:p>
      <w:pPr>
        <w:pStyle w:val="BodyText"/>
      </w:pPr>
      <w:r>
        <w:t>---</w:t>
      </w:r>
    </w:p>
    <w:p>
      <w:pPr>
        <w:pStyle w:val="BodyText"/>
      </w:pPr>
      <w:r>
        <w:t>*Report generated by Privacy Policy Gap Analysis System with RAG and MCP*</w:t>
      </w:r>
    </w:p>
    <w:p>
      <w:pPr>
        <w:pStyle w:val="BodyText"/>
      </w:pPr>
      <w:r>
        <w:t>*Powered by Cardinal Security Privacy Compliance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Calibri" w:hAnsi="Calibri"/>
      <w:b/>
      <w:bCs/>
      <w:color w:val="0070C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4472C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336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