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3366"/>
          <w:sz w:val="32"/>
        </w:rPr>
        <w:t>BLodgic</w:t>
      </w:r>
    </w:p>
    <w:p/>
    <w:p>
      <w:pPr>
        <w:jc w:val="center"/>
      </w:pPr>
      <w:r>
        <w:rPr>
          <w:rFonts w:ascii="Calibri" w:hAnsi="Calibri"/>
          <w:color w:val="000000"/>
          <w:sz w:val="28"/>
        </w:rPr>
        <w:t>20</w:t>
        <w:br/>
        <w:t>COMPLIANCE</w:t>
        <w:tab/>
        <w:t>25</w:t>
      </w:r>
    </w:p>
    <w:p>
      <w:pPr>
        <w:spacing w:after="240"/>
        <w:jc w:val="center"/>
      </w:pPr>
      <w:r>
        <w:rPr>
          <w:rFonts w:ascii="Calibri" w:hAnsi="Calibri"/>
          <w:b/>
          <w:color w:val="003366"/>
          <w:sz w:val="48"/>
        </w:rPr>
        <w:t>CCPA COMPLIANCE ASSESSMENT REPORT</w:t>
      </w:r>
    </w:p>
    <w:p>
      <w:pPr>
        <w:jc w:val="center"/>
      </w:pPr>
      <w:r>
        <w:rPr>
          <w:color w:val="000000"/>
          <w:sz w:val="28"/>
        </w:rPr>
        <w:t>BLodgic Privacy Policy</w:t>
        <w:br/>
        <w:t>Compliance Gap Analysis</w:t>
      </w:r>
    </w:p>
    <w:p/>
    <w:p/>
    <w:p/>
    <w:p/>
    <w:p/>
    <w:p/>
    <w:p>
      <w:pPr>
        <w:pStyle w:val="BodyText"/>
        <w:spacing w:line="360" w:lineRule="auto"/>
      </w:pPr>
      <w:r>
        <w:rPr>
          <w:rFonts w:ascii="Calibri" w:hAnsi="Calibri"/>
          <w:sz w:val="22"/>
        </w:rPr>
        <w:t>This report provides a comprehensive CCPA/CPRA compliance gap analysis, identifying specific areas where the privacy policy requires updates to meet California consumer privacy requirements.</w:t>
      </w:r>
    </w:p>
    <w:p/>
    <w:p/>
    <w:p>
      <w:pPr>
        <w:pStyle w:val="Heading3"/>
      </w:pPr>
      <w:r>
        <w:t>Report Generated By</w:t>
      </w:r>
    </w:p>
    <w:p>
      <w:pPr>
        <w:pStyle w:val="BodyText"/>
      </w:pPr>
      <w:r>
        <w:rPr>
          <w:sz w:val="22"/>
        </w:rPr>
        <w:t>Privacy Policy Gap Analysis System</w:t>
        <w:br/>
        <w:t>Powered by Cardinal Security</w:t>
      </w:r>
    </w:p>
    <w:p>
      <w:pPr>
        <w:pStyle w:val="Heading3"/>
      </w:pPr>
      <w:r>
        <w:t>Analysis Date</w:t>
      </w:r>
    </w:p>
    <w:p>
      <w:pPr>
        <w:pStyle w:val="BodyText"/>
      </w:pPr>
      <w:r>
        <w:rPr>
          <w:sz w:val="22"/>
        </w:rPr>
        <w:t>January 02, 2026</w:t>
      </w:r>
    </w:p>
    <w:p>
      <w:r>
        <w:br w:type="page"/>
      </w:r>
    </w:p>
    <w:p>
      <w:pPr>
        <w:pStyle w:val="Heading1"/>
      </w:pPr>
      <w:r>
        <w:t>CCPA/CPRA GAP ANALYSIS REPORT</w:t>
      </w:r>
    </w:p>
    <w:p>
      <w:pPr>
        <w:pStyle w:val="BodyText"/>
      </w:pPr>
      <w:r>
        <w:t>**Company:** BLodgic</w:t>
      </w:r>
    </w:p>
    <w:p>
      <w:pPr>
        <w:pStyle w:val="BodyText"/>
      </w:pPr>
      <w:r>
        <w:t>**Analysis Date:** 2026-01-02T14:33:14.280942</w:t>
      </w:r>
    </w:p>
    <w:p>
      <w:pPr>
        <w:pStyle w:val="BodyText"/>
      </w:pPr>
      <w:r>
        <w:t>**Session ID:** privacy_analysis_BLodgic_20260102_143314</w:t>
      </w:r>
    </w:p>
    <w:p>
      <w:pPr>
        <w:pStyle w:val="BodyText"/>
      </w:pPr>
      <w:r>
        <w:t>---</w:t>
      </w:r>
    </w:p>
    <w:p>
      <w:pPr>
        <w:pStyle w:val="Heading2"/>
      </w:pPr>
      <w:r>
        <w:t>Gap Analysis</w:t>
      </w:r>
    </w:p>
    <w:p>
      <w:pPr>
        <w:pStyle w:val="BodyText"/>
      </w:pPr>
      <w:r>
        <w:t>**BLodgic Privacy Policy CCPA/CPRA Compliance Gap Analysis**</w:t>
      </w:r>
    </w:p>
    <w:p>
      <w:pPr>
        <w:pStyle w:val="BodyText"/>
      </w:pPr>
      <w:r>
        <w:t>---</w:t>
      </w:r>
    </w:p>
    <w:p>
      <w:pPr>
        <w:pStyle w:val="BodyText"/>
      </w:pPr>
      <w:r>
        <w:t>**1. Executive Summary of Compliance Status**</w:t>
      </w:r>
    </w:p>
    <w:p>
      <w:pPr>
        <w:pStyle w:val="BodyText"/>
      </w:pPr>
      <w:r>
        <w:t>The BLodgic Privacy Policy lacks several key disclosures and mechanisms required under the CCPA/CPRA. The policy does not adequately address consumer rights, such as the right to know, delete, and opt-out of the sale or sharing of personal information. Additionally, there are missing elements related to data handling, security practices, and third-party disclosures. Immediate attention is required to align the policy with California privacy laws.</w:t>
      </w:r>
    </w:p>
    <w:p>
      <w:pPr>
        <w:pStyle w:val="BodyText"/>
      </w:pPr>
      <w:r>
        <w:t>---</w:t>
      </w:r>
    </w:p>
    <w:p>
      <w:pPr>
        <w:pStyle w:val="BodyText"/>
      </w:pPr>
      <w:r>
        <w:t>**2. Detailed List of Gaps with Specific CCPA/CPRA Sections**</w:t>
      </w:r>
    </w:p>
    <w:p>
      <w:pPr>
        <w:pStyle w:val="BodyText"/>
      </w:pPr>
      <w:r>
        <w:t>1. **Right to Know Disclosure**</w:t>
      </w:r>
    </w:p>
    <w:p>
      <w:pPr>
        <w:pStyle w:val="BodyText"/>
      </w:pPr>
      <w:r>
        <w:t xml:space="preserve">   - **Gap:** The policy does not disclose the categories and specific pieces of personal information collected, the sources, business purposes, or categories of third parties with whom the information is shared.</w:t>
      </w:r>
    </w:p>
    <w:p>
      <w:pPr>
        <w:pStyle w:val="BodyText"/>
      </w:pPr>
      <w:r>
        <w:t xml:space="preserve">   - **Reference:** CCPA Section 1798.100</w:t>
      </w:r>
    </w:p>
    <w:p>
      <w:pPr>
        <w:pStyle w:val="BodyText"/>
      </w:pPr>
      <w:r>
        <w:t>2. **Right to Delete Disclosure**</w:t>
      </w:r>
    </w:p>
    <w:p>
      <w:pPr>
        <w:pStyle w:val="BodyText"/>
      </w:pPr>
      <w:r>
        <w:t xml:space="preserve">   - **Gap:** The policy lacks a clear disclosure of the consumer's right to request deletion of personal information.</w:t>
      </w:r>
    </w:p>
    <w:p>
      <w:pPr>
        <w:pStyle w:val="BodyText"/>
      </w:pPr>
      <w:r>
        <w:t xml:space="preserve">   - **Reference:** CCPA Section 1798.105</w:t>
      </w:r>
    </w:p>
    <w:p>
      <w:pPr>
        <w:pStyle w:val="BodyText"/>
      </w:pPr>
      <w:r>
        <w:t>3. **Right to Opt-Out of Sale/Sharing**</w:t>
      </w:r>
    </w:p>
    <w:p>
      <w:pPr>
        <w:pStyle w:val="BodyText"/>
      </w:pPr>
      <w:r>
        <w:t xml:space="preserve">   - **Gap:** There is no mention of the right to opt-out of the sale or sharing of personal information, nor is there a 'Do Not Sell or Share My Personal Information' link.</w:t>
      </w:r>
    </w:p>
    <w:p>
      <w:pPr>
        <w:pStyle w:val="BodyText"/>
      </w:pPr>
      <w:r>
        <w:t xml:space="preserve">   - **Reference:** CCPA Section 1798.120</w:t>
      </w:r>
    </w:p>
    <w:p>
      <w:pPr>
        <w:pStyle w:val="BodyText"/>
      </w:pPr>
      <w:r>
        <w:t>4. **Right to Correct Inaccurate Information**</w:t>
      </w:r>
    </w:p>
    <w:p>
      <w:pPr>
        <w:pStyle w:val="BodyText"/>
      </w:pPr>
      <w:r>
        <w:t xml:space="preserve">   - **Gap:** The policy does not mention the right to correct inaccurate personal information.</w:t>
      </w:r>
    </w:p>
    <w:p>
      <w:pPr>
        <w:pStyle w:val="BodyText"/>
      </w:pPr>
      <w:r>
        <w:t xml:space="preserve">   - **Reference:** CPRA Section 1798.106</w:t>
      </w:r>
    </w:p>
    <w:p>
      <w:pPr>
        <w:pStyle w:val="BodyText"/>
      </w:pPr>
      <w:r>
        <w:t>5. **Right to Limit Use of Sensitive Personal Information**</w:t>
      </w:r>
    </w:p>
    <w:p>
      <w:pPr>
        <w:pStyle w:val="BodyText"/>
      </w:pPr>
      <w:r>
        <w:t xml:space="preserve">   - **Gap:** The policy does not address the right to limit the use of sensitive personal information.</w:t>
      </w:r>
    </w:p>
    <w:p>
      <w:pPr>
        <w:pStyle w:val="BodyText"/>
      </w:pPr>
      <w:r>
        <w:t xml:space="preserve">   - **Reference:** CPRA Section 1798.121</w:t>
      </w:r>
    </w:p>
    <w:p>
      <w:pPr>
        <w:pStyle w:val="BodyText"/>
      </w:pPr>
      <w:r>
        <w:t>6. **Notice at Collection**</w:t>
      </w:r>
    </w:p>
    <w:p>
      <w:pPr>
        <w:pStyle w:val="BodyText"/>
      </w:pPr>
      <w:r>
        <w:t xml:space="preserve">   - **Gap:** The policy does not provide a notice at or before the point of collection about the categories of personal information collected and the purposes for collection.</w:t>
      </w:r>
    </w:p>
    <w:p>
      <w:pPr>
        <w:pStyle w:val="BodyText"/>
      </w:pPr>
      <w:r>
        <w:t xml:space="preserve">   - **Reference:** CCPA Section 1798.100(b)</w:t>
      </w:r>
    </w:p>
    <w:p>
      <w:pPr>
        <w:pStyle w:val="BodyText"/>
      </w:pPr>
      <w:r>
        <w:t>7. **Privacy Policy - Collection Disclosure**</w:t>
      </w:r>
    </w:p>
    <w:p>
      <w:pPr>
        <w:pStyle w:val="BodyText"/>
      </w:pPr>
      <w:r>
        <w:t xml:space="preserve">   - **Gap:** The policy does not describe the categories of personal information collected and the purposes for which they are used.</w:t>
      </w:r>
    </w:p>
    <w:p>
      <w:pPr>
        <w:pStyle w:val="BodyText"/>
      </w:pPr>
      <w:r>
        <w:t xml:space="preserve">   - **Reference:** CCPA Section 1798.130(a)(5)</w:t>
      </w:r>
    </w:p>
    <w:p>
      <w:pPr>
        <w:pStyle w:val="BodyText"/>
      </w:pPr>
      <w:r>
        <w:t>8. **Third-Party Disclosure Requirements**</w:t>
      </w:r>
    </w:p>
    <w:p>
      <w:pPr>
        <w:pStyle w:val="BodyText"/>
      </w:pPr>
      <w:r>
        <w:t xml:space="preserve">   - **Gap:** The policy does not disclose the categories of personal information disclosed for business purposes and the categories of third parties to whom information is disclosed.</w:t>
      </w:r>
    </w:p>
    <w:p>
      <w:pPr>
        <w:pStyle w:val="BodyText"/>
      </w:pPr>
      <w:r>
        <w:t xml:space="preserve">   - **Reference:** CCPA Section 1798.130(a)(5)(D)</w:t>
      </w:r>
    </w:p>
    <w:p>
      <w:pPr>
        <w:pStyle w:val="BodyText"/>
      </w:pPr>
      <w:r>
        <w:t>9. **Service Provider Contracts**</w:t>
      </w:r>
    </w:p>
    <w:p>
      <w:pPr>
        <w:pStyle w:val="BodyText"/>
      </w:pPr>
      <w:r>
        <w:t xml:space="preserve">   - **Gap:** There is no mention of contractual obligations with service providers regarding the use and retention of personal information.</w:t>
      </w:r>
    </w:p>
    <w:p>
      <w:pPr>
        <w:pStyle w:val="BodyText"/>
      </w:pPr>
      <w:r>
        <w:t xml:space="preserve">   - **Reference:** CCPA Section 1798.140(ag)(2)</w:t>
      </w:r>
    </w:p>
    <w:p>
      <w:pPr>
        <w:pStyle w:val="BodyText"/>
      </w:pPr>
      <w:r>
        <w:t>10. **Privacy Policy Updates**</w:t>
      </w:r>
    </w:p>
    <w:p>
      <w:pPr>
        <w:pStyle w:val="BodyText"/>
      </w:pPr>
      <w:r>
        <w:t xml:space="preserve">    - **Gap:** The policy does not specify that it will be updated at least once every 12 months.</w:t>
      </w:r>
    </w:p>
    <w:p>
      <w:pPr>
        <w:pStyle w:val="BodyText"/>
      </w:pPr>
      <w:r>
        <w:t xml:space="preserve">    - **Reference:** CCPA Section 1798.130(a)(5)</w:t>
      </w:r>
    </w:p>
    <w:p>
      <w:pPr>
        <w:pStyle w:val="BodyText"/>
      </w:pPr>
      <w:r>
        <w:t>11. **Children's Data Protections (Under 13 and 13-16)**</w:t>
      </w:r>
    </w:p>
    <w:p>
      <w:pPr>
        <w:pStyle w:val="BodyText"/>
      </w:pPr>
      <w:r>
        <w:t xml:space="preserve">    - **Gap:** The policy does not adequately address the sale or sharing of personal information for children under 13 and between 13 to 16 years of age.</w:t>
      </w:r>
    </w:p>
    <w:p>
      <w:pPr>
        <w:pStyle w:val="BodyText"/>
      </w:pPr>
      <w:r>
        <w:t xml:space="preserve">    - **Reference:** CCPA Section 1798.120(c)</w:t>
      </w:r>
    </w:p>
    <w:p>
      <w:pPr>
        <w:pStyle w:val="BodyText"/>
      </w:pPr>
      <w:r>
        <w:t>12. **Methods for Submitting Requests**</w:t>
      </w:r>
    </w:p>
    <w:p>
      <w:pPr>
        <w:pStyle w:val="BodyText"/>
      </w:pPr>
      <w:r>
        <w:t xml:space="preserve">    - **Gap:** The policy does not provide two or more designated methods for submitting requests to know and delete, such as a toll-free number.</w:t>
      </w:r>
    </w:p>
    <w:p>
      <w:pPr>
        <w:pStyle w:val="BodyText"/>
      </w:pPr>
      <w:r>
        <w:t xml:space="preserve">    - **Reference:** CCPA Section 1798.130(a)(1)</w:t>
      </w:r>
    </w:p>
    <w:p>
      <w:pPr>
        <w:pStyle w:val="BodyText"/>
      </w:pPr>
      <w:r>
        <w:t>13. **Non-Discrimination Policy**</w:t>
      </w:r>
    </w:p>
    <w:p>
      <w:pPr>
        <w:pStyle w:val="BodyText"/>
      </w:pPr>
      <w:r>
        <w:t xml:space="preserve">    - **Gap:** The policy does not include a non-discrimination statement regarding the exercise of CCPA rights.</w:t>
      </w:r>
    </w:p>
    <w:p>
      <w:pPr>
        <w:pStyle w:val="BodyText"/>
      </w:pPr>
      <w:r>
        <w:t xml:space="preserve">    - **Reference:** CCPA Section 1798.125(a)</w:t>
      </w:r>
    </w:p>
    <w:p>
      <w:pPr>
        <w:pStyle w:val="BodyText"/>
      </w:pPr>
      <w:r>
        <w:t>14. **Identity Verification Procedures**</w:t>
      </w:r>
    </w:p>
    <w:p>
      <w:pPr>
        <w:pStyle w:val="BodyText"/>
      </w:pPr>
      <w:r>
        <w:t xml:space="preserve">    - **Gap:** The policy lacks procedures for verifying the identity of consumers making requests.</w:t>
      </w:r>
    </w:p>
    <w:p>
      <w:pPr>
        <w:pStyle w:val="BodyText"/>
      </w:pPr>
      <w:r>
        <w:t xml:space="preserve">    - **Reference:** CCPA Section 1798.140(n)</w:t>
      </w:r>
    </w:p>
    <w:p>
      <w:pPr>
        <w:pStyle w:val="BodyText"/>
      </w:pPr>
      <w:r>
        <w:t>15. **Record Keeping Requirements**</w:t>
      </w:r>
    </w:p>
    <w:p>
      <w:pPr>
        <w:pStyle w:val="BodyText"/>
      </w:pPr>
      <w:r>
        <w:t xml:space="preserve">    - **Gap:** The policy does not mention maintaining records of consumer requests and responses for 24 months.</w:t>
      </w:r>
    </w:p>
    <w:p>
      <w:pPr>
        <w:pStyle w:val="BodyText"/>
      </w:pPr>
      <w:r>
        <w:t xml:space="preserve">    - **Reference:** CCPA Regulations Section 999.317</w:t>
      </w:r>
    </w:p>
    <w:p>
      <w:pPr>
        <w:pStyle w:val="BodyText"/>
      </w:pPr>
      <w:r>
        <w:t>16. **Annual Metrics Reporting**</w:t>
      </w:r>
    </w:p>
    <w:p>
      <w:pPr>
        <w:pStyle w:val="BodyText"/>
      </w:pPr>
      <w:r>
        <w:t xml:space="preserve">    - **Gap:** The policy does not mention compiling and reporting metrics regarding consumer requests.</w:t>
      </w:r>
    </w:p>
    <w:p>
      <w:pPr>
        <w:pStyle w:val="BodyText"/>
      </w:pPr>
      <w:r>
        <w:t xml:space="preserve">    - **Reference:** CCPA Regulations Section 999.317(g)</w:t>
      </w:r>
    </w:p>
    <w:p>
      <w:pPr>
        <w:pStyle w:val="BodyText"/>
      </w:pPr>
      <w:r>
        <w:t>---</w:t>
      </w:r>
    </w:p>
    <w:p>
      <w:pPr>
        <w:pStyle w:val="BodyText"/>
      </w:pPr>
      <w:r>
        <w:t>**3. Recommendations for Each Gap**</w:t>
      </w:r>
    </w:p>
    <w:p>
      <w:pPr>
        <w:pStyle w:val="BodyText"/>
      </w:pPr>
      <w:r>
        <w:t>1. **Right to Know Disclosure**</w:t>
      </w:r>
    </w:p>
    <w:p>
      <w:pPr>
        <w:pStyle w:val="BodyText"/>
      </w:pPr>
      <w:r>
        <w:t xml:space="preserve">   - **Recommendation:** Include a detailed section listing the categories of personal information collected, sources, purposes, and third-party sharing details.</w:t>
      </w:r>
    </w:p>
    <w:p>
      <w:pPr>
        <w:pStyle w:val="BodyText"/>
      </w:pPr>
      <w:r>
        <w:t>2. **Right to Delete Disclosure**</w:t>
      </w:r>
    </w:p>
    <w:p>
      <w:pPr>
        <w:pStyle w:val="BodyText"/>
      </w:pPr>
      <w:r>
        <w:t xml:space="preserve">   - **Recommendation:** Add a section explaining the right to request deletion and the process for making such requests.</w:t>
      </w:r>
    </w:p>
    <w:p>
      <w:pPr>
        <w:pStyle w:val="BodyText"/>
      </w:pPr>
      <w:r>
        <w:t>3. **Right to Opt-Out of Sale/Sharing**</w:t>
      </w:r>
    </w:p>
    <w:p>
      <w:pPr>
        <w:pStyle w:val="BodyText"/>
      </w:pPr>
      <w:r>
        <w:t xml:space="preserve">   - **Recommendation:** Implement a 'Do Not Sell or Share My Personal Information' link and describe the opt-out process.</w:t>
      </w:r>
    </w:p>
    <w:p>
      <w:pPr>
        <w:pStyle w:val="BodyText"/>
      </w:pPr>
      <w:r>
        <w:t>4. **Right to Correct Inaccurate Information**</w:t>
      </w:r>
    </w:p>
    <w:p>
      <w:pPr>
        <w:pStyle w:val="BodyText"/>
      </w:pPr>
      <w:r>
        <w:t xml:space="preserve">   - **Recommendation:** Include a section on the right to correct inaccurate information and how consumers can exercise this right.</w:t>
      </w:r>
    </w:p>
    <w:p>
      <w:pPr>
        <w:pStyle w:val="BodyText"/>
      </w:pPr>
      <w:r>
        <w:t>5. **Right to Limit Use of Sensitive Personal Information**</w:t>
      </w:r>
    </w:p>
    <w:p>
      <w:pPr>
        <w:pStyle w:val="BodyText"/>
      </w:pPr>
      <w:r>
        <w:t xml:space="preserve">   - **Recommendation:** Describe how consumers can limit the use of their sensitive personal information.</w:t>
      </w:r>
    </w:p>
    <w:p>
      <w:pPr>
        <w:pStyle w:val="BodyText"/>
      </w:pPr>
      <w:r>
        <w:t>6. **Notice at Collection**</w:t>
      </w:r>
    </w:p>
    <w:p>
      <w:pPr>
        <w:pStyle w:val="BodyText"/>
      </w:pPr>
      <w:r>
        <w:t xml:space="preserve">   - **Recommendation:** Provide a notice at the point of collection detailing the categories of information collected and purposes.</w:t>
      </w:r>
    </w:p>
    <w:p>
      <w:pPr>
        <w:pStyle w:val="BodyText"/>
      </w:pPr>
      <w:r>
        <w:t>7. **Privacy Policy - Collection Disclosure**</w:t>
      </w:r>
    </w:p>
    <w:p>
      <w:pPr>
        <w:pStyle w:val="BodyText"/>
      </w:pPr>
      <w:r>
        <w:t xml:space="preserve">   - **Recommendation:** Update the policy to describe the categories of personal information collected and their purposes.</w:t>
      </w:r>
    </w:p>
    <w:p>
      <w:pPr>
        <w:pStyle w:val="BodyText"/>
      </w:pPr>
      <w:r>
        <w:t>8. **Third-Party Disclosure Requirements**</w:t>
      </w:r>
    </w:p>
    <w:p>
      <w:pPr>
        <w:pStyle w:val="BodyText"/>
      </w:pPr>
      <w:r>
        <w:t xml:space="preserve">   - **Recommendation:** Disclose the categories of personal information shared and the third parties involved.</w:t>
      </w:r>
    </w:p>
    <w:p>
      <w:pPr>
        <w:pStyle w:val="BodyText"/>
      </w:pPr>
      <w:r>
        <w:t>9. **Service Provider Contracts**</w:t>
      </w:r>
    </w:p>
    <w:p>
      <w:pPr>
        <w:pStyle w:val="BodyText"/>
      </w:pPr>
      <w:r>
        <w:t xml:space="preserve">   - **Recommendation:** Ensure contracts with service providers include CCPA compliance clauses.</w:t>
      </w:r>
    </w:p>
    <w:p>
      <w:pPr>
        <w:pStyle w:val="BodyText"/>
      </w:pPr>
      <w:r>
        <w:t>10. **Privacy Policy Updates**</w:t>
      </w:r>
    </w:p>
    <w:p>
      <w:pPr>
        <w:pStyle w:val="BodyText"/>
      </w:pPr>
      <w:r>
        <w:t xml:space="preserve">    - **Recommendation:** Commit to updating the policy annually and when material changes occur.</w:t>
      </w:r>
    </w:p>
    <w:p>
      <w:pPr>
        <w:pStyle w:val="BodyText"/>
      </w:pPr>
      <w:r>
        <w:t>11. **Children's Data Protections (Under 13 and 13-16)**</w:t>
      </w:r>
    </w:p>
    <w:p>
      <w:pPr>
        <w:pStyle w:val="BodyText"/>
      </w:pPr>
      <w:r>
        <w:t xml:space="preserve">    - **Recommendation:** Clearly state the opt-in requirements for selling or sharing children's data.</w:t>
      </w:r>
    </w:p>
    <w:p>
      <w:pPr>
        <w:pStyle w:val="BodyText"/>
      </w:pPr>
      <w:r>
        <w:t>12. **Methods for Submitting Requests**</w:t>
      </w:r>
    </w:p>
    <w:p>
      <w:pPr>
        <w:pStyle w:val="BodyText"/>
      </w:pPr>
      <w:r>
        <w:t xml:space="preserve">    - **Recommendation:** Provide at least two methods for submitting requests, including a toll-free number.</w:t>
      </w:r>
    </w:p>
    <w:p>
      <w:pPr>
        <w:pStyle w:val="BodyText"/>
      </w:pPr>
      <w:r>
        <w:t>13. **Non-Discrimination Policy**</w:t>
      </w:r>
    </w:p>
    <w:p>
      <w:pPr>
        <w:pStyle w:val="BodyText"/>
      </w:pPr>
      <w:r>
        <w:t xml:space="preserve">    - **Recommendation:** Add a non-discrimination statement regarding the exercise of CCPA rights.</w:t>
      </w:r>
    </w:p>
    <w:p>
      <w:pPr>
        <w:pStyle w:val="BodyText"/>
      </w:pPr>
      <w:r>
        <w:t>14. **Identity Verification Procedures**</w:t>
      </w:r>
    </w:p>
    <w:p>
      <w:pPr>
        <w:pStyle w:val="BodyText"/>
      </w:pPr>
      <w:r>
        <w:t xml:space="preserve">    - **Recommendation:** Establish and disclose procedures for verifying consumer identities.</w:t>
      </w:r>
    </w:p>
    <w:p>
      <w:pPr>
        <w:pStyle w:val="BodyText"/>
      </w:pPr>
      <w:r>
        <w:t>15. **Record Keeping Requirements**</w:t>
      </w:r>
    </w:p>
    <w:p>
      <w:pPr>
        <w:pStyle w:val="BodyText"/>
      </w:pPr>
      <w:r>
        <w:t xml:space="preserve">    - **Recommendation:** Implement a system for maintaining records of consumer requests and responses.</w:t>
      </w:r>
    </w:p>
    <w:p>
      <w:pPr>
        <w:pStyle w:val="BodyText"/>
      </w:pPr>
      <w:r>
        <w:t>16. **Annual Metrics Reporting**</w:t>
      </w:r>
    </w:p>
    <w:p>
      <w:pPr>
        <w:pStyle w:val="BodyText"/>
      </w:pPr>
      <w:r>
        <w:t xml:space="preserve">    - **Recommendation:** Compile and disclose annual metrics on consumer requests in the privacy policy.</w:t>
      </w:r>
    </w:p>
    <w:p>
      <w:pPr>
        <w:pStyle w:val="BodyText"/>
      </w:pPr>
      <w:r>
        <w:t>---</w:t>
      </w:r>
    </w:p>
    <w:p>
      <w:pPr>
        <w:pStyle w:val="BodyText"/>
      </w:pPr>
      <w:r>
        <w:t>**4. Priority Level for Each Gap**</w:t>
      </w:r>
    </w:p>
    <w:p>
      <w:pPr>
        <w:pStyle w:val="BodyText"/>
      </w:pPr>
      <w:r>
        <w:t>1. **Right to Know Disclosure** - **Critical**</w:t>
      </w:r>
    </w:p>
    <w:p>
      <w:pPr>
        <w:pStyle w:val="BodyText"/>
      </w:pPr>
      <w:r>
        <w:t>2. **Right to Delete Disclosure** - **Critical**</w:t>
      </w:r>
    </w:p>
    <w:p>
      <w:pPr>
        <w:pStyle w:val="BodyText"/>
      </w:pPr>
      <w:r>
        <w:t>3. **Right to Opt-Out of Sale/Sharing** - **Critical**</w:t>
      </w:r>
    </w:p>
    <w:p>
      <w:pPr>
        <w:pStyle w:val="BodyText"/>
      </w:pPr>
      <w:r>
        <w:t>4. **Right to Correct Inaccurate Information** - **High**</w:t>
      </w:r>
    </w:p>
    <w:p>
      <w:pPr>
        <w:pStyle w:val="BodyText"/>
      </w:pPr>
      <w:r>
        <w:t>5. **Right to Limit Use of Sensitive Personal Information** - **High**</w:t>
      </w:r>
    </w:p>
    <w:p>
      <w:pPr>
        <w:pStyle w:val="BodyText"/>
      </w:pPr>
      <w:r>
        <w:t>6. **Notice at Collection** - **Critical**</w:t>
      </w:r>
    </w:p>
    <w:p>
      <w:pPr>
        <w:pStyle w:val="BodyText"/>
      </w:pPr>
      <w:r>
        <w:t>7. **Privacy Policy - Collection Disclosure** - **Critical**</w:t>
      </w:r>
    </w:p>
    <w:p>
      <w:pPr>
        <w:pStyle w:val="BodyText"/>
      </w:pPr>
      <w:r>
        <w:t>8. **Third-Party Disclosure Requirements** - **High**</w:t>
      </w:r>
    </w:p>
    <w:p>
      <w:pPr>
        <w:pStyle w:val="BodyText"/>
      </w:pPr>
      <w:r>
        <w:t>9. **Service Provider Contracts** - **High**</w:t>
      </w:r>
    </w:p>
    <w:p>
      <w:pPr>
        <w:pStyle w:val="BodyText"/>
      </w:pPr>
      <w:r>
        <w:t>10. **Privacy Policy Updates** - **Medium**</w:t>
      </w:r>
    </w:p>
    <w:p>
      <w:pPr>
        <w:pStyle w:val="BodyText"/>
      </w:pPr>
      <w:r>
        <w:t>11. **Children's Data Protections (Under 13 and 13-16)** - **High**</w:t>
      </w:r>
    </w:p>
    <w:p>
      <w:pPr>
        <w:pStyle w:val="BodyText"/>
      </w:pPr>
      <w:r>
        <w:t>12. **Methods for Submitting Requests** - **Critical**</w:t>
      </w:r>
    </w:p>
    <w:p>
      <w:pPr>
        <w:pStyle w:val="BodyText"/>
      </w:pPr>
      <w:r>
        <w:t>13. **Non-Discrimination Policy** - **High**</w:t>
      </w:r>
    </w:p>
    <w:p>
      <w:pPr>
        <w:pStyle w:val="BodyText"/>
      </w:pPr>
      <w:r>
        <w:t>14. **Identity Verification Procedures** - **High**</w:t>
      </w:r>
    </w:p>
    <w:p>
      <w:pPr>
        <w:pStyle w:val="BodyText"/>
      </w:pPr>
      <w:r>
        <w:t>15. **Record Keeping Requirements** - **Medium**</w:t>
      </w:r>
    </w:p>
    <w:p>
      <w:pPr>
        <w:pStyle w:val="BodyText"/>
      </w:pPr>
      <w:r>
        <w:t>16. **Annual Metrics Reporting** - **Medium**</w:t>
      </w:r>
    </w:p>
    <w:p>
      <w:pPr>
        <w:pStyle w:val="BodyText"/>
      </w:pPr>
      <w:r>
        <w:t>---</w:t>
      </w:r>
    </w:p>
    <w:p>
      <w:pPr>
        <w:pStyle w:val="BodyText"/>
      </w:pPr>
      <w:r>
        <w:t>This structured report outlines the necessary steps BLodgic must take to achieve compliance with CCPA/CPRA requirements. Immediate action on critical gaps is essential to mitigate legal risks and enhance consumer trust.</w:t>
      </w:r>
    </w:p>
    <w:p>
      <w:pPr>
        <w:pStyle w:val="BodyText"/>
      </w:pPr>
      <w:r>
        <w:t>---</w:t>
      </w:r>
    </w:p>
    <w:p>
      <w:pPr>
        <w:pStyle w:val="Heading2"/>
      </w:pPr>
      <w:r>
        <w:t>Metadata</w:t>
      </w:r>
    </w:p>
    <w:p>
      <w:pPr>
        <w:pStyle w:val="ListBullet"/>
        <w:ind w:left="360"/>
      </w:pPr>
      <w:r>
        <w:t>**Model Used:** GPT-4.1</w:t>
      </w:r>
    </w:p>
    <w:p>
      <w:pPr>
        <w:pStyle w:val="ListBullet"/>
        <w:ind w:left="360"/>
      </w:pPr>
      <w:r>
        <w:t>**Tokens Consumed:** 4767</w:t>
      </w:r>
    </w:p>
    <w:p>
      <w:pPr>
        <w:pStyle w:val="ListBullet"/>
        <w:ind w:left="360"/>
      </w:pPr>
      <w:r>
        <w:t>**Framework:** CCPA/CPRA (California Consumer Privacy Act / California Privacy Rights Act)</w:t>
      </w:r>
    </w:p>
    <w:p>
      <w:pPr>
        <w:pStyle w:val="BodyText"/>
      </w:pPr>
      <w:r>
        <w:t>---</w:t>
      </w:r>
    </w:p>
    <w:p>
      <w:pPr>
        <w:pStyle w:val="BodyText"/>
      </w:pPr>
      <w:r>
        <w:t>*Report generated by Privacy Policy Gap Analysis System with RAG and MCP*</w:t>
      </w:r>
    </w:p>
    <w:p>
      <w:pPr>
        <w:pStyle w:val="BodyText"/>
      </w:pPr>
      <w:r>
        <w:t>*Powered by Cardinal Security Privacy Compliance Workflow*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70C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