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3366"/>
          <w:sz w:val="32"/>
        </w:rPr>
        <w:t>Audit Caddie</w:t>
      </w:r>
    </w:p>
    <w:p/>
    <w:p>
      <w:pPr>
        <w:jc w:val="center"/>
      </w:pPr>
      <w:r>
        <w:rPr>
          <w:rFonts w:ascii="Calibri" w:hAnsi="Calibri"/>
          <w:color w:val="000000"/>
          <w:sz w:val="28"/>
        </w:rPr>
        <w:t>20</w:t>
        <w:br/>
        <w:t>COMPLIANCE</w:t>
        <w:tab/>
        <w:t>25</w:t>
      </w:r>
    </w:p>
    <w:p>
      <w:pPr>
        <w:spacing w:after="240"/>
        <w:jc w:val="center"/>
      </w:pPr>
      <w:r>
        <w:rPr>
          <w:rFonts w:ascii="Calibri" w:hAnsi="Calibri"/>
          <w:b/>
          <w:color w:val="003366"/>
          <w:sz w:val="48"/>
        </w:rPr>
        <w:t>COMPLIANCE ASSESSMENT REPORT</w:t>
      </w:r>
    </w:p>
    <w:p>
      <w:pPr>
        <w:jc w:val="center"/>
      </w:pPr>
      <w:r>
        <w:rPr>
          <w:color w:val="000000"/>
          <w:sz w:val="28"/>
        </w:rPr>
        <w:t>Audit Caddie Privacy Policy</w:t>
        <w:br/>
        <w:t>Compliance Gap Analysis</w:t>
      </w:r>
    </w:p>
    <w:p/>
    <w:p/>
    <w:p/>
    <w:p/>
    <w:p/>
    <w:p/>
    <w:p>
      <w:pPr>
        <w:pStyle w:val="BodyText"/>
        <w:spacing w:line="360" w:lineRule="auto"/>
      </w:pPr>
      <w:r>
        <w:rPr>
          <w:rFonts w:ascii="Calibri" w:hAnsi="Calibri"/>
          <w:sz w:val="22"/>
        </w:rPr>
        <w:t>Comprehensive compliance gap analysis report.</w:t>
      </w:r>
    </w:p>
    <w:p/>
    <w:p/>
    <w:p>
      <w:pPr>
        <w:pStyle w:val="Heading3"/>
      </w:pPr>
      <w:r>
        <w:t>Report Generated By</w:t>
      </w:r>
    </w:p>
    <w:p>
      <w:pPr>
        <w:pStyle w:val="BodyText"/>
      </w:pPr>
      <w:r>
        <w:rPr>
          <w:sz w:val="22"/>
        </w:rPr>
        <w:t>Privacy Policy Gap Analysis System</w:t>
      </w:r>
    </w:p>
    <w:p>
      <w:pPr>
        <w:pStyle w:val="Heading3"/>
      </w:pPr>
      <w:r>
        <w:t>Analysis Date</w:t>
      </w:r>
    </w:p>
    <w:p>
      <w:pPr>
        <w:pStyle w:val="BodyText"/>
      </w:pPr>
      <w:r>
        <w:rPr>
          <w:sz w:val="22"/>
        </w:rPr>
        <w:t>December 27, 2025</w:t>
      </w:r>
    </w:p>
    <w:p>
      <w:r>
        <w:br w:type="page"/>
      </w:r>
    </w:p>
    <w:p>
      <w:pPr>
        <w:pStyle w:val="Heading1"/>
      </w:pPr>
      <w:r>
        <w:t>CCPA/CPRA GAP ANALYSIS REPORT</w:t>
      </w:r>
    </w:p>
    <w:p>
      <w:pPr>
        <w:pStyle w:val="BodyText"/>
      </w:pPr>
      <w:r>
        <w:t>**Company:** Audit Caddie</w:t>
      </w:r>
    </w:p>
    <w:p>
      <w:pPr>
        <w:pStyle w:val="BodyText"/>
      </w:pPr>
      <w:r>
        <w:t>**Analysis Date:** 2025-12-02T14:16:27.751709</w:t>
      </w:r>
    </w:p>
    <w:p>
      <w:pPr>
        <w:pStyle w:val="BodyText"/>
      </w:pPr>
      <w:r>
        <w:t>**Session ID:** privacy_analysis_Audit Caddie_20251202_141627</w:t>
      </w:r>
    </w:p>
    <w:p>
      <w:pPr>
        <w:pStyle w:val="BodyText"/>
      </w:pPr>
      <w:r>
        <w:t>---</w:t>
      </w:r>
    </w:p>
    <w:p>
      <w:pPr>
        <w:pStyle w:val="Heading2"/>
      </w:pPr>
      <w:r>
        <w:t>Gap Analysis</w:t>
      </w:r>
    </w:p>
    <w:p>
      <w:pPr>
        <w:pStyle w:val="BodyText"/>
      </w:pPr>
      <w:r>
        <w:t>**Audit Caddie Privacy Policy CCPA/CPRA Compliance Gap Analysis Report**</w:t>
      </w:r>
    </w:p>
    <w:p>
      <w:pPr>
        <w:pStyle w:val="BodyText"/>
      </w:pPr>
      <w:r>
        <w:t>**1. Executive Summary of Compliance Status:**</w:t>
      </w:r>
    </w:p>
    <w:p>
      <w:pPr>
        <w:pStyle w:val="BodyText"/>
      </w:pPr>
      <w:r>
        <w:t>The Audit Caddie privacy policy and related agreements provide a foundational framework for data privacy and protection. However, several critical gaps exist concerning CCPA/CPRA compliance, particularly in areas related to consumer rights disclosures, data handling practices, and procedural requirements. These gaps must be addressed to ensure full compliance with California privacy laws.</w:t>
      </w:r>
    </w:p>
    <w:p>
      <w:pPr>
        <w:pStyle w:val="BodyText"/>
      </w:pPr>
      <w:r>
        <w:t>**2. Detailed List of Gaps with Specific CCPA/CPRA Sections:**</w:t>
      </w:r>
    </w:p>
    <w:p>
      <w:pPr>
        <w:pStyle w:val="ListBullet"/>
        <w:ind w:left="360"/>
      </w:pPr>
      <w:r>
        <w:t>**Right to Know Disclosure:**</w:t>
      </w:r>
    </w:p>
    <w:p>
      <w:pPr>
        <w:pStyle w:val="BodyText"/>
      </w:pPr>
      <w:r>
        <w:t xml:space="preserve">  - **Gap:** The policy does not explicitly provide consumers with the right to know what personal information is collected, used, shared, or sold.</w:t>
      </w:r>
    </w:p>
    <w:p>
      <w:pPr>
        <w:pStyle w:val="BodyText"/>
      </w:pPr>
      <w:r>
        <w:t xml:space="preserve">  - **Reference:** CCPA Section 1798.110</w:t>
      </w:r>
    </w:p>
    <w:p>
      <w:pPr>
        <w:pStyle w:val="BodyText"/>
      </w:pPr>
      <w:r>
        <w:t xml:space="preserve">  - **Priority:** Critical</w:t>
      </w:r>
    </w:p>
    <w:p>
      <w:pPr>
        <w:pStyle w:val="ListBullet"/>
        <w:ind w:left="360"/>
      </w:pPr>
      <w:r>
        <w:t>**Right to Delete Disclosure:**</w:t>
      </w:r>
    </w:p>
    <w:p>
      <w:pPr>
        <w:pStyle w:val="BodyText"/>
      </w:pPr>
      <w:r>
        <w:t xml:space="preserve">  - **Gap:** The policy lacks a clear disclosure of consumers' right to request the deletion of their personal information.</w:t>
      </w:r>
    </w:p>
    <w:p>
      <w:pPr>
        <w:pStyle w:val="BodyText"/>
      </w:pPr>
      <w:r>
        <w:t xml:space="preserve">  - **Reference:** CCPA Section 1798.105</w:t>
      </w:r>
    </w:p>
    <w:p>
      <w:pPr>
        <w:pStyle w:val="BodyText"/>
      </w:pPr>
      <w:r>
        <w:t xml:space="preserve">  - **Priority:** Critical</w:t>
      </w:r>
    </w:p>
    <w:p>
      <w:pPr>
        <w:pStyle w:val="ListBullet"/>
        <w:ind w:left="360"/>
      </w:pPr>
      <w:r>
        <w:t>**Right to Opt-Out of Sale/Sharing:**</w:t>
      </w:r>
    </w:p>
    <w:p>
      <w:pPr>
        <w:pStyle w:val="BodyText"/>
      </w:pPr>
      <w:r>
        <w:t xml:space="preserve">  - **Gap:** There is no mention of the right to opt-out of the sale or sharing of personal information.</w:t>
      </w:r>
    </w:p>
    <w:p>
      <w:pPr>
        <w:pStyle w:val="BodyText"/>
      </w:pPr>
      <w:r>
        <w:t xml:space="preserve">  - **Reference:** CCPA Section 1798.120</w:t>
      </w:r>
    </w:p>
    <w:p>
      <w:pPr>
        <w:pStyle w:val="BodyText"/>
      </w:pPr>
      <w:r>
        <w:t xml:space="preserve">  - **Priority:** Critical</w:t>
      </w:r>
    </w:p>
    <w:p>
      <w:pPr>
        <w:pStyle w:val="ListBullet"/>
        <w:ind w:left="360"/>
      </w:pPr>
      <w:r>
        <w:t>**Right to Correct Inaccurate Information:**</w:t>
      </w:r>
    </w:p>
    <w:p>
      <w:pPr>
        <w:pStyle w:val="BodyText"/>
      </w:pPr>
      <w:r>
        <w:t xml:space="preserve">  - **Gap:** The policy does not address consumers' right to correct inaccurate personal information.</w:t>
      </w:r>
    </w:p>
    <w:p>
      <w:pPr>
        <w:pStyle w:val="BodyText"/>
      </w:pPr>
      <w:r>
        <w:t xml:space="preserve">  - **Reference:** CPRA Section 1798.106</w:t>
      </w:r>
    </w:p>
    <w:p>
      <w:pPr>
        <w:pStyle w:val="BodyText"/>
      </w:pPr>
      <w:r>
        <w:t xml:space="preserve">  - **Priority:** High</w:t>
      </w:r>
    </w:p>
    <w:p>
      <w:pPr>
        <w:pStyle w:val="ListBullet"/>
        <w:ind w:left="360"/>
      </w:pPr>
      <w:r>
        <w:t>**Right to Limit Use of Sensitive Personal Information:**</w:t>
      </w:r>
    </w:p>
    <w:p>
      <w:pPr>
        <w:pStyle w:val="BodyText"/>
      </w:pPr>
      <w:r>
        <w:t xml:space="preserve">  - **Gap:** The policy does not provide consumers with the right to limit the use of their sensitive personal information.</w:t>
      </w:r>
    </w:p>
    <w:p>
      <w:pPr>
        <w:pStyle w:val="BodyText"/>
      </w:pPr>
      <w:r>
        <w:t xml:space="preserve">  - **Reference:** CPRA Section 1798.121</w:t>
      </w:r>
    </w:p>
    <w:p>
      <w:pPr>
        <w:pStyle w:val="BodyText"/>
      </w:pPr>
      <w:r>
        <w:t xml:space="preserve">  - **Priority:** High</w:t>
      </w:r>
    </w:p>
    <w:p>
      <w:pPr>
        <w:pStyle w:val="ListBullet"/>
        <w:ind w:left="360"/>
      </w:pPr>
      <w:r>
        <w:t>**"Do Not Sell or Share My Personal Information" Link:**</w:t>
      </w:r>
    </w:p>
    <w:p>
      <w:pPr>
        <w:pStyle w:val="BodyText"/>
      </w:pPr>
      <w:r>
        <w:t xml:space="preserve">  - **Gap:** The website lacks a clear and conspicuous link for consumers to opt-out of the sale or sharing of their personal information.</w:t>
      </w:r>
    </w:p>
    <w:p>
      <w:pPr>
        <w:pStyle w:val="BodyText"/>
      </w:pPr>
      <w:r>
        <w:t xml:space="preserve">  - **Reference:** CCPA Section 1798.135</w:t>
      </w:r>
    </w:p>
    <w:p>
      <w:pPr>
        <w:pStyle w:val="BodyText"/>
      </w:pPr>
      <w:r>
        <w:t xml:space="preserve">  - **Priority:** Critical</w:t>
      </w:r>
    </w:p>
    <w:p>
      <w:pPr>
        <w:pStyle w:val="ListBullet"/>
        <w:ind w:left="360"/>
      </w:pPr>
      <w:r>
        <w:t>**Categories of Personal Information Collected:**</w:t>
      </w:r>
    </w:p>
    <w:p>
      <w:pPr>
        <w:pStyle w:val="BodyText"/>
      </w:pPr>
      <w:r>
        <w:t xml:space="preserve">  - **Gap:** The policy does not specify the categories of personal information collected from consumers.</w:t>
      </w:r>
    </w:p>
    <w:p>
      <w:pPr>
        <w:pStyle w:val="BodyText"/>
      </w:pPr>
      <w:r>
        <w:t xml:space="preserve">  - **Reference:** CCPA Section 1798.130(a)(1)(A)</w:t>
      </w:r>
    </w:p>
    <w:p>
      <w:pPr>
        <w:pStyle w:val="BodyText"/>
      </w:pPr>
      <w:r>
        <w:t xml:space="preserve">  - **Priority:** High</w:t>
      </w:r>
    </w:p>
    <w:p>
      <w:pPr>
        <w:pStyle w:val="ListBullet"/>
        <w:ind w:left="360"/>
      </w:pPr>
      <w:r>
        <w:t>**Business Purposes for Collection:**</w:t>
      </w:r>
    </w:p>
    <w:p>
      <w:pPr>
        <w:pStyle w:val="BodyText"/>
      </w:pPr>
      <w:r>
        <w:t xml:space="preserve">  - **Gap:** The policy does not clearly state the business or commercial purposes for collecting personal information.</w:t>
      </w:r>
    </w:p>
    <w:p>
      <w:pPr>
        <w:pStyle w:val="BodyText"/>
      </w:pPr>
      <w:r>
        <w:t xml:space="preserve">  - **Reference:** CCPA Section 1798.130(a)(1)(C)</w:t>
      </w:r>
    </w:p>
    <w:p>
      <w:pPr>
        <w:pStyle w:val="BodyText"/>
      </w:pPr>
      <w:r>
        <w:t xml:space="preserve">  - **Priority:** High</w:t>
      </w:r>
    </w:p>
    <w:p>
      <w:pPr>
        <w:pStyle w:val="ListBullet"/>
        <w:ind w:left="360"/>
      </w:pPr>
      <w:r>
        <w:t>**Third-Party Sharing/Selling Disclosures:**</w:t>
      </w:r>
    </w:p>
    <w:p>
      <w:pPr>
        <w:pStyle w:val="BodyText"/>
      </w:pPr>
      <w:r>
        <w:t xml:space="preserve">  - **Gap:** The policy does not disclose if personal information is shared or sold to third parties.</w:t>
      </w:r>
    </w:p>
    <w:p>
      <w:pPr>
        <w:pStyle w:val="BodyText"/>
      </w:pPr>
      <w:r>
        <w:t xml:space="preserve">  - **Reference:** CCPA Section 1798.115</w:t>
      </w:r>
    </w:p>
    <w:p>
      <w:pPr>
        <w:pStyle w:val="BodyText"/>
      </w:pPr>
      <w:r>
        <w:t xml:space="preserve">  - **Priority:** Critical</w:t>
      </w:r>
    </w:p>
    <w:p>
      <w:pPr>
        <w:pStyle w:val="ListBullet"/>
        <w:ind w:left="360"/>
      </w:pPr>
      <w:r>
        <w:t>**Data Retention Policies:**</w:t>
      </w:r>
    </w:p>
    <w:p>
      <w:pPr>
        <w:pStyle w:val="BodyText"/>
      </w:pPr>
      <w:r>
        <w:t xml:space="preserve">  - **Gap:** The policy does not specify the retention period for personal information or the criteria used to determine such periods.</w:t>
      </w:r>
    </w:p>
    <w:p>
      <w:pPr>
        <w:pStyle w:val="BodyText"/>
      </w:pPr>
      <w:r>
        <w:t xml:space="preserve">  - **Reference:** CPRA Section 1798.100(a)(3)</w:t>
      </w:r>
    </w:p>
    <w:p>
      <w:pPr>
        <w:pStyle w:val="BodyText"/>
      </w:pPr>
      <w:r>
        <w:t xml:space="preserve">  - **Priority:** Medium</w:t>
      </w:r>
    </w:p>
    <w:p>
      <w:pPr>
        <w:pStyle w:val="ListBullet"/>
        <w:ind w:left="360"/>
      </w:pPr>
      <w:r>
        <w:t>**Children's Data Protections (Under 13 and 13-16):**</w:t>
      </w:r>
    </w:p>
    <w:p>
      <w:pPr>
        <w:pStyle w:val="BodyText"/>
      </w:pPr>
      <w:r>
        <w:t xml:space="preserve">  - **Gap:** The policy does not address protections for children's data, particularly regarding consent requirements.</w:t>
      </w:r>
    </w:p>
    <w:p>
      <w:pPr>
        <w:pStyle w:val="BodyText"/>
      </w:pPr>
      <w:r>
        <w:t xml:space="preserve">  - **Reference:** CCPA Section 1798.120(c)</w:t>
      </w:r>
    </w:p>
    <w:p>
      <w:pPr>
        <w:pStyle w:val="BodyText"/>
      </w:pPr>
      <w:r>
        <w:t xml:space="preserve">  - **Priority:** High</w:t>
      </w:r>
    </w:p>
    <w:p>
      <w:pPr>
        <w:pStyle w:val="ListBullet"/>
        <w:ind w:left="360"/>
      </w:pPr>
      <w:r>
        <w:t>**Authorized Agent Procedures:**</w:t>
      </w:r>
    </w:p>
    <w:p>
      <w:pPr>
        <w:pStyle w:val="BodyText"/>
      </w:pPr>
      <w:r>
        <w:t xml:space="preserve">  - **Gap:** The policy does not outline procedures for consumers to use authorized agents to exercise their rights.</w:t>
      </w:r>
    </w:p>
    <w:p>
      <w:pPr>
        <w:pStyle w:val="BodyText"/>
      </w:pPr>
      <w:r>
        <w:t xml:space="preserve">  - **Reference:** CCPA Regulations Section 999.326</w:t>
      </w:r>
    </w:p>
    <w:p>
      <w:pPr>
        <w:pStyle w:val="BodyText"/>
      </w:pPr>
      <w:r>
        <w:t xml:space="preserve">  - **Priority:** Medium</w:t>
      </w:r>
    </w:p>
    <w:p>
      <w:pPr>
        <w:pStyle w:val="ListBullet"/>
        <w:ind w:left="360"/>
      </w:pPr>
      <w:r>
        <w:t>**Non-Discrimination Policy:**</w:t>
      </w:r>
    </w:p>
    <w:p>
      <w:pPr>
        <w:pStyle w:val="BodyText"/>
      </w:pPr>
      <w:r>
        <w:t xml:space="preserve">  - **Gap:** The policy does not include a non-discrimination statement regarding the exercise of consumer rights.</w:t>
      </w:r>
    </w:p>
    <w:p>
      <w:pPr>
        <w:pStyle w:val="BodyText"/>
      </w:pPr>
      <w:r>
        <w:t xml:space="preserve">  - **Reference:** CCPA Section 1798.125</w:t>
      </w:r>
    </w:p>
    <w:p>
      <w:pPr>
        <w:pStyle w:val="BodyText"/>
      </w:pPr>
      <w:r>
        <w:t xml:space="preserve">  - **Priority:** High</w:t>
      </w:r>
    </w:p>
    <w:p>
      <w:pPr>
        <w:pStyle w:val="ListBullet"/>
        <w:ind w:left="360"/>
      </w:pPr>
      <w:r>
        <w:t>**Contact Methods for Exercising Rights:**</w:t>
      </w:r>
    </w:p>
    <w:p>
      <w:pPr>
        <w:pStyle w:val="BodyText"/>
      </w:pPr>
      <w:r>
        <w:t xml:space="preserve">  - **Gap:** The policy lacks clear instructions on how consumers can contact the company to exercise their rights.</w:t>
      </w:r>
    </w:p>
    <w:p>
      <w:pPr>
        <w:pStyle w:val="BodyText"/>
      </w:pPr>
      <w:r>
        <w:t xml:space="preserve">  - **Reference:** CCPA Section 1798.130(a)(2)</w:t>
      </w:r>
    </w:p>
    <w:p>
      <w:pPr>
        <w:pStyle w:val="BodyText"/>
      </w:pPr>
      <w:r>
        <w:t xml:space="preserve">  - **Priority:** Critical</w:t>
      </w:r>
    </w:p>
    <w:p>
      <w:pPr>
        <w:pStyle w:val="BodyText"/>
      </w:pPr>
      <w:r>
        <w:t>**3. Recommendations for Each Gap:**</w:t>
      </w:r>
    </w:p>
    <w:p>
      <w:pPr>
        <w:pStyle w:val="ListBullet"/>
        <w:ind w:left="360"/>
      </w:pPr>
      <w:r>
        <w:t>**Right to Know, Delete, Opt-Out, Correct, and Limit Use Disclosures:**</w:t>
      </w:r>
    </w:p>
    <w:p>
      <w:pPr>
        <w:pStyle w:val="BodyText"/>
      </w:pPr>
      <w:r>
        <w:t xml:space="preserve">  - **Recommendation:** Update the privacy policy to include clear disclosures on each of these consumer rights, detailing how consumers can exercise these rights.</w:t>
      </w:r>
    </w:p>
    <w:p>
      <w:pPr>
        <w:pStyle w:val="ListBullet"/>
        <w:ind w:left="360"/>
      </w:pPr>
      <w:r>
        <w:t>**"Do Not Sell or Share My Personal Information" Link:**</w:t>
      </w:r>
    </w:p>
    <w:p>
      <w:pPr>
        <w:pStyle w:val="BodyText"/>
      </w:pPr>
      <w:r>
        <w:t xml:space="preserve">  - **Recommendation:** Add a prominent link on the homepage for consumers to opt-out of the sale or sharing of their personal information.</w:t>
      </w:r>
    </w:p>
    <w:p>
      <w:pPr>
        <w:pStyle w:val="ListBullet"/>
        <w:ind w:left="360"/>
      </w:pPr>
      <w:r>
        <w:t>**Categories of Personal Information and Business Purposes:**</w:t>
      </w:r>
    </w:p>
    <w:p>
      <w:pPr>
        <w:pStyle w:val="BodyText"/>
      </w:pPr>
      <w:r>
        <w:t xml:space="preserve">  - **Recommendation:** Clearly list the categories of personal information collected and the purposes for which they are collected.</w:t>
      </w:r>
    </w:p>
    <w:p>
      <w:pPr>
        <w:pStyle w:val="ListBullet"/>
        <w:ind w:left="360"/>
      </w:pPr>
      <w:r>
        <w:t>**Third-Party Sharing/Selling Disclosures:**</w:t>
      </w:r>
    </w:p>
    <w:p>
      <w:pPr>
        <w:pStyle w:val="BodyText"/>
      </w:pPr>
      <w:r>
        <w:t xml:space="preserve">  - **Recommendation:** Include disclosures about whether personal information is shared or sold to third parties and for what purposes.</w:t>
      </w:r>
    </w:p>
    <w:p>
      <w:pPr>
        <w:pStyle w:val="ListBullet"/>
        <w:ind w:left="360"/>
      </w:pPr>
      <w:r>
        <w:t>**Data Retention Policies:**</w:t>
      </w:r>
    </w:p>
    <w:p>
      <w:pPr>
        <w:pStyle w:val="BodyText"/>
      </w:pPr>
      <w:r>
        <w:t xml:space="preserve">  - **Recommendation:** Specify the retention periods for personal information or the criteria used to determine such periods.</w:t>
      </w:r>
    </w:p>
    <w:p>
      <w:pPr>
        <w:pStyle w:val="ListBullet"/>
        <w:ind w:left="360"/>
      </w:pPr>
      <w:r>
        <w:t>**Children's Data Protections:**</w:t>
      </w:r>
    </w:p>
    <w:p>
      <w:pPr>
        <w:pStyle w:val="BodyText"/>
      </w:pPr>
      <w:r>
        <w:t xml:space="preserve">  - **Recommendation:** Include provisions for obtaining parental consent for children under 13 and opt-in consent for those aged 13-16.</w:t>
      </w:r>
    </w:p>
    <w:p>
      <w:pPr>
        <w:pStyle w:val="ListBullet"/>
        <w:ind w:left="360"/>
      </w:pPr>
      <w:r>
        <w:t>**Authorized Agent Procedures:**</w:t>
      </w:r>
    </w:p>
    <w:p>
      <w:pPr>
        <w:pStyle w:val="BodyText"/>
      </w:pPr>
      <w:r>
        <w:t xml:space="preserve">  - **Recommendation:** Outline the process for consumers to use authorized agents to exercise their rights, including verification requirements.</w:t>
      </w:r>
    </w:p>
    <w:p>
      <w:pPr>
        <w:pStyle w:val="ListBullet"/>
        <w:ind w:left="360"/>
      </w:pPr>
      <w:r>
        <w:t>**Non-Discrimination Policy:**</w:t>
      </w:r>
    </w:p>
    <w:p>
      <w:pPr>
        <w:pStyle w:val="BodyText"/>
      </w:pPr>
      <w:r>
        <w:t xml:space="preserve">  - **Recommendation:** Add a statement ensuring no discrimination against consumers exercising their rights.</w:t>
      </w:r>
    </w:p>
    <w:p>
      <w:pPr>
        <w:pStyle w:val="ListBullet"/>
        <w:ind w:left="360"/>
      </w:pPr>
      <w:r>
        <w:t>**Contact Methods for Exercising Rights:**</w:t>
      </w:r>
    </w:p>
    <w:p>
      <w:pPr>
        <w:pStyle w:val="BodyText"/>
      </w:pPr>
      <w:r>
        <w:t xml:space="preserve">  - **Recommendation:** Provide clear contact information and instructions for consumers to exercise their rights.</w:t>
      </w:r>
    </w:p>
    <w:p>
      <w:pPr>
        <w:pStyle w:val="BodyText"/>
      </w:pPr>
      <w:r>
        <w:t>**4. Priority Level for Each Gap:**</w:t>
      </w:r>
    </w:p>
    <w:p>
      <w:pPr>
        <w:pStyle w:val="ListBullet"/>
        <w:ind w:left="360"/>
      </w:pPr>
      <w:r>
        <w:t>**Critical:** Right to Know, Delete, Opt-Out, "Do Not Sell or Share My Personal Information" Link, Third-Party Sharing/Selling Disclosures, Contact Methods for Exercising Rights</w:t>
      </w:r>
    </w:p>
    <w:p>
      <w:pPr>
        <w:pStyle w:val="ListBullet"/>
        <w:ind w:left="360"/>
      </w:pPr>
      <w:r>
        <w:t>**High:** Right to Correct, Right to Limit Use, Categories of Personal Information, Business Purposes, Children's Data Protections, Non-Discrimination Policy</w:t>
      </w:r>
    </w:p>
    <w:p>
      <w:pPr>
        <w:pStyle w:val="ListBullet"/>
        <w:ind w:left="360"/>
      </w:pPr>
      <w:r>
        <w:t>**Medium:** Data Retention Policies, Authorized Agent Procedures</w:t>
      </w:r>
    </w:p>
    <w:p>
      <w:pPr>
        <w:pStyle w:val="BodyText"/>
      </w:pPr>
      <w:r>
        <w:t>Addressing these gaps will significantly enhance Audit Caddie's compliance with CCPA/CPRA requirements and improve consumer trust and transparency.</w:t>
      </w:r>
    </w:p>
    <w:p>
      <w:pPr>
        <w:pStyle w:val="BodyText"/>
      </w:pPr>
      <w:r>
        <w:t>---</w:t>
      </w:r>
    </w:p>
    <w:p>
      <w:pPr>
        <w:pStyle w:val="Heading2"/>
      </w:pPr>
      <w:r>
        <w:t>Metadata</w:t>
      </w:r>
    </w:p>
    <w:p>
      <w:pPr>
        <w:pStyle w:val="ListBullet"/>
        <w:ind w:left="360"/>
      </w:pPr>
      <w:r>
        <w:t>**Model Used:** GPT-4.1</w:t>
      </w:r>
    </w:p>
    <w:p>
      <w:pPr>
        <w:pStyle w:val="ListBullet"/>
        <w:ind w:left="360"/>
      </w:pPr>
      <w:r>
        <w:t>**Tokens Consumed:** 13873</w:t>
      </w:r>
    </w:p>
    <w:p>
      <w:pPr>
        <w:pStyle w:val="ListBullet"/>
        <w:ind w:left="360"/>
      </w:pPr>
      <w:r>
        <w:t>**Framework:** CCPA/CPRA (California Consumer Privacy Act / California Privacy Rights Act)</w:t>
      </w:r>
    </w:p>
    <w:p>
      <w:pPr>
        <w:pStyle w:val="BodyText"/>
      </w:pPr>
      <w:r>
        <w:t>---</w:t>
      </w:r>
    </w:p>
    <w:p>
      <w:pPr>
        <w:pStyle w:val="BodyText"/>
      </w:pPr>
      <w:r>
        <w:t>*Report generated by Privacy Policy Gap Analysis System with RAG and MCP*</w:t>
      </w:r>
    </w:p>
    <w:p>
      <w:pPr>
        <w:pStyle w:val="BodyText"/>
      </w:pPr>
      <w:r>
        <w:t>*Powered by Cardinal Security Privacy Compliance Workflow*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70C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472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