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03366"/>
          <w:sz w:val="32"/>
        </w:rPr>
        <w:t>BLodgic</w:t>
      </w:r>
    </w:p>
    <w:p/>
    <w:p>
      <w:pPr>
        <w:jc w:val="center"/>
      </w:pPr>
      <w:r>
        <w:rPr>
          <w:rFonts w:ascii="Calibri" w:hAnsi="Calibri"/>
          <w:color w:val="000000"/>
          <w:sz w:val="28"/>
        </w:rPr>
        <w:t>20</w:t>
        <w:br/>
        <w:t>COMPLIANCE</w:t>
        <w:tab/>
        <w:t>25</w:t>
      </w:r>
    </w:p>
    <w:p>
      <w:pPr>
        <w:spacing w:after="240"/>
        <w:jc w:val="center"/>
      </w:pPr>
      <w:r>
        <w:rPr>
          <w:rFonts w:ascii="Calibri" w:hAnsi="Calibri"/>
          <w:b/>
          <w:color w:val="003366"/>
          <w:sz w:val="48"/>
        </w:rPr>
        <w:t>CCPA COMPLIANCE ASSESSMENT REPORT</w:t>
      </w:r>
    </w:p>
    <w:p>
      <w:pPr>
        <w:jc w:val="center"/>
      </w:pPr>
      <w:r>
        <w:rPr>
          <w:color w:val="000000"/>
          <w:sz w:val="28"/>
        </w:rPr>
        <w:t>BLodgic Privacy Policy</w:t>
        <w:br/>
        <w:t>Compliance Gap Analysis</w:t>
      </w:r>
    </w:p>
    <w:p/>
    <w:p/>
    <w:p/>
    <w:p/>
    <w:p/>
    <w:p/>
    <w:p>
      <w:pPr>
        <w:pStyle w:val="BodyText"/>
        <w:spacing w:line="360" w:lineRule="auto"/>
      </w:pPr>
      <w:r>
        <w:rPr>
          <w:rFonts w:ascii="Calibri" w:hAnsi="Calibri"/>
          <w:sz w:val="22"/>
        </w:rPr>
        <w:t>This report provides a comprehensive CCPA/CPRA compliance gap analysis, identifying specific areas where the privacy policy requires updates to meet California consumer privacy requirements.</w:t>
      </w:r>
    </w:p>
    <w:p/>
    <w:p/>
    <w:p>
      <w:pPr>
        <w:pStyle w:val="Heading3"/>
      </w:pPr>
      <w:r>
        <w:t>Report Generated By</w:t>
      </w:r>
    </w:p>
    <w:p>
      <w:pPr>
        <w:pStyle w:val="BodyText"/>
      </w:pPr>
      <w:r>
        <w:rPr>
          <w:sz w:val="22"/>
        </w:rPr>
        <w:t>Privacy Policy Gap Analysis System</w:t>
        <w:br/>
        <w:t>Powered by Cardinal Security</w:t>
      </w:r>
    </w:p>
    <w:p>
      <w:pPr>
        <w:pStyle w:val="Heading3"/>
      </w:pPr>
      <w:r>
        <w:t>Analysis Date</w:t>
      </w:r>
    </w:p>
    <w:p>
      <w:pPr>
        <w:pStyle w:val="BodyText"/>
      </w:pPr>
      <w:r>
        <w:rPr>
          <w:sz w:val="22"/>
        </w:rPr>
        <w:t>January 12, 2026</w:t>
      </w:r>
    </w:p>
    <w:p>
      <w:r>
        <w:br w:type="page"/>
      </w:r>
    </w:p>
    <w:p>
      <w:pPr>
        <w:pStyle w:val="Heading1"/>
      </w:pPr>
      <w:r>
        <w:t>CCPA/CPRA GAP ANALYSIS REPORT</w:t>
      </w:r>
    </w:p>
    <w:p>
      <w:pPr>
        <w:pStyle w:val="BodyText"/>
      </w:pPr>
      <w:r>
        <w:t>**Company:** BLodgic</w:t>
      </w:r>
    </w:p>
    <w:p>
      <w:pPr>
        <w:pStyle w:val="BodyText"/>
      </w:pPr>
      <w:r>
        <w:t>**Analysis Date:** 2026-01-12T09:49:29.350901</w:t>
      </w:r>
    </w:p>
    <w:p>
      <w:pPr>
        <w:pStyle w:val="BodyText"/>
      </w:pPr>
      <w:r>
        <w:t>**Session ID:** privacy_analysis_BLodgic_20260112_094929</w:t>
      </w:r>
    </w:p>
    <w:p>
      <w:pPr>
        <w:pStyle w:val="BodyText"/>
      </w:pPr>
      <w:r>
        <w:t>---</w:t>
      </w:r>
    </w:p>
    <w:p>
      <w:pPr>
        <w:pStyle w:val="Heading2"/>
      </w:pPr>
      <w:r>
        <w:t>Gap Analysis</w:t>
      </w:r>
    </w:p>
    <w:p>
      <w:pPr>
        <w:pStyle w:val="BodyText"/>
      </w:pPr>
      <w:r>
        <w:t>**BLodgic Privacy Policy CCPA/CPRA Compliance Gap Analysis**</w:t>
      </w:r>
    </w:p>
    <w:p>
      <w:pPr>
        <w:pStyle w:val="BodyText"/>
      </w:pPr>
      <w:r>
        <w:t>---</w:t>
      </w:r>
    </w:p>
    <w:p>
      <w:pPr>
        <w:pStyle w:val="BodyText"/>
      </w:pPr>
      <w:r>
        <w:t>**1. Executive Summary of Compliance Status**</w:t>
      </w:r>
    </w:p>
    <w:p>
      <w:pPr>
        <w:pStyle w:val="BodyText"/>
      </w:pPr>
      <w:r>
        <w:t>The BLodgic Privacy Policy lacks several critical disclosures and mechanisms required under the CCPA/CPRA. While it outlines general data handling practices, it fails to address specific consumer rights, notice requirements, and operational obligations mandated by California privacy laws. Key areas of non-compliance include the absence of consumer rights disclosures, opt-out mechanisms, and detailed data handling practices.</w:t>
      </w:r>
    </w:p>
    <w:p>
      <w:pPr>
        <w:pStyle w:val="BodyText"/>
      </w:pPr>
      <w:r>
        <w:t>---</w:t>
      </w:r>
    </w:p>
    <w:p>
      <w:pPr>
        <w:pStyle w:val="BodyText"/>
      </w:pPr>
      <w:r>
        <w:t>**2. Detailed List of Gaps with Specific CCPA/CPRA Sections**</w:t>
      </w:r>
    </w:p>
    <w:p>
      <w:pPr>
        <w:pStyle w:val="BodyText"/>
      </w:pPr>
      <w:r>
        <w:t>1. **Right to Know Disclosure**</w:t>
      </w:r>
    </w:p>
    <w:p>
      <w:pPr>
        <w:pStyle w:val="BodyText"/>
      </w:pPr>
      <w:r>
        <w:t xml:space="preserve">   - **Gap:** The policy does not disclose the categories and specific pieces of personal information collected, the sources of that information, the business purposes for collecting or selling it, or the categories of third parties with whom the information is shared.</w:t>
      </w:r>
    </w:p>
    <w:p>
      <w:pPr>
        <w:pStyle w:val="BodyText"/>
      </w:pPr>
      <w:r>
        <w:t xml:space="preserve">   - **Reference:** CCPA Section 1798.100</w:t>
      </w:r>
    </w:p>
    <w:p>
      <w:pPr>
        <w:pStyle w:val="BodyText"/>
      </w:pPr>
      <w:r>
        <w:t>2. **Right to Delete Disclosure**</w:t>
      </w:r>
    </w:p>
    <w:p>
      <w:pPr>
        <w:pStyle w:val="BodyText"/>
      </w:pPr>
      <w:r>
        <w:t xml:space="preserve">   - **Gap:** The policy does not inform consumers of their right to request the deletion of their personal information.</w:t>
      </w:r>
    </w:p>
    <w:p>
      <w:pPr>
        <w:pStyle w:val="BodyText"/>
      </w:pPr>
      <w:r>
        <w:t xml:space="preserve">   - **Reference:** CCPA Section 1798.105</w:t>
      </w:r>
    </w:p>
    <w:p>
      <w:pPr>
        <w:pStyle w:val="BodyText"/>
      </w:pPr>
      <w:r>
        <w:t>3. **Right to Opt-Out of Sale/Sharing**</w:t>
      </w:r>
    </w:p>
    <w:p>
      <w:pPr>
        <w:pStyle w:val="BodyText"/>
      </w:pPr>
      <w:r>
        <w:t xml:space="preserve">   - **Gap:** There is no mention of the right to opt-out of the sale or sharing of personal information, nor is there a 'Do Not Sell or Share My Personal Information' link.</w:t>
      </w:r>
    </w:p>
    <w:p>
      <w:pPr>
        <w:pStyle w:val="BodyText"/>
      </w:pPr>
      <w:r>
        <w:t xml:space="preserve">   - **Reference:** CCPA Section 1798.120</w:t>
      </w:r>
    </w:p>
    <w:p>
      <w:pPr>
        <w:pStyle w:val="BodyText"/>
      </w:pPr>
      <w:r>
        <w:t>4. **Right to Correct Inaccurate Information**</w:t>
      </w:r>
    </w:p>
    <w:p>
      <w:pPr>
        <w:pStyle w:val="BodyText"/>
      </w:pPr>
      <w:r>
        <w:t xml:space="preserve">   - **Gap:** The policy does not mention consumers' right to correct inaccurate personal information.</w:t>
      </w:r>
    </w:p>
    <w:p>
      <w:pPr>
        <w:pStyle w:val="BodyText"/>
      </w:pPr>
      <w:r>
        <w:t xml:space="preserve">   - **Reference:** CPRA Section 1798.106</w:t>
      </w:r>
    </w:p>
    <w:p>
      <w:pPr>
        <w:pStyle w:val="BodyText"/>
      </w:pPr>
      <w:r>
        <w:t>5. **Right to Limit Use of Sensitive Personal Information**</w:t>
      </w:r>
    </w:p>
    <w:p>
      <w:pPr>
        <w:pStyle w:val="BodyText"/>
      </w:pPr>
      <w:r>
        <w:t xml:space="preserve">   - **Gap:** There is no disclosure regarding the right to limit the use of sensitive personal information.</w:t>
      </w:r>
    </w:p>
    <w:p>
      <w:pPr>
        <w:pStyle w:val="BodyText"/>
      </w:pPr>
      <w:r>
        <w:t xml:space="preserve">   - **Reference:** CPRA Section 1798.121</w:t>
      </w:r>
    </w:p>
    <w:p>
      <w:pPr>
        <w:pStyle w:val="BodyText"/>
      </w:pPr>
      <w:r>
        <w:t>6. **Notice at Collection**</w:t>
      </w:r>
    </w:p>
    <w:p>
      <w:pPr>
        <w:pStyle w:val="BodyText"/>
      </w:pPr>
      <w:r>
        <w:t xml:space="preserve">   - **Gap:** The policy does not provide notice at or before the point of collection about the categories of personal information to be collected and the purposes for which they will be used.</w:t>
      </w:r>
    </w:p>
    <w:p>
      <w:pPr>
        <w:pStyle w:val="BodyText"/>
      </w:pPr>
      <w:r>
        <w:t xml:space="preserve">   - **Reference:** CCPA Section 1798.100(b)</w:t>
      </w:r>
    </w:p>
    <w:p>
      <w:pPr>
        <w:pStyle w:val="BodyText"/>
      </w:pPr>
      <w:r>
        <w:t>7. **Privacy Policy - Sharing and Selling**</w:t>
      </w:r>
    </w:p>
    <w:p>
      <w:pPr>
        <w:pStyle w:val="BodyText"/>
      </w:pPr>
      <w:r>
        <w:t xml:space="preserve">   - **Gap:** The policy does not disclose whether the business sells or shares personal information and lacks a separate link for opting out.</w:t>
      </w:r>
    </w:p>
    <w:p>
      <w:pPr>
        <w:pStyle w:val="BodyText"/>
      </w:pPr>
      <w:r>
        <w:t xml:space="preserve">   - **Reference:** CCPA Section 1798.130(a)(5)(C)</w:t>
      </w:r>
    </w:p>
    <w:p>
      <w:pPr>
        <w:pStyle w:val="BodyText"/>
      </w:pPr>
      <w:r>
        <w:t>8. **Methods for Submitting Requests**</w:t>
      </w:r>
    </w:p>
    <w:p>
      <w:pPr>
        <w:pStyle w:val="BodyText"/>
      </w:pPr>
      <w:r>
        <w:t xml:space="preserve">   - **Gap:** The policy does not provide two or more designated methods for submitting requests to know and delete, such as a toll-free number and website address.</w:t>
      </w:r>
    </w:p>
    <w:p>
      <w:pPr>
        <w:pStyle w:val="BodyText"/>
      </w:pPr>
      <w:r>
        <w:t xml:space="preserve">   - **Reference:** CCPA Section 1798.130(a)(1)</w:t>
      </w:r>
    </w:p>
    <w:p>
      <w:pPr>
        <w:pStyle w:val="BodyText"/>
      </w:pPr>
      <w:r>
        <w:t>9. **Privacy Policy Accessibility**</w:t>
      </w:r>
    </w:p>
    <w:p>
      <w:pPr>
        <w:pStyle w:val="BodyText"/>
      </w:pPr>
      <w:r>
        <w:t xml:space="preserve">   - **Gap:** The privacy policy is not clearly accessible via a conspicuous link on the homepage or mobile app.</w:t>
      </w:r>
    </w:p>
    <w:p>
      <w:pPr>
        <w:pStyle w:val="BodyText"/>
      </w:pPr>
      <w:r>
        <w:t xml:space="preserve">   - **Reference:** CCPA Regulations Section 999.308</w:t>
      </w:r>
    </w:p>
    <w:p>
      <w:pPr>
        <w:pStyle w:val="BodyText"/>
      </w:pPr>
      <w:r>
        <w:t>10. **Service Provider Contracts**</w:t>
      </w:r>
    </w:p>
    <w:p>
      <w:pPr>
        <w:pStyle w:val="BodyText"/>
      </w:pPr>
      <w:r>
        <w:t xml:space="preserve">    - **Gap:** There is no mention of contracts with service providers prohibiting the retention, use, or disclosure of personal information beyond the specified services.</w:t>
      </w:r>
    </w:p>
    <w:p>
      <w:pPr>
        <w:pStyle w:val="BodyText"/>
      </w:pPr>
      <w:r>
        <w:t xml:space="preserve">    - **Reference:** CCPA Section 1798.140(ag)(2)</w:t>
      </w:r>
    </w:p>
    <w:p>
      <w:pPr>
        <w:pStyle w:val="BodyText"/>
      </w:pPr>
      <w:r>
        <w:t>11. **Record Keeping Requirements**</w:t>
      </w:r>
    </w:p>
    <w:p>
      <w:pPr>
        <w:pStyle w:val="BodyText"/>
      </w:pPr>
      <w:r>
        <w:t xml:space="preserve">    - **Gap:** The policy does not mention maintaining records of consumer requests and responses for at least 24 months.</w:t>
      </w:r>
    </w:p>
    <w:p>
      <w:pPr>
        <w:pStyle w:val="BodyText"/>
      </w:pPr>
      <w:r>
        <w:t xml:space="preserve">    - **Reference:** CCPA Regulations Section 999.317</w:t>
      </w:r>
    </w:p>
    <w:p>
      <w:pPr>
        <w:pStyle w:val="BodyText"/>
      </w:pPr>
      <w:r>
        <w:t>12. **Annual Metrics Reporting**</w:t>
      </w:r>
    </w:p>
    <w:p>
      <w:pPr>
        <w:pStyle w:val="BodyText"/>
      </w:pPr>
      <w:r>
        <w:t xml:space="preserve">    - **Gap:** There is no disclosure of compiling and making available metrics regarding consumer requests.</w:t>
      </w:r>
    </w:p>
    <w:p>
      <w:pPr>
        <w:pStyle w:val="BodyText"/>
      </w:pPr>
      <w:r>
        <w:t xml:space="preserve">    - **Reference:** CCPA Regulations Section 999.317(g)</w:t>
      </w:r>
    </w:p>
    <w:p>
      <w:pPr>
        <w:pStyle w:val="BodyText"/>
      </w:pPr>
      <w:r>
        <w:t>13. **Children's Data Protections (Under 13 and 13-16)**</w:t>
      </w:r>
    </w:p>
    <w:p>
      <w:pPr>
        <w:pStyle w:val="BodyText"/>
      </w:pPr>
      <w:r>
        <w:t xml:space="preserve">    - **Gap:** The policy does not adequately address affirmative authorization requirements for selling or sharing personal information of children under 13 and between 13 and 16.</w:t>
      </w:r>
    </w:p>
    <w:p>
      <w:pPr>
        <w:pStyle w:val="BodyText"/>
      </w:pPr>
      <w:r>
        <w:t xml:space="preserve">    - **Reference:** CCPA Section 1798.120(c)</w:t>
      </w:r>
    </w:p>
    <w:p>
      <w:pPr>
        <w:pStyle w:val="BodyText"/>
      </w:pPr>
      <w:r>
        <w:t>14. **Non-Discrimination Policy**</w:t>
      </w:r>
    </w:p>
    <w:p>
      <w:pPr>
        <w:pStyle w:val="BodyText"/>
      </w:pPr>
      <w:r>
        <w:t xml:space="preserve">    - **Gap:** The policy does not include a non-discrimination statement for consumers exercising their CCPA rights.</w:t>
      </w:r>
    </w:p>
    <w:p>
      <w:pPr>
        <w:pStyle w:val="BodyText"/>
      </w:pPr>
      <w:r>
        <w:t xml:space="preserve">    - **Reference:** CCPA Section 1798.125(a)</w:t>
      </w:r>
    </w:p>
    <w:p>
      <w:pPr>
        <w:pStyle w:val="BodyText"/>
      </w:pPr>
      <w:r>
        <w:t>15. **Authorized Agent Procedures**</w:t>
      </w:r>
    </w:p>
    <w:p>
      <w:pPr>
        <w:pStyle w:val="BodyText"/>
      </w:pPr>
      <w:r>
        <w:t xml:space="preserve">    - **Gap:** The policy does not outline procedures for honoring requests made through authorized agents.</w:t>
      </w:r>
    </w:p>
    <w:p>
      <w:pPr>
        <w:pStyle w:val="BodyText"/>
      </w:pPr>
      <w:r>
        <w:t xml:space="preserve">    - **Reference:** CCPA Regulations Section 999.326</w:t>
      </w:r>
    </w:p>
    <w:p>
      <w:pPr>
        <w:pStyle w:val="BodyText"/>
      </w:pPr>
      <w:r>
        <w:t>---</w:t>
      </w:r>
    </w:p>
    <w:p>
      <w:pPr>
        <w:pStyle w:val="BodyText"/>
      </w:pPr>
      <w:r>
        <w:t>**3. Recommendations for Each Gap**</w:t>
      </w:r>
    </w:p>
    <w:p>
      <w:pPr>
        <w:pStyle w:val="BodyText"/>
      </w:pPr>
      <w:r>
        <w:t>1. **Right to Know Disclosure:** Include a detailed section listing the categories of personal information collected, sources, purposes, and third-party sharing details.</w:t>
      </w:r>
    </w:p>
    <w:p>
      <w:pPr>
        <w:pStyle w:val="BodyText"/>
      </w:pPr>
      <w:r>
        <w:t>2. **Right to Delete Disclosure:** Add a section informing consumers of their right to request deletion of their personal information.</w:t>
      </w:r>
    </w:p>
    <w:p>
      <w:pPr>
        <w:pStyle w:val="BodyText"/>
      </w:pPr>
      <w:r>
        <w:t>3. **Right to Opt-Out of Sale/Sharing:** Implement a 'Do Not Sell or Share My Personal Information' link on the homepage and include opt-out rights in the policy.</w:t>
      </w:r>
    </w:p>
    <w:p>
      <w:pPr>
        <w:pStyle w:val="BodyText"/>
      </w:pPr>
      <w:r>
        <w:t>4. **Right to Correct Inaccurate Information:** Add a disclosure about consumers' rights to correct inaccurate personal information.</w:t>
      </w:r>
    </w:p>
    <w:p>
      <w:pPr>
        <w:pStyle w:val="BodyText"/>
      </w:pPr>
      <w:r>
        <w:t>5. **Right to Limit Use of Sensitive Personal Information:** Include a section on limiting the use of sensitive personal information.</w:t>
      </w:r>
    </w:p>
    <w:p>
      <w:pPr>
        <w:pStyle w:val="BodyText"/>
      </w:pPr>
      <w:r>
        <w:t>6. **Notice at Collection:** Provide a clear notice at the point of collection about the categories of information collected and their purposes.</w:t>
      </w:r>
    </w:p>
    <w:p>
      <w:pPr>
        <w:pStyle w:val="BodyText"/>
      </w:pPr>
      <w:r>
        <w:t>7. **Privacy Policy - Sharing and Selling:** Disclose whether personal information is sold or shared and provide an opt-out mechanism.</w:t>
      </w:r>
    </w:p>
    <w:p>
      <w:pPr>
        <w:pStyle w:val="BodyText"/>
      </w:pPr>
      <w:r>
        <w:t>8. **Methods for Submitting Requests:** Offer at least two methods for submitting consumer requests, including a toll-free number.</w:t>
      </w:r>
    </w:p>
    <w:p>
      <w:pPr>
        <w:pStyle w:val="BodyText"/>
      </w:pPr>
      <w:r>
        <w:t>9. **Privacy Policy Accessibility:** Ensure the privacy policy is accessible via a clear link on the homepage and mobile app.</w:t>
      </w:r>
    </w:p>
    <w:p>
      <w:pPr>
        <w:pStyle w:val="BodyText"/>
      </w:pPr>
      <w:r>
        <w:t>10. **Service Provider Contracts:** Ensure contracts with service providers include restrictions on the use of personal information.</w:t>
      </w:r>
    </w:p>
    <w:p>
      <w:pPr>
        <w:pStyle w:val="BodyText"/>
      </w:pPr>
      <w:r>
        <w:t>11. **Record Keeping Requirements:** Implement a system to maintain records of consumer requests and responses for 24 months.</w:t>
      </w:r>
    </w:p>
    <w:p>
      <w:pPr>
        <w:pStyle w:val="BodyText"/>
      </w:pPr>
      <w:r>
        <w:t>12. **Annual Metrics Reporting:** Compile and disclose metrics on consumer requests in the privacy policy.</w:t>
      </w:r>
    </w:p>
    <w:p>
      <w:pPr>
        <w:pStyle w:val="BodyText"/>
      </w:pPr>
      <w:r>
        <w:t>13. **Children's Data Protections:** Include procedures for obtaining affirmative authorization for selling or sharing children's data.</w:t>
      </w:r>
    </w:p>
    <w:p>
      <w:pPr>
        <w:pStyle w:val="BodyText"/>
      </w:pPr>
      <w:r>
        <w:t>14. **Non-Discrimination Policy:** Add a non-discrimination statement ensuring no adverse treatment for exercising CCPA rights.</w:t>
      </w:r>
    </w:p>
    <w:p>
      <w:pPr>
        <w:pStyle w:val="BodyText"/>
      </w:pPr>
      <w:r>
        <w:t>15. **Authorized Agent Procedures:** Outline procedures for verifying and honoring requests made through authorized agents.</w:t>
      </w:r>
    </w:p>
    <w:p>
      <w:pPr>
        <w:pStyle w:val="BodyText"/>
      </w:pPr>
      <w:r>
        <w:t>---</w:t>
      </w:r>
    </w:p>
    <w:p>
      <w:pPr>
        <w:pStyle w:val="BodyText"/>
      </w:pPr>
      <w:r>
        <w:t>**4. Priority Level for Each Gap**</w:t>
      </w:r>
    </w:p>
    <w:p>
      <w:pPr>
        <w:pStyle w:val="BodyText"/>
      </w:pPr>
      <w:r>
        <w:t>1. **Right to Know Disclosure** - **Critical**</w:t>
      </w:r>
    </w:p>
    <w:p>
      <w:pPr>
        <w:pStyle w:val="BodyText"/>
      </w:pPr>
      <w:r>
        <w:t>2. **Right to Delete Disclosure** - **Critical**</w:t>
      </w:r>
    </w:p>
    <w:p>
      <w:pPr>
        <w:pStyle w:val="BodyText"/>
      </w:pPr>
      <w:r>
        <w:t>3. **Right to Opt-Out of Sale/Sharing** - **Critical**</w:t>
      </w:r>
    </w:p>
    <w:p>
      <w:pPr>
        <w:pStyle w:val="BodyText"/>
      </w:pPr>
      <w:r>
        <w:t>4. **Right to Correct Inaccurate Information** - **High**</w:t>
      </w:r>
    </w:p>
    <w:p>
      <w:pPr>
        <w:pStyle w:val="BodyText"/>
      </w:pPr>
      <w:r>
        <w:t>5. **Right to Limit Use of Sensitive Personal Information** - **High**</w:t>
      </w:r>
    </w:p>
    <w:p>
      <w:pPr>
        <w:pStyle w:val="BodyText"/>
      </w:pPr>
      <w:r>
        <w:t>6. **Notice at Collection** - **Critical**</w:t>
      </w:r>
    </w:p>
    <w:p>
      <w:pPr>
        <w:pStyle w:val="BodyText"/>
      </w:pPr>
      <w:r>
        <w:t>7. **Privacy Policy - Sharing and Selling** - **Critical**</w:t>
      </w:r>
    </w:p>
    <w:p>
      <w:pPr>
        <w:pStyle w:val="BodyText"/>
      </w:pPr>
      <w:r>
        <w:t>8. **Methods for Submitting Requests** - **High**</w:t>
      </w:r>
    </w:p>
    <w:p>
      <w:pPr>
        <w:pStyle w:val="BodyText"/>
      </w:pPr>
      <w:r>
        <w:t>9. **Privacy Policy Accessibility** - **Medium**</w:t>
      </w:r>
    </w:p>
    <w:p>
      <w:pPr>
        <w:pStyle w:val="BodyText"/>
      </w:pPr>
      <w:r>
        <w:t>10. **Service Provider Contracts** - **Medium**</w:t>
      </w:r>
    </w:p>
    <w:p>
      <w:pPr>
        <w:pStyle w:val="BodyText"/>
      </w:pPr>
      <w:r>
        <w:t>11. **Record Keeping Requirements** - **Medium**</w:t>
      </w:r>
    </w:p>
    <w:p>
      <w:pPr>
        <w:pStyle w:val="BodyText"/>
      </w:pPr>
      <w:r>
        <w:t>12. **Annual Metrics Reporting** - **Medium**</w:t>
      </w:r>
    </w:p>
    <w:p>
      <w:pPr>
        <w:pStyle w:val="BodyText"/>
      </w:pPr>
      <w:r>
        <w:t>13. **Children's Data Protections** - **High**</w:t>
      </w:r>
    </w:p>
    <w:p>
      <w:pPr>
        <w:pStyle w:val="BodyText"/>
      </w:pPr>
      <w:r>
        <w:t>14. **Non-Discrimination Policy** - **High**</w:t>
      </w:r>
    </w:p>
    <w:p>
      <w:pPr>
        <w:pStyle w:val="BodyText"/>
      </w:pPr>
      <w:r>
        <w:t>15. **Authorized Agent Procedures** - **Medium**</w:t>
      </w:r>
    </w:p>
    <w:p>
      <w:pPr>
        <w:pStyle w:val="BodyText"/>
      </w:pPr>
      <w:r>
        <w:t>---</w:t>
      </w:r>
    </w:p>
    <w:p>
      <w:pPr>
        <w:pStyle w:val="BodyText"/>
      </w:pPr>
      <w:r>
        <w:t>This report outlines the necessary steps BLodgic must take to align its privacy policy with CCPA/CPRA requirements, ensuring compliance and protecting consumer rights.</w:t>
      </w:r>
    </w:p>
    <w:p>
      <w:pPr>
        <w:pStyle w:val="BodyText"/>
      </w:pPr>
      <w:r>
        <w:t>---</w:t>
      </w:r>
    </w:p>
    <w:p>
      <w:pPr>
        <w:pStyle w:val="Heading2"/>
      </w:pPr>
      <w:r>
        <w:t>Metadata</w:t>
      </w:r>
    </w:p>
    <w:p>
      <w:pPr>
        <w:pStyle w:val="ListBullet"/>
        <w:ind w:left="360"/>
      </w:pPr>
      <w:r>
        <w:t>**Model Used:** GPT-4.1</w:t>
      </w:r>
    </w:p>
    <w:p>
      <w:pPr>
        <w:pStyle w:val="ListBullet"/>
        <w:ind w:left="360"/>
      </w:pPr>
      <w:r>
        <w:t>**Tokens Consumed:** 4606</w:t>
      </w:r>
    </w:p>
    <w:p>
      <w:pPr>
        <w:pStyle w:val="ListBullet"/>
        <w:ind w:left="360"/>
      </w:pPr>
      <w:r>
        <w:t>**Framework:** CCPA/CPRA (California Consumer Privacy Act / California Privacy Rights Act)</w:t>
      </w:r>
    </w:p>
    <w:p>
      <w:pPr>
        <w:pStyle w:val="BodyText"/>
      </w:pPr>
      <w:r>
        <w:t>---</w:t>
      </w:r>
    </w:p>
    <w:p>
      <w:pPr>
        <w:pStyle w:val="BodyText"/>
      </w:pPr>
      <w:r>
        <w:t>*Report generated by Privacy Policy Gap Analysis System with RAG and MCP*</w:t>
      </w:r>
    </w:p>
    <w:p>
      <w:pPr>
        <w:pStyle w:val="BodyText"/>
      </w:pPr>
      <w:r>
        <w:t>*Powered by Cardinal Security Privacy Compliance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0070C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33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