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03366"/>
          <w:sz w:val="32"/>
        </w:rPr>
        <w:t>BLodgic</w:t>
      </w:r>
    </w:p>
    <w:p/>
    <w:p>
      <w:pPr>
        <w:jc w:val="center"/>
      </w:pPr>
      <w:r>
        <w:rPr>
          <w:rFonts w:ascii="Calibri" w:hAnsi="Calibri"/>
          <w:color w:val="000000"/>
          <w:sz w:val="28"/>
        </w:rPr>
        <w:t>20</w:t>
        <w:br/>
        <w:t>COMPLIANCE</w:t>
        <w:tab/>
        <w:t>25</w:t>
      </w:r>
    </w:p>
    <w:p>
      <w:pPr>
        <w:spacing w:after="240"/>
        <w:jc w:val="center"/>
      </w:pPr>
      <w:r>
        <w:rPr>
          <w:rFonts w:ascii="Calibri" w:hAnsi="Calibri"/>
          <w:b/>
          <w:color w:val="003366"/>
          <w:sz w:val="48"/>
        </w:rPr>
        <w:t>CCPA COMPLIANCE ASSESSMENT REPORT</w:t>
      </w:r>
    </w:p>
    <w:p>
      <w:pPr>
        <w:jc w:val="center"/>
      </w:pPr>
      <w:r>
        <w:rPr>
          <w:color w:val="000000"/>
          <w:sz w:val="28"/>
        </w:rPr>
        <w:t>BLodgic Privacy Policy</w:t>
        <w:br/>
        <w:t>Compliance Gap Analysis</w:t>
      </w:r>
    </w:p>
    <w:p/>
    <w:p/>
    <w:p/>
    <w:p/>
    <w:p/>
    <w:p/>
    <w:p>
      <w:pPr>
        <w:pStyle w:val="BodyText"/>
        <w:spacing w:line="360" w:lineRule="auto"/>
      </w:pPr>
      <w:r>
        <w:rPr>
          <w:rFonts w:ascii="Calibri" w:hAnsi="Calibri"/>
          <w:sz w:val="22"/>
        </w:rPr>
        <w:t>This report provides a comprehensive CCPA/CPRA compliance gap analysis, identifying specific areas where the privacy policy requires updates to meet California consumer privacy requirements.</w:t>
      </w:r>
    </w:p>
    <w:p/>
    <w:p/>
    <w:p>
      <w:pPr>
        <w:pStyle w:val="Heading3"/>
      </w:pPr>
      <w:r>
        <w:t>Report Generated By</w:t>
      </w:r>
    </w:p>
    <w:p>
      <w:pPr>
        <w:pStyle w:val="BodyText"/>
      </w:pPr>
      <w:r>
        <w:rPr>
          <w:sz w:val="22"/>
        </w:rPr>
        <w:t>Privacy Policy Gap Analysis System</w:t>
        <w:br/>
        <w:t>Powered by Cardinal Security</w:t>
      </w:r>
    </w:p>
    <w:p>
      <w:pPr>
        <w:pStyle w:val="Heading3"/>
      </w:pPr>
      <w:r>
        <w:t>Analysis Date</w:t>
      </w:r>
    </w:p>
    <w:p>
      <w:pPr>
        <w:pStyle w:val="BodyText"/>
      </w:pPr>
      <w:r>
        <w:rPr>
          <w:sz w:val="22"/>
        </w:rPr>
        <w:t>December 27, 2025</w:t>
      </w:r>
    </w:p>
    <w:p>
      <w:r>
        <w:br w:type="page"/>
      </w:r>
    </w:p>
    <w:p>
      <w:pPr>
        <w:pStyle w:val="Heading1"/>
      </w:pPr>
      <w:r>
        <w:t>CCPA/CPRA GAP ANALYSIS REPORT</w:t>
      </w:r>
    </w:p>
    <w:p>
      <w:pPr>
        <w:pStyle w:val="BodyText"/>
      </w:pPr>
      <w:r>
        <w:t>**Company:** BLodgic</w:t>
      </w:r>
    </w:p>
    <w:p>
      <w:pPr>
        <w:pStyle w:val="BodyText"/>
      </w:pPr>
      <w:r>
        <w:t>**Analysis Date:** 2025-12-27T17:12:50.409296</w:t>
      </w:r>
    </w:p>
    <w:p>
      <w:pPr>
        <w:pStyle w:val="BodyText"/>
      </w:pPr>
      <w:r>
        <w:t>**Session ID:** privacy_analysis_BLodgic_20251227_171250</w:t>
      </w:r>
    </w:p>
    <w:p>
      <w:pPr>
        <w:pStyle w:val="BodyText"/>
      </w:pPr>
      <w:r>
        <w:t>---</w:t>
      </w:r>
    </w:p>
    <w:p>
      <w:pPr>
        <w:pStyle w:val="Heading2"/>
      </w:pPr>
      <w:r>
        <w:t>Gap Analysis</w:t>
      </w:r>
    </w:p>
    <w:p>
      <w:pPr>
        <w:pStyle w:val="BodyText"/>
      </w:pPr>
      <w:r>
        <w:t>**BLodgic Privacy Policy CCPA/CPRA Compliance Gap Analysis Report**</w:t>
      </w:r>
    </w:p>
    <w:p>
      <w:pPr>
        <w:pStyle w:val="BodyText"/>
      </w:pPr>
      <w:r>
        <w:t>**1. Executive Summary of Compliance Status**</w:t>
      </w:r>
    </w:p>
    <w:p>
      <w:pPr>
        <w:pStyle w:val="BodyText"/>
      </w:pPr>
      <w:r>
        <w:t>The BLodgic Privacy Policy demonstrates a basic framework for handling user data but lacks several critical elements required under the California Consumer Privacy Act (CCPA) and the California Privacy Rights Act (CPRA). Key areas of non-compliance include inadequate disclosures regarding consumer rights, insufficient details on data collection and sharing practices, and missing procedures for handling consumer requests. Immediate attention is required to address these gaps to ensure compliance with CCPA/CPRA.</w:t>
      </w:r>
    </w:p>
    <w:p>
      <w:pPr>
        <w:pStyle w:val="BodyText"/>
      </w:pPr>
      <w:r>
        <w:t>**2. Detailed List of Gaps with Specific CCPA/CPRA Sections**</w:t>
      </w:r>
    </w:p>
    <w:p>
      <w:pPr>
        <w:pStyle w:val="ListBullet"/>
        <w:ind w:left="360"/>
      </w:pPr>
      <w:r>
        <w:t>**Right to Know Disclosure**</w:t>
      </w:r>
    </w:p>
    <w:p>
      <w:pPr>
        <w:pStyle w:val="BodyText"/>
      </w:pPr>
      <w:r>
        <w:t xml:space="preserve">  - **Gap:** The policy does not specify the categories of personal information collected or the purposes for which each category is used.</w:t>
      </w:r>
    </w:p>
    <w:p>
      <w:pPr>
        <w:pStyle w:val="BodyText"/>
      </w:pPr>
      <w:r>
        <w:t xml:space="preserve">  - **Reference:** CCPA Section 1798.130(a)(5)</w:t>
      </w:r>
    </w:p>
    <w:p>
      <w:pPr>
        <w:pStyle w:val="BodyText"/>
      </w:pPr>
      <w:r>
        <w:t xml:space="preserve">  - **Priority:** Critical</w:t>
      </w:r>
    </w:p>
    <w:p>
      <w:pPr>
        <w:pStyle w:val="ListBullet"/>
        <w:ind w:left="360"/>
      </w:pPr>
      <w:r>
        <w:t>**Right to Delete Disclosure**</w:t>
      </w:r>
    </w:p>
    <w:p>
      <w:pPr>
        <w:pStyle w:val="BodyText"/>
      </w:pPr>
      <w:r>
        <w:t xml:space="preserve">  - **Gap:** There is no mention of consumers' right to request the deletion of their personal information.</w:t>
      </w:r>
    </w:p>
    <w:p>
      <w:pPr>
        <w:pStyle w:val="BodyText"/>
      </w:pPr>
      <w:r>
        <w:t xml:space="preserve">  - **Reference:** CCPA Section 1798.105</w:t>
      </w:r>
    </w:p>
    <w:p>
      <w:pPr>
        <w:pStyle w:val="BodyText"/>
      </w:pPr>
      <w:r>
        <w:t xml:space="preserve">  - **Priority:** High</w:t>
      </w:r>
    </w:p>
    <w:p>
      <w:pPr>
        <w:pStyle w:val="ListBullet"/>
        <w:ind w:left="360"/>
      </w:pPr>
      <w:r>
        <w:t>**Right to Opt-Out of Sale/Sharing**</w:t>
      </w:r>
    </w:p>
    <w:p>
      <w:pPr>
        <w:pStyle w:val="BodyText"/>
      </w:pPr>
      <w:r>
        <w:t xml:space="preserve">  - **Gap:** The policy does not provide information on the right to opt-out of the sale or sharing of personal information.</w:t>
      </w:r>
    </w:p>
    <w:p>
      <w:pPr>
        <w:pStyle w:val="BodyText"/>
      </w:pPr>
      <w:r>
        <w:t xml:space="preserve">  - **Reference:** CCPA Section 1798.120</w:t>
      </w:r>
    </w:p>
    <w:p>
      <w:pPr>
        <w:pStyle w:val="BodyText"/>
      </w:pPr>
      <w:r>
        <w:t xml:space="preserve">  - **Priority:** High</w:t>
      </w:r>
    </w:p>
    <w:p>
      <w:pPr>
        <w:pStyle w:val="ListBullet"/>
        <w:ind w:left="360"/>
      </w:pPr>
      <w:r>
        <w:t>**Right to Correct Inaccurate Information**</w:t>
      </w:r>
    </w:p>
    <w:p>
      <w:pPr>
        <w:pStyle w:val="BodyText"/>
      </w:pPr>
      <w:r>
        <w:t xml:space="preserve">  - **Gap:** There is no mention of consumers' right to correct inaccurate personal information.</w:t>
      </w:r>
    </w:p>
    <w:p>
      <w:pPr>
        <w:pStyle w:val="BodyText"/>
      </w:pPr>
      <w:r>
        <w:t xml:space="preserve">  - **Reference:** CPRA Section 1798.106</w:t>
      </w:r>
    </w:p>
    <w:p>
      <w:pPr>
        <w:pStyle w:val="BodyText"/>
      </w:pPr>
      <w:r>
        <w:t xml:space="preserve">  - **Priority:** Medium</w:t>
      </w:r>
    </w:p>
    <w:p>
      <w:pPr>
        <w:pStyle w:val="ListBullet"/>
        <w:ind w:left="360"/>
      </w:pPr>
      <w:r>
        <w:t>**Right to Limit Use of Sensitive Personal Information**</w:t>
      </w:r>
    </w:p>
    <w:p>
      <w:pPr>
        <w:pStyle w:val="BodyText"/>
      </w:pPr>
      <w:r>
        <w:t xml:space="preserve">  - **Gap:** The policy does not address the handling of sensitive personal information or the right to limit its use.</w:t>
      </w:r>
    </w:p>
    <w:p>
      <w:pPr>
        <w:pStyle w:val="BodyText"/>
      </w:pPr>
      <w:r>
        <w:t xml:space="preserve">  - **Reference:** CPRA Section 1798.121</w:t>
      </w:r>
    </w:p>
    <w:p>
      <w:pPr>
        <w:pStyle w:val="BodyText"/>
      </w:pPr>
      <w:r>
        <w:t xml:space="preserve">  - **Priority:** Medium</w:t>
      </w:r>
    </w:p>
    <w:p>
      <w:pPr>
        <w:pStyle w:val="ListBullet"/>
        <w:ind w:left="360"/>
      </w:pPr>
      <w:r>
        <w:t>**"Do Not Sell or Share My Personal Information" Link**</w:t>
      </w:r>
    </w:p>
    <w:p>
      <w:pPr>
        <w:pStyle w:val="BodyText"/>
      </w:pPr>
      <w:r>
        <w:t xml:space="preserve">  - **Gap:** There is no visible link or mechanism for consumers to opt-out of the sale or sharing of their personal information.</w:t>
      </w:r>
    </w:p>
    <w:p>
      <w:pPr>
        <w:pStyle w:val="BodyText"/>
      </w:pPr>
      <w:r>
        <w:t xml:space="preserve">  - **Reference:** CCPA Section 1798.135(a)</w:t>
      </w:r>
    </w:p>
    <w:p>
      <w:pPr>
        <w:pStyle w:val="BodyText"/>
      </w:pPr>
      <w:r>
        <w:t xml:space="preserve">  - **Priority:** Critical</w:t>
      </w:r>
    </w:p>
    <w:p>
      <w:pPr>
        <w:pStyle w:val="ListBullet"/>
        <w:ind w:left="360"/>
      </w:pPr>
      <w:r>
        <w:t>**Data Retention Policies**</w:t>
      </w:r>
    </w:p>
    <w:p>
      <w:pPr>
        <w:pStyle w:val="BodyText"/>
      </w:pPr>
      <w:r>
        <w:t xml:space="preserve">  - **Gap:** The policy does not specify data retention periods for personal information.</w:t>
      </w:r>
    </w:p>
    <w:p>
      <w:pPr>
        <w:pStyle w:val="BodyText"/>
      </w:pPr>
      <w:r>
        <w:t xml:space="preserve">  - **Reference:** CPRA Section 1798.100(a)(3)</w:t>
      </w:r>
    </w:p>
    <w:p>
      <w:pPr>
        <w:pStyle w:val="BodyText"/>
      </w:pPr>
      <w:r>
        <w:t xml:space="preserve">  - **Priority:** Medium</w:t>
      </w:r>
    </w:p>
    <w:p>
      <w:pPr>
        <w:pStyle w:val="ListBullet"/>
        <w:ind w:left="360"/>
      </w:pPr>
      <w:r>
        <w:t>**Authorized Agent Procedures**</w:t>
      </w:r>
    </w:p>
    <w:p>
      <w:pPr>
        <w:pStyle w:val="BodyText"/>
      </w:pPr>
      <w:r>
        <w:t xml:space="preserve">  - **Gap:** The policy does not outline procedures for handling requests made through authorized agents.</w:t>
      </w:r>
    </w:p>
    <w:p>
      <w:pPr>
        <w:pStyle w:val="BodyText"/>
      </w:pPr>
      <w:r>
        <w:t xml:space="preserve">  - **Reference:** CCPA Regulations Section 999.326</w:t>
      </w:r>
    </w:p>
    <w:p>
      <w:pPr>
        <w:pStyle w:val="BodyText"/>
      </w:pPr>
      <w:r>
        <w:t xml:space="preserve">  - **Priority:** Medium</w:t>
      </w:r>
    </w:p>
    <w:p>
      <w:pPr>
        <w:pStyle w:val="ListBullet"/>
        <w:ind w:left="360"/>
      </w:pPr>
      <w:r>
        <w:t>**Non-Discrimination Policy**</w:t>
      </w:r>
    </w:p>
    <w:p>
      <w:pPr>
        <w:pStyle w:val="BodyText"/>
      </w:pPr>
      <w:r>
        <w:t xml:space="preserve">  - **Gap:** There is no statement ensuring non-discrimination against consumers exercising their CCPA rights.</w:t>
      </w:r>
    </w:p>
    <w:p>
      <w:pPr>
        <w:pStyle w:val="BodyText"/>
      </w:pPr>
      <w:r>
        <w:t xml:space="preserve">  - **Reference:** CCPA Section 1798.125(a)</w:t>
      </w:r>
    </w:p>
    <w:p>
      <w:pPr>
        <w:pStyle w:val="BodyText"/>
      </w:pPr>
      <w:r>
        <w:t xml:space="preserve">  - **Priority:** High</w:t>
      </w:r>
    </w:p>
    <w:p>
      <w:pPr>
        <w:pStyle w:val="ListBullet"/>
        <w:ind w:left="360"/>
      </w:pPr>
      <w:r>
        <w:t>**Methods for Submitting Requests**</w:t>
      </w:r>
    </w:p>
    <w:p>
      <w:pPr>
        <w:pStyle w:val="BodyText"/>
      </w:pPr>
      <w:r>
        <w:t xml:space="preserve">  - **Gap:** The policy does not provide two or more methods for consumers to submit requests to know or delete information.</w:t>
      </w:r>
    </w:p>
    <w:p>
      <w:pPr>
        <w:pStyle w:val="BodyText"/>
      </w:pPr>
      <w:r>
        <w:t xml:space="preserve">  - **Reference:** CCPA Section 1798.130(a)(1)</w:t>
      </w:r>
    </w:p>
    <w:p>
      <w:pPr>
        <w:pStyle w:val="BodyText"/>
      </w:pPr>
      <w:r>
        <w:t xml:space="preserve">  - **Priority:** High</w:t>
      </w:r>
    </w:p>
    <w:p>
      <w:pPr>
        <w:pStyle w:val="ListBullet"/>
        <w:ind w:left="360"/>
      </w:pPr>
      <w:r>
        <w:t>**Privacy Policy Accessibility**</w:t>
      </w:r>
    </w:p>
    <w:p>
      <w:pPr>
        <w:pStyle w:val="BodyText"/>
      </w:pPr>
      <w:r>
        <w:t xml:space="preserve">  - **Gap:** The policy does not confirm accessibility or provide a clear and conspicuous link on the website.</w:t>
      </w:r>
    </w:p>
    <w:p>
      <w:pPr>
        <w:pStyle w:val="BodyText"/>
      </w:pPr>
      <w:r>
        <w:t xml:space="preserve">  - **Reference:** CCPA Regulations Section 999.308</w:t>
      </w:r>
    </w:p>
    <w:p>
      <w:pPr>
        <w:pStyle w:val="BodyText"/>
      </w:pPr>
      <w:r>
        <w:t xml:space="preserve">  - **Priority:** Medium</w:t>
      </w:r>
    </w:p>
    <w:p>
      <w:pPr>
        <w:pStyle w:val="ListBullet"/>
        <w:ind w:left="360"/>
      </w:pPr>
      <w:r>
        <w:t>**Service Provider Contracts**</w:t>
      </w:r>
    </w:p>
    <w:p>
      <w:pPr>
        <w:pStyle w:val="BodyText"/>
      </w:pPr>
      <w:r>
        <w:t xml:space="preserve">  - **Gap:** The policy does not mention contractual obligations for service providers regarding the use of personal information.</w:t>
      </w:r>
    </w:p>
    <w:p>
      <w:pPr>
        <w:pStyle w:val="BodyText"/>
      </w:pPr>
      <w:r>
        <w:t xml:space="preserve">  - **Reference:** CCPA Section 1798.140(ag)(2)</w:t>
      </w:r>
    </w:p>
    <w:p>
      <w:pPr>
        <w:pStyle w:val="BodyText"/>
      </w:pPr>
      <w:r>
        <w:t xml:space="preserve">  - **Priority:** Medium</w:t>
      </w:r>
    </w:p>
    <w:p>
      <w:pPr>
        <w:pStyle w:val="ListBullet"/>
        <w:ind w:left="360"/>
      </w:pPr>
      <w:r>
        <w:t>**Training Requirements**</w:t>
      </w:r>
    </w:p>
    <w:p>
      <w:pPr>
        <w:pStyle w:val="BodyText"/>
      </w:pPr>
      <w:r>
        <w:t xml:space="preserve">  - **Gap:** There is no mention of employee training on privacy practices and consumer rights.</w:t>
      </w:r>
    </w:p>
    <w:p>
      <w:pPr>
        <w:pStyle w:val="BodyText"/>
      </w:pPr>
      <w:r>
        <w:t xml:space="preserve">  - **Reference:** CCPA Regulations Section 999.317(e)</w:t>
      </w:r>
    </w:p>
    <w:p>
      <w:pPr>
        <w:pStyle w:val="BodyText"/>
      </w:pPr>
      <w:r>
        <w:t xml:space="preserve">  - **Priority:** Medium</w:t>
      </w:r>
    </w:p>
    <w:p>
      <w:pPr>
        <w:pStyle w:val="ListBullet"/>
        <w:ind w:left="360"/>
      </w:pPr>
      <w:r>
        <w:t>**Annual Metrics Reporting**</w:t>
      </w:r>
    </w:p>
    <w:p>
      <w:pPr>
        <w:pStyle w:val="BodyText"/>
      </w:pPr>
      <w:r>
        <w:t xml:space="preserve">  - **Gap:** The policy does not include metrics on consumer requests as required.</w:t>
      </w:r>
    </w:p>
    <w:p>
      <w:pPr>
        <w:pStyle w:val="BodyText"/>
      </w:pPr>
      <w:r>
        <w:t xml:space="preserve">  - **Reference:** CCPA Regulations Section 999.317(g)</w:t>
      </w:r>
    </w:p>
    <w:p>
      <w:pPr>
        <w:pStyle w:val="BodyText"/>
      </w:pPr>
      <w:r>
        <w:t xml:space="preserve">  - **Priority:** Low</w:t>
      </w:r>
    </w:p>
    <w:p>
      <w:pPr>
        <w:pStyle w:val="BodyText"/>
      </w:pPr>
      <w:r>
        <w:t>**3. Recommendations for Each Gap**</w:t>
      </w:r>
    </w:p>
    <w:p>
      <w:pPr>
        <w:pStyle w:val="ListBullet"/>
        <w:ind w:left="360"/>
      </w:pPr>
      <w:r>
        <w:t>**Right to Know Disclosure:** Update the policy to include a detailed list of categories of personal information collected and the purposes for each category.</w:t>
      </w:r>
    </w:p>
    <w:p>
      <w:pPr>
        <w:pStyle w:val="ListBullet"/>
        <w:ind w:left="360"/>
      </w:pPr>
      <w:r>
        <w:t>**Right to Delete Disclosure:** Add a section outlining the consumer's right to request deletion of their personal information.</w:t>
      </w:r>
    </w:p>
    <w:p>
      <w:pPr>
        <w:pStyle w:val="ListBullet"/>
        <w:ind w:left="360"/>
      </w:pPr>
      <w:r>
        <w:t>**Right to Opt-Out of Sale/Sharing:** Include information on how consumers can opt-out of the sale or sharing of their personal information.</w:t>
      </w:r>
    </w:p>
    <w:p>
      <w:pPr>
        <w:pStyle w:val="ListBullet"/>
        <w:ind w:left="360"/>
      </w:pPr>
      <w:r>
        <w:t>**Right to Correct Inaccurate Information:** Add procedures for consumers to request corrections to their personal information.</w:t>
      </w:r>
    </w:p>
    <w:p>
      <w:pPr>
        <w:pStyle w:val="ListBullet"/>
        <w:ind w:left="360"/>
      </w:pPr>
      <w:r>
        <w:t>**Right to Limit Use of Sensitive Personal Information:** Specify how sensitive personal information is handled and provide opt-out options.</w:t>
      </w:r>
    </w:p>
    <w:p>
      <w:pPr>
        <w:pStyle w:val="ListBullet"/>
        <w:ind w:left="360"/>
      </w:pPr>
      <w:r>
        <w:t>**"Do Not Sell or Share My Personal Information" Link:** Implement and display a conspicuous link on the homepage for opting out of sales/sharing.</w:t>
      </w:r>
    </w:p>
    <w:p>
      <w:pPr>
        <w:pStyle w:val="ListBullet"/>
        <w:ind w:left="360"/>
      </w:pPr>
      <w:r>
        <w:t>**Data Retention Policies:** Clearly state the data retention periods for different categories of personal information.</w:t>
      </w:r>
    </w:p>
    <w:p>
      <w:pPr>
        <w:pStyle w:val="ListBullet"/>
        <w:ind w:left="360"/>
      </w:pPr>
      <w:r>
        <w:t>**Authorized Agent Procedures:** Provide detailed procedures for handling requests through authorized agents.</w:t>
      </w:r>
    </w:p>
    <w:p>
      <w:pPr>
        <w:pStyle w:val="ListBullet"/>
        <w:ind w:left="360"/>
      </w:pPr>
      <w:r>
        <w:t>**Non-Discrimination Policy:** Include a statement ensuring non-discrimination against consumers exercising their rights.</w:t>
      </w:r>
    </w:p>
    <w:p>
      <w:pPr>
        <w:pStyle w:val="ListBullet"/>
        <w:ind w:left="360"/>
      </w:pPr>
      <w:r>
        <w:t>**Methods for Submitting Requests:** Offer at least two methods for submitting requests, such as a toll-free number and an online form.</w:t>
      </w:r>
    </w:p>
    <w:p>
      <w:pPr>
        <w:pStyle w:val="ListBullet"/>
        <w:ind w:left="360"/>
      </w:pPr>
      <w:r>
        <w:t>**Privacy Policy Accessibility:** Ensure the privacy policy is accessible and linked conspicuously on the website.</w:t>
      </w:r>
    </w:p>
    <w:p>
      <w:pPr>
        <w:pStyle w:val="ListBullet"/>
        <w:ind w:left="360"/>
      </w:pPr>
      <w:r>
        <w:t>**Service Provider Contracts:** Ensure contracts with service providers include restrictions on the use of personal information.</w:t>
      </w:r>
    </w:p>
    <w:p>
      <w:pPr>
        <w:pStyle w:val="ListBullet"/>
        <w:ind w:left="360"/>
      </w:pPr>
      <w:r>
        <w:t>**Training Requirements:** Implement training programs for employees on CCPA compliance and consumer rights.</w:t>
      </w:r>
    </w:p>
    <w:p>
      <w:pPr>
        <w:pStyle w:val="ListBullet"/>
        <w:ind w:left="360"/>
      </w:pPr>
      <w:r>
        <w:t>**Annual Metrics Reporting:** Begin compiling and reporting metrics on consumer requests in the privacy policy.</w:t>
      </w:r>
    </w:p>
    <w:p>
      <w:pPr>
        <w:pStyle w:val="BodyText"/>
      </w:pPr>
      <w:r>
        <w:t>**4. Priority Level for Each Gap**</w:t>
      </w:r>
    </w:p>
    <w:p>
      <w:pPr>
        <w:pStyle w:val="ListBullet"/>
        <w:ind w:left="360"/>
      </w:pPr>
      <w:r>
        <w:t>**Critical:** Right to Know Disclosure, "Do Not Sell or Share My Personal Information" Link</w:t>
      </w:r>
    </w:p>
    <w:p>
      <w:pPr>
        <w:pStyle w:val="ListBullet"/>
        <w:ind w:left="360"/>
      </w:pPr>
      <w:r>
        <w:t>**High:** Right to Delete Disclosure, Right to Opt-Out of Sale/Sharing, Non-Discrimination Policy, Methods for Submitting Requests</w:t>
      </w:r>
    </w:p>
    <w:p>
      <w:pPr>
        <w:pStyle w:val="ListBullet"/>
        <w:ind w:left="360"/>
      </w:pPr>
      <w:r>
        <w:t>**Medium:** Right to Correct Inaccurate Information, Right to Limit Use of Sensitive Personal Information, Data Retention Policies, Authorized Agent Procedures, Privacy Policy Accessibility, Service Provider Contracts, Training Requirements</w:t>
      </w:r>
    </w:p>
    <w:p>
      <w:pPr>
        <w:pStyle w:val="ListBullet"/>
        <w:ind w:left="360"/>
      </w:pPr>
      <w:r>
        <w:t>**Low:** Annual Metrics Reporting</w:t>
      </w:r>
    </w:p>
    <w:p>
      <w:pPr>
        <w:pStyle w:val="BodyText"/>
      </w:pPr>
      <w:r>
        <w:t>Immediate action is recommended to address critical and high-priority gaps to ensure compliance with CCPA/CPRA.</w:t>
      </w:r>
    </w:p>
    <w:p>
      <w:pPr>
        <w:pStyle w:val="BodyText"/>
      </w:pPr>
      <w:r>
        <w:t>---</w:t>
      </w:r>
    </w:p>
    <w:p>
      <w:pPr>
        <w:pStyle w:val="Heading2"/>
      </w:pPr>
      <w:r>
        <w:t>Metadata</w:t>
      </w:r>
    </w:p>
    <w:p>
      <w:pPr>
        <w:pStyle w:val="ListBullet"/>
        <w:ind w:left="360"/>
      </w:pPr>
      <w:r>
        <w:t>**Model Used:** GPT-4.1</w:t>
      </w:r>
    </w:p>
    <w:p>
      <w:pPr>
        <w:pStyle w:val="ListBullet"/>
        <w:ind w:left="360"/>
      </w:pPr>
      <w:r>
        <w:t>**Tokens Consumed:** 5169</w:t>
      </w:r>
    </w:p>
    <w:p>
      <w:pPr>
        <w:pStyle w:val="ListBullet"/>
        <w:ind w:left="360"/>
      </w:pPr>
      <w:r>
        <w:t>**Framework:** CCPA/CPRA (California Consumer Privacy Act / California Privacy Rights Act)</w:t>
      </w:r>
    </w:p>
    <w:p>
      <w:pPr>
        <w:pStyle w:val="BodyText"/>
      </w:pPr>
      <w:r>
        <w:t>---</w:t>
      </w:r>
    </w:p>
    <w:p>
      <w:pPr>
        <w:pStyle w:val="BodyText"/>
      </w:pPr>
      <w:r>
        <w:t>*Report generated by Privacy Policy Gap Analysis System with RAG and MCP*</w:t>
      </w:r>
    </w:p>
    <w:p>
      <w:pPr>
        <w:pStyle w:val="BodyText"/>
      </w:pPr>
      <w:r>
        <w:t>*Powered by Cardinal Security Privacy Compliance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Calibri" w:hAnsi="Calibri"/>
      <w:b/>
      <w:bCs/>
      <w:color w:val="0070C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472C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33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