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2F80ED"/>
          <w:sz w:val="18"/>
          <w:szCs w:val="18"/>
        </w:rPr>
        <w:t xml:space="preserve">TECHNOLOGY, MEDIA &amp; TELECOMMUNICATIONS</w:t>
      </w:r>
    </w:p>
    <w:p>
      <w:pPr>
        <w:spacing w:after="300"/>
      </w:pPr>
      <w:r>
        <w:rPr>
          <w:rFonts w:ascii="Cambria" w:cs="Cambria" w:eastAsia="Cambria" w:hAnsi="Cambria"/>
          <w:b/>
          <w:bCs/>
          <w:color w:val="0A2342"/>
          <w:sz w:val="40"/>
          <w:szCs w:val="40"/>
        </w:rPr>
        <w:t xml:space="preserve">Microsoft's Acquisition of Activision Blizzard, Inc.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color w:val="44505E"/>
          <w:sz w:val="20"/>
          <w:szCs w:val="20"/>
        </w:rPr>
        <w:t xml:space="preserve">Executive Summary — Illustrative M&amp;A Deal Analysis</w:t>
      </w:r>
    </w:p>
    <w:p>
      <w:pPr>
        <w:spacing w:after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505E"/>
          <w:sz w:val="18"/>
          <w:szCs w:val="18"/>
        </w:rPr>
        <w:t xml:space="preserve">Prepared by  </w:t>
      </w:r>
      <w:r>
        <w:rPr>
          <w:rFonts w:ascii="Calibri" w:cs="Calibri" w:eastAsia="Calibri" w:hAnsi="Calibri"/>
          <w:b/>
          <w:bCs/>
          <w:i w:val="false"/>
          <w:iCs w:val="false"/>
          <w:color w:val="0A2342"/>
          <w:sz w:val="18"/>
          <w:szCs w:val="18"/>
        </w:rPr>
        <w:t xml:space="preserve">Prerna Dudhmande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Acquirer</w:t>
            </w:r>
          </w:p>
        </w:tc>
        <w:tc>
          <w:tcPr>
            <w:tcW w:type="dxa" w:w="688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Microsoft Corporation (NASDAQ: MSFT)</w:t>
            </w:r>
          </w:p>
        </w:tc>
      </w:tr>
      <w:tr>
        <w:tc>
          <w:tcPr>
            <w:tcW w:type="dxa" w:w="32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6880"/>
            <w:shd w:fill="F3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Activision Blizzard, Inc. (formerly NASDAQ: ATVI)</w:t>
            </w:r>
          </w:p>
        </w:tc>
      </w:tr>
      <w:tr>
        <w:tc>
          <w:tcPr>
            <w:tcW w:type="dxa" w:w="32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Consideration</w:t>
            </w:r>
          </w:p>
        </w:tc>
        <w:tc>
          <w:tcPr>
            <w:tcW w:type="dxa" w:w="688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$95.00 per share, all-cash</w:t>
            </w:r>
          </w:p>
        </w:tc>
      </w:tr>
      <w:tr>
        <w:tc>
          <w:tcPr>
            <w:tcW w:type="dxa" w:w="32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Equity Value / Final Consideration</w:t>
            </w:r>
          </w:p>
        </w:tc>
        <w:tc>
          <w:tcPr>
            <w:tcW w:type="dxa" w:w="6880"/>
            <w:shd w:fill="F3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$68.7bn announced / $75.4bn at closing</w:t>
            </w:r>
          </w:p>
        </w:tc>
      </w:tr>
      <w:tr>
        <w:tc>
          <w:tcPr>
            <w:tcW w:type="dxa" w:w="32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Announced / Closed</w:t>
            </w:r>
          </w:p>
        </w:tc>
        <w:tc>
          <w:tcPr>
            <w:tcW w:type="dxa" w:w="688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January 18, 2022  /  October 13, 2023</w:t>
            </w:r>
          </w:p>
        </w:tc>
      </w:tr>
      <w:tr>
        <w:tc>
          <w:tcPr>
            <w:tcW w:type="dxa" w:w="3200"/>
            <w:shd w:fill="0A2342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Advisors</w:t>
            </w:r>
          </w:p>
        </w:tc>
        <w:tc>
          <w:tcPr>
            <w:tcW w:type="dxa" w:w="6880"/>
            <w:shd w:fill="F3F5F7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Goldman Sachs (Microsoft)  •  Allen &amp; Company (Activision Blizzard)</w:t>
            </w:r>
          </w:p>
        </w:tc>
      </w:tr>
    </w:tbl>
    <w:p>
      <w:pPr>
        <w:pBdr>
          <w:bottom w:val="single" w:color="2F80ED" w:sz="10" w:space="5"/>
        </w:pBdr>
        <w:spacing w:after="140" w:before="260"/>
      </w:pPr>
      <w:r>
        <w:rPr>
          <w:rFonts w:ascii="Cambria" w:cs="Cambria" w:eastAsia="Cambria" w:hAnsi="Cambria"/>
          <w:b/>
          <w:bCs/>
          <w:color w:val="0A2342"/>
          <w:sz w:val="26"/>
          <w:szCs w:val="26"/>
        </w:rPr>
        <w:t xml:space="preserve">Transaction Overview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On January 18, 2022, Microsoft Corporation announced a definitive agreement to acquire Activision Blizzard, Inc. for $95.00 per share in an all-cash transaction, implying an equity value of $68.7 billion — the largest transaction in the video game industry's history and the largest acquisition in Microsoft's corporate history. The deal closed on October 13, 2023, following an unprecedented, roughly 21-month multi-jurisdictional antitrust contest across the United States, United Kingdom, and European Union.</w:t>
      </w:r>
    </w:p>
    <w:p>
      <w:pPr>
        <w:pBdr>
          <w:bottom w:val="single" w:color="2F80ED" w:sz="10" w:space="5"/>
        </w:pBdr>
        <w:spacing w:after="140" w:before="260"/>
      </w:pPr>
      <w:r>
        <w:rPr>
          <w:rFonts w:ascii="Cambria" w:cs="Cambria" w:eastAsia="Cambria" w:hAnsi="Cambria"/>
          <w:b/>
          <w:bCs/>
          <w:color w:val="0A2342"/>
          <w:sz w:val="26"/>
          <w:szCs w:val="26"/>
        </w:rPr>
        <w:t xml:space="preserve">Strategic Rationale</w:t>
      </w:r>
    </w:p>
    <w:p>
      <w:pPr>
        <w:pStyle w:val="ListParagraph"/>
        <w:numPr>
          <w:ilvl w:val="0"/>
          <w:numId w:val="1"/>
        </w:numPr>
        <w:spacing w:after="9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Subscription flywheel: owning (not licensing) Activision Blizzard's franchise catalogue accelerates Xbox Game Pass subscriber growth and retention.</w:t>
      </w:r>
    </w:p>
    <w:p>
      <w:pPr>
        <w:pStyle w:val="ListParagraph"/>
        <w:numPr>
          <w:ilvl w:val="0"/>
          <w:numId w:val="1"/>
        </w:numPr>
        <w:spacing w:after="9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Mobile gaming at scale: King's Candy Crush franchise provides immediate, scaled entry into the largest platform segment in the global games market.</w:t>
      </w:r>
    </w:p>
    <w:p>
      <w:pPr>
        <w:pStyle w:val="ListParagraph"/>
        <w:numPr>
          <w:ilvl w:val="0"/>
          <w:numId w:val="1"/>
        </w:numPr>
        <w:spacing w:after="9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Cloud gaming content moat: first-party ownership anchors Xbox Cloud Gaming's differentiation, leveraging Microsoft's Azure infrastructure.</w:t>
      </w:r>
    </w:p>
    <w:p>
      <w:pPr>
        <w:pStyle w:val="ListParagraph"/>
        <w:numPr>
          <w:ilvl w:val="0"/>
          <w:numId w:val="1"/>
        </w:numPr>
        <w:spacing w:after="9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Competitive repositioning: moves Microsoft to the third-largest gaming company globally by revenue, behind Tencent and Sony.</w:t>
      </w:r>
    </w:p>
    <w:p>
      <w:pPr>
        <w:pBdr>
          <w:bottom w:val="single" w:color="2F80ED" w:sz="10" w:space="5"/>
        </w:pBdr>
        <w:spacing w:after="140" w:before="260"/>
      </w:pPr>
      <w:r>
        <w:rPr>
          <w:rFonts w:ascii="Cambria" w:cs="Cambria" w:eastAsia="Cambria" w:hAnsi="Cambria"/>
          <w:b/>
          <w:bCs/>
          <w:color w:val="0A2342"/>
          <w:sz w:val="26"/>
          <w:szCs w:val="26"/>
        </w:rPr>
        <w:t xml:space="preserve">Valuation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Microsoft's offer implied an EV/EBITDA multiple of approximately 16.5x–18.2x — above the peer trading median but below the ~20x average paid in comparable precedent gaming transactions, consistent with disciplined rather than promotional pricing for a scarce, category-leading asset.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44505E"/>
          <w:sz w:val="16"/>
          <w:szCs w:val="16"/>
        </w:rPr>
        <w:t xml:space="preserve">Exhibit. Valuation football field — implied per-share value by methodology (illustrative).</w:t>
      </w:r>
    </w:p>
    <w:p>
      <w:pPr>
        <w:pBdr>
          <w:bottom w:val="single" w:color="2F80ED" w:sz="10" w:space="5"/>
        </w:pBdr>
        <w:spacing w:after="140" w:before="260"/>
      </w:pPr>
      <w:r>
        <w:rPr>
          <w:rFonts w:ascii="Cambria" w:cs="Cambria" w:eastAsia="Cambria" w:hAnsi="Cambria"/>
          <w:b/>
          <w:bCs/>
          <w:color w:val="0A2342"/>
          <w:sz w:val="26"/>
          <w:szCs w:val="26"/>
        </w:rPr>
        <w:t xml:space="preserve">Regulatory Path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transaction survived the most extensive regulatory contest in gaming M&amp;A history: the U.S. FTC sued to block the deal and lost in federal court; the UK CMA issued an outright Phase 2 prohibition, later reversed following a structural divestiture of cloud-streaming rights to Ubisoft; and the European Commission cleared the deal subject to a behavioral licensing remedy. Approximately 40 other jurisdictions cleared the transaction unconditionally.</w:t>
      </w:r>
    </w:p>
    <w:p>
      <w:pPr>
        <w:pBdr>
          <w:bottom w:val="single" w:color="2F80ED" w:sz="10" w:space="5"/>
        </w:pBdr>
        <w:spacing w:after="140" w:before="260"/>
      </w:pPr>
      <w:r>
        <w:rPr>
          <w:rFonts w:ascii="Cambria" w:cs="Cambria" w:eastAsia="Cambria" w:hAnsi="Cambria"/>
          <w:b/>
          <w:bCs/>
          <w:color w:val="0A2342"/>
          <w:sz w:val="26"/>
          <w:szCs w:val="26"/>
        </w:rPr>
        <w:t xml:space="preserve">Financial Impact</w:t>
      </w:r>
    </w:p>
    <w:p>
      <w:pPr>
        <w:spacing w:after="1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Microsoft's FY2024 Form 10-K shows a near-neutral GAAP EPS impact through the first full fiscal year post-close ($11.80 actual vs. $11.82 pro forma diluted EPS) — a pattern consistent with purchase-accounting drag (intangible amortization, deferred revenue haircut, integration costs) temporarily offsetting the underlying revenue growth of the acquired business.</w:t>
      </w:r>
    </w:p>
    <w:p>
      <w:pPr>
        <w:pBdr>
          <w:bottom w:val="single" w:color="2F80ED" w:sz="10" w:space="5"/>
        </w:pBdr>
        <w:spacing w:after="140" w:before="260"/>
      </w:pPr>
      <w:r>
        <w:rPr>
          <w:rFonts w:ascii="Cambria" w:cs="Cambria" w:eastAsia="Cambria" w:hAnsi="Cambria"/>
          <w:b/>
          <w:bCs/>
          <w:color w:val="0A2342"/>
          <w:sz w:val="26"/>
          <w:szCs w:val="26"/>
        </w:rPr>
        <w:t xml:space="preserve">Post-Acquisition Performance &amp; Conclusion</w:t>
      </w:r>
    </w:p>
    <w:p>
      <w:pPr>
        <w:spacing w:after="60" w:before="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Call of Duty: Black Ops 6 (October 2024) delivered the largest console launch in franchise history and record Xbox Game Pass subscriber additions, validating the multi-platform strategy. Set against this, the integration has generated substantial organizational disruption — multiple rounds of layoffs, two shuttered studios, and a Game Pass pricing backlash. On balance, the transaction is best characterized as provisionally value-creating on strategic grounds, with financial value creation still being confirmed on a multi-year view.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DE3" w:sz="4" w:space="4"/>
      </w:pBdr>
    </w:pPr>
    <w:r>
      <w:rPr>
        <w:rFonts w:ascii="Calibri" w:cs="Calibri" w:eastAsia="Calibri" w:hAnsi="Calibri"/>
        <w:b w:val="false"/>
        <w:bCs w:val="false"/>
        <w:i/>
        <w:iCs/>
        <w:color w:val="808080"/>
        <w:sz w:val="15"/>
        <w:szCs w:val="15"/>
      </w:rPr>
      <w:t xml:space="preserve">Project Anchorage — Executive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d9196994ac52719fd2f65018ed97021bad3496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 — Microsoft's Acquisition of Activision Blizzard</dc:title>
  <dc:creator>TMT Group</dc:creator>
  <cp:lastModifiedBy>Un-named</cp:lastModifiedBy>
  <cp:revision>1</cp:revision>
  <dcterms:created xsi:type="dcterms:W3CDTF">2026-08-01T18:08:28.218Z</dcterms:created>
  <dcterms:modified xsi:type="dcterms:W3CDTF">2026-08-01T18:08:28.218Z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