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Especificación Gestionar Hub.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14800" cy="111442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4"/>
        <w:gridCol w:w="637"/>
        <w:gridCol w:w="5953"/>
        <w:tblGridChange w:id="0">
          <w:tblGrid>
            <w:gridCol w:w="1904"/>
            <w:gridCol w:w="637"/>
            <w:gridCol w:w="5953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2"/>
                <w:szCs w:val="22"/>
              </w:rPr>
            </w:pPr>
            <w:commentRangeStart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CU-RT-01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Hub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Permite al administrador activar o desactivar él envió de datos del Hub a nuestro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2"/>
                <w:szCs w:val="22"/>
              </w:rPr>
            </w:pPr>
            <w:commentRangeStart w:id="1"/>
            <w:r w:rsidDel="00000000" w:rsidR="00000000" w:rsidRPr="00000000">
              <w:rPr>
                <w:rtl w:val="0"/>
              </w:rPr>
              <w:t xml:space="preserve">- El hub ya debe estar dado de alta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2"/>
                <w:szCs w:val="22"/>
              </w:rPr>
            </w:pPr>
            <w:commentRangeStart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Se ha desactivado el envió de información del hub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 de eventos</w:t>
            </w:r>
          </w:p>
        </w:tc>
      </w:tr>
      <w:tr>
        <w:trPr>
          <w:trHeight w:val="1860" w:hRule="atLeast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la opción administrar Hub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en pantalla una lista de los Hubs dados de alta en nuestro sistema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el Hub que desea </w:t>
            </w:r>
            <w:commentRangeStart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activar o desactivar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cuadro de confirmación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confirma la acción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guarda y genera los cambios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estado actual del Hub seleccionado.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actor no confirma la acción 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el paso 5 del flujo normal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no confirma la acción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Otros requerimientos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86250" cy="3810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86250" cy="3810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86250" cy="3810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86250" cy="3810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391150" cy="11049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secuencia.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705225" cy="37433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AN NOREÑA MEGLAN" w:id="0" w:date="2018-04-20T21:15:4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Definamos un mismo estandar para nombrar</w:t>
      </w:r>
    </w:p>
  </w:comment>
  <w:comment w:author="SEBASTIAN NOREÑA MEGLAN" w:id="1" w:date="2018-04-20T21:22:01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que?</w:t>
      </w:r>
    </w:p>
  </w:comment>
  <w:comment w:author="SEBASTIAN NOREÑA MEGLAN" w:id="2" w:date="2018-04-20T21:23:4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¿No se supone que es para activar o desactivar?</w:t>
      </w:r>
    </w:p>
  </w:comment>
  <w:comment w:author="SEBASTIAN NOREÑA MEGLAN" w:id="3" w:date="2018-04-20T21:22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coincide con la poscondicion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jp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