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18.0" w:type="dxa"/>
        <w:jc w:val="left"/>
        <w:tblInd w:w="0.0" w:type="dxa"/>
        <w:tblLayout w:type="fixed"/>
        <w:tblLook w:val="0400"/>
      </w:tblPr>
      <w:tblGrid>
        <w:gridCol w:w="2352"/>
        <w:gridCol w:w="6466"/>
        <w:tblGridChange w:id="0">
          <w:tblGrid>
            <w:gridCol w:w="2352"/>
            <w:gridCol w:w="6466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CU-APC-06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Gestionar</w:t>
            </w:r>
            <w:r w:rsidDel="00000000" w:rsidR="00000000" w:rsidRPr="00000000">
              <w:rPr>
                <w:rtl w:val="0"/>
              </w:rPr>
              <w:t xml:space="preserve"> Unidad Residencial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administrador del sistema podrá desactivar o activar, el acceso generado de la unidad residencial.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Administrador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Existen unidades residencial se encuentra registrada en el sistema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 activa/desactiva una unidad residencial.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actor selecciona la opción administrar “unidad residencial”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sistema muestra en pantalla una lista de unidades residenciales dados de alta en el sistema.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actor selecciona la Unidad residencial que desea activar o desactivar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sistema muestra un cuadro de confirmación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actor confirma la acción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sistema guarda y genera los cambios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sistema muestra el estado actual de la unidad residencial seleccionado.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Flujos alternos y Excepciones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El actor rechaza la acción..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En el paso 5 del flujo normal: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actor rechaza la acción.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actor vuelve al paso 1.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Otros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