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3995361328125" w:right="0"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ElevenLabs Voice Platform </w:t>
      </w: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 Speculative GTM Campaign: From Gatekeeper to Growth Partner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0.777587890625" w:line="240" w:lineRule="auto"/>
        <w:ind w:left="0" w:right="0" w:firstLine="0"/>
        <w:jc w:val="center"/>
        <w:rPr>
          <w:rFonts w:ascii="Arial" w:cs="Arial" w:eastAsia="Arial" w:hAnsi="Arial"/>
          <w:b w:val="1"/>
          <w:bCs w:val="1"/>
          <w:i w:val="0"/>
          <w:iCs w:val="0"/>
          <w:smallCaps w:val="0"/>
          <w:strike w:val="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sz w:val="36"/>
          <w:szCs w:val="36"/>
          <w:u w:val="none"/>
          <w:shd w:fill="auto" w:val="clear"/>
          <w:vertAlign w:val="baseline"/>
          <w:rtl w:val="0"/>
        </w:rPr>
        <w:t xml:space="preserve">GTM Campaign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333984375" w:line="313.45630645751953" w:lineRule="auto"/>
        <w:ind w:left="308.7928771972656" w:right="223.863525390625" w:firstLine="0"/>
        <w:jc w:val="center"/>
        <w:rPr>
          <w:rFonts w:ascii="Arial" w:cs="Arial" w:eastAsia="Arial" w:hAnsi="Arial"/>
          <w:b w:val="0"/>
          <w:bCs w:val="0"/>
          <w:i w:val="1"/>
          <w:iCs w:val="1"/>
          <w:smallCaps w:val="0"/>
          <w:strike w:val="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sz w:val="52"/>
          <w:szCs w:val="52"/>
          <w:u w:val="none"/>
          <w:shd w:fill="auto" w:val="clear"/>
          <w:vertAlign w:val="baseline"/>
          <w:rtl w:val="0"/>
        </w:rPr>
        <w:t xml:space="preserve">From Gatekeeper to Growth Partner </w:t>
      </w:r>
      <w:r w:rsidDel="00000000" w:rsidR="00000000" w:rsidRPr="00000000">
        <w:rPr>
          <w:rFonts w:ascii="Arial" w:cs="Arial" w:eastAsia="Arial" w:hAnsi="Arial"/>
          <w:b w:val="0"/>
          <w:bCs w:val="0"/>
          <w:i w:val="1"/>
          <w:iCs w:val="1"/>
          <w:smallCaps w:val="0"/>
          <w:strike w:val="0"/>
          <w:sz w:val="24"/>
          <w:szCs w:val="24"/>
          <w:u w:val="none"/>
          <w:shd w:fill="auto" w:val="clear"/>
          <w:vertAlign w:val="baseline"/>
          <w:rtl w:val="0"/>
        </w:rPr>
        <w:t xml:space="preserve">ElevenLabs Voice Platform · Talent Experience Layer</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3995361328125" w:right="0"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ElevenLabs Voice Platform </w:t>
      </w: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 Speculative GTM Campaign: From Gatekeeper to Growth Partner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25927734375" w:line="240" w:lineRule="auto"/>
        <w:ind w:left="35.279998779296875" w:right="0" w:firstLine="0"/>
        <w:jc w:val="left"/>
        <w:rPr>
          <w:rFonts w:ascii="Arial" w:cs="Arial" w:eastAsia="Arial" w:hAnsi="Arial"/>
          <w:b w:val="1"/>
          <w:bCs w:val="1"/>
          <w:i w:val="0"/>
          <w:iCs w:val="0"/>
          <w:smallCaps w:val="0"/>
          <w:strike w:val="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sz w:val="32"/>
          <w:szCs w:val="32"/>
          <w:u w:val="none"/>
          <w:shd w:fill="auto" w:val="clear"/>
          <w:vertAlign w:val="baseline"/>
          <w:rtl w:val="0"/>
        </w:rPr>
        <w:t xml:space="preserve">1. Target Audience &amp; Segmentation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24951171875" w:line="240" w:lineRule="auto"/>
        <w:ind w:left="28.979949951171875" w:right="0" w:firstLine="0"/>
        <w:jc w:val="left"/>
        <w:rPr>
          <w:rFonts w:ascii="Arial" w:cs="Arial" w:eastAsia="Arial" w:hAnsi="Arial"/>
          <w:b w:val="1"/>
          <w:bCs w:val="1"/>
          <w:i w:val="0"/>
          <w:iCs w:val="0"/>
          <w:smallCaps w:val="0"/>
          <w:strike w:val="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sz w:val="26"/>
          <w:szCs w:val="26"/>
          <w:u w:val="none"/>
          <w:shd w:fill="auto" w:val="clear"/>
          <w:vertAlign w:val="baseline"/>
          <w:rtl w:val="0"/>
        </w:rPr>
        <w:t xml:space="preserve">Primary Segments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03466796875" w:line="240" w:lineRule="auto"/>
        <w:ind w:left="26.060028076171875" w:right="0" w:firstLine="0"/>
        <w:jc w:val="left"/>
        <w:rPr>
          <w:rFonts w:ascii="Arial" w:cs="Arial" w:eastAsia="Arial" w:hAnsi="Arial"/>
          <w:b w:val="1"/>
          <w:bCs w:val="1"/>
          <w:i w:val="0"/>
          <w:iCs w:val="0"/>
          <w:smallCaps w:val="0"/>
          <w:strike w:val="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High-Volume Enterprises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79248046875" w:line="229.88847255706787" w:lineRule="auto"/>
        <w:ind w:left="17.20001220703125" w:right="169.268798828125" w:firstLine="2.400054931640625"/>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Organizations receiving more than 10,000 applications per month, typically operating with 50+ recruiters and structured Talent Acquisition (TA) Operations teams. These organizations experience the highest 'candidate ghosting' risk. According to SHRM 2023-2024 data, 56% of HR teams are understaffed, leading to a 'bandwidth crisis' where recruiters lose over 57% of their day to manual administrative tasks rather than high-value interviewing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76708984375" w:line="240" w:lineRule="auto"/>
        <w:ind w:left="26.060028076171875" w:right="0" w:firstLine="0"/>
        <w:jc w:val="left"/>
        <w:rPr>
          <w:rFonts w:ascii="Arial" w:cs="Arial" w:eastAsia="Arial" w:hAnsi="Arial"/>
          <w:b w:val="1"/>
          <w:bCs w:val="1"/>
          <w:i w:val="0"/>
          <w:iCs w:val="0"/>
          <w:smallCaps w:val="0"/>
          <w:strike w:val="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Regulated Industries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79248046875" w:line="229.88847255706787" w:lineRule="auto"/>
        <w:ind w:left="23.2000732421875" w:right="101.15234375" w:firstLine="2.79998779296875"/>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Healthcare, financial services, and large-scale retail — industries where candidate complaints can trigger EEOC audits, regulatory review, or reputational escalation. These buyers have the strongest compliance motivation and the highest willingness to pay for auditable communication infrastructure.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76708984375" w:line="240" w:lineRule="auto"/>
        <w:ind w:left="26.060028076171875" w:right="0" w:firstLine="0"/>
        <w:jc w:val="left"/>
        <w:rPr>
          <w:rFonts w:ascii="Arial" w:cs="Arial" w:eastAsia="Arial" w:hAnsi="Arial"/>
          <w:b w:val="1"/>
          <w:bCs w:val="1"/>
          <w:i w:val="0"/>
          <w:iCs w:val="0"/>
          <w:smallCaps w:val="0"/>
          <w:strike w:val="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Brand-Sensitive Technology Companies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786376953125" w:line="229.88847255706787" w:lineRule="auto"/>
        <w:ind w:left="17.79998779296875" w:right="1052.13134765625" w:firstLine="6.800079345703125"/>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Businesses where employer brand directly correlates with offer acceptance rate and talent competitiveness. In these organizations, a single viral negative candidate experience post can measurably shift Glassdoor ratings and affect pipeline quality.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2664794921875" w:line="240" w:lineRule="auto"/>
        <w:ind w:left="28.979949951171875" w:right="0" w:firstLine="0"/>
        <w:jc w:val="left"/>
        <w:rPr>
          <w:rFonts w:ascii="Arial" w:cs="Arial" w:eastAsia="Arial" w:hAnsi="Arial"/>
          <w:b w:val="1"/>
          <w:bCs w:val="1"/>
          <w:i w:val="0"/>
          <w:iCs w:val="0"/>
          <w:smallCaps w:val="0"/>
          <w:strike w:val="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sz w:val="26"/>
          <w:szCs w:val="26"/>
          <w:u w:val="none"/>
          <w:shd w:fill="auto" w:val="clear"/>
          <w:vertAlign w:val="baseline"/>
          <w:rtl w:val="0"/>
        </w:rPr>
        <w:t xml:space="preserve">Buyer Map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2200"/>
        <w:gridCol w:w="4960"/>
        <w:tblGridChange w:id="0">
          <w:tblGrid>
            <w:gridCol w:w="2200"/>
            <w:gridCol w:w="2200"/>
            <w:gridCol w:w="4960"/>
          </w:tblGrid>
        </w:tblGridChange>
      </w:tblGrid>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60006713867188" w:right="0" w:firstLine="0"/>
              <w:jc w:val="left"/>
              <w:rPr>
                <w:rFonts w:ascii="Arial" w:cs="Arial" w:eastAsia="Arial" w:hAnsi="Arial"/>
                <w:b w:val="1"/>
                <w:bCs w:val="1"/>
                <w:i w:val="0"/>
                <w:iCs w:val="0"/>
                <w:smallCaps w:val="0"/>
                <w:strike w:val="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sz w:val="20"/>
                <w:szCs w:val="20"/>
                <w:u w:val="none"/>
                <w:shd w:fill="auto" w:val="clear"/>
                <w:vertAlign w:val="baseline"/>
                <w:rtl w:val="0"/>
              </w:rPr>
              <w:t xml:space="preserve">Role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0013427734375" w:right="0" w:firstLine="0"/>
              <w:jc w:val="left"/>
              <w:rPr>
                <w:rFonts w:ascii="Arial" w:cs="Arial" w:eastAsia="Arial" w:hAnsi="Arial"/>
                <w:b w:val="1"/>
                <w:bCs w:val="1"/>
                <w:i w:val="0"/>
                <w:iCs w:val="0"/>
                <w:smallCaps w:val="0"/>
                <w:strike w:val="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sz w:val="20"/>
                <w:szCs w:val="20"/>
                <w:u w:val="none"/>
                <w:shd w:fill="auto" w:val="clear"/>
                <w:vertAlign w:val="baseline"/>
                <w:rtl w:val="0"/>
              </w:rPr>
              <w:t xml:space="preserve">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6002197265625" w:right="0" w:firstLine="0"/>
              <w:jc w:val="left"/>
              <w:rPr>
                <w:rFonts w:ascii="Arial" w:cs="Arial" w:eastAsia="Arial" w:hAnsi="Arial"/>
                <w:b w:val="1"/>
                <w:bCs w:val="1"/>
                <w:i w:val="0"/>
                <w:iCs w:val="0"/>
                <w:smallCaps w:val="0"/>
                <w:strike w:val="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sz w:val="20"/>
                <w:szCs w:val="20"/>
                <w:u w:val="none"/>
                <w:shd w:fill="auto" w:val="clear"/>
                <w:vertAlign w:val="baseline"/>
                <w:rtl w:val="0"/>
              </w:rPr>
              <w:t xml:space="preserve">Primary Motivation</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219970703125" w:right="0"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Economic Buyer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99993896484375" w:right="0"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Chief People Officer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60.7598876953125" w:right="459.844970703125" w:firstLine="8.4600830078125"/>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Reduce brand risk, demonstrate compliance posture, improve recruiter efficiency at scale without headcount growth.</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99993896484375" w:right="0"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Champion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4000244140625" w:right="0"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Head of Talent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 w:right="0"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Acquisition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61.1199951171875" w:right="698.7420654296875" w:firstLine="8.0999755859375"/>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Reduce false negatives, improve funnel velocity, demonstrate candidate experience ROI to the CPO.</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73995971679688" w:right="0"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Influencer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219970703125" w:right="0"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Recruiting Ops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32000732421875" w:right="0"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66.8798828125" w:right="967.26806640625" w:hanging="11.8798828125"/>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ATS compatibility, workflow automation, minimal integration lift, operational consistency.</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13995361328125" w:right="0"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Legal / Compliance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99993896484375" w:right="0"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Chief Legal / HR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99993896484375" w:right="0"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Compliance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61.4801025390625" w:right="159.852294921875" w:hanging="6.4801025390625"/>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Auditability of all automated messages, EEOC and GDPR alignment, data retention controls.</w:t>
            </w:r>
          </w:p>
        </w:tc>
      </w:tr>
    </w:tbl>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220001220703125" w:right="0" w:firstLine="0"/>
        <w:jc w:val="left"/>
        <w:rPr>
          <w:rFonts w:ascii="Arial" w:cs="Arial" w:eastAsia="Arial" w:hAnsi="Arial"/>
          <w:b w:val="1"/>
          <w:bCs w:val="1"/>
          <w:i w:val="0"/>
          <w:iCs w:val="0"/>
          <w:smallCaps w:val="0"/>
          <w:strike w:val="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sz w:val="26"/>
          <w:szCs w:val="26"/>
          <w:u w:val="none"/>
          <w:shd w:fill="auto" w:val="clear"/>
          <w:vertAlign w:val="baseline"/>
          <w:rtl w:val="0"/>
        </w:rPr>
        <w:t xml:space="preserve">Core Pain Points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7520751953125" w:line="229.88847255706787" w:lineRule="auto"/>
        <w:ind w:left="737.7999877929688" w:right="70.8251953125" w:hanging="357.20001220703125"/>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High candidate volume leads to inconsistent communication, perceived 'ghosting,' and Glassdoor complaints.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067138671875" w:line="229.88847255706787" w:lineRule="auto"/>
        <w:ind w:left="736.6000366210938" w:right="721.5301513671875" w:hanging="356.00006103515625"/>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Manual recruiter follow-up consumes significant bandwidth that should be directed toward offer-stage candidates.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067138671875" w:line="229.88847255706787" w:lineRule="auto"/>
        <w:ind w:left="743.2000732421875" w:right="254.525146484375" w:hanging="362.60009765625"/>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Generic rejection emails create no lasting goodwill — candidates receive no value and develop no brand affinity.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067138671875" w:line="229.88847255706787" w:lineRule="auto"/>
        <w:ind w:left="731.7999267578125" w:right="508.73779296875" w:hanging="351.199951171875"/>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'Silver medalist' candidates who narrowly missed the bar are discarded rather than nurtured, forcing expensive re-sourcing.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067138671875" w:line="269.8724842071533" w:lineRule="auto"/>
        <w:ind w:left="380.5999755859375" w:right="506.883544921875" w:firstLine="0"/>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Unstructured or subjective rejection feedback creates audit exposure in regulated industries. </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Inconsistent candidate experience across recruiters undermines employer brand equity.</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3995361328125" w:right="0"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ElevenLabs Voice Platform </w:t>
      </w: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 Speculative GTM Campaign: From Gatekeeper to Growth Partner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260498046875" w:line="240" w:lineRule="auto"/>
        <w:ind w:left="18.000030517578125" w:right="0" w:firstLine="0"/>
        <w:jc w:val="left"/>
        <w:rPr>
          <w:rFonts w:ascii="Arial" w:cs="Arial" w:eastAsia="Arial" w:hAnsi="Arial"/>
          <w:b w:val="1"/>
          <w:bCs w:val="1"/>
          <w:i w:val="0"/>
          <w:iCs w:val="0"/>
          <w:smallCaps w:val="0"/>
          <w:strike w:val="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sz w:val="32"/>
          <w:szCs w:val="32"/>
          <w:u w:val="none"/>
          <w:shd w:fill="auto" w:val="clear"/>
          <w:vertAlign w:val="baseline"/>
          <w:rtl w:val="0"/>
        </w:rPr>
        <w:t xml:space="preserve">2. Value Proposition &amp; Messaging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24951171875" w:line="240" w:lineRule="auto"/>
        <w:ind w:left="28.979949951171875" w:right="0" w:firstLine="0"/>
        <w:jc w:val="left"/>
        <w:rPr>
          <w:rFonts w:ascii="Arial" w:cs="Arial" w:eastAsia="Arial" w:hAnsi="Arial"/>
          <w:b w:val="1"/>
          <w:bCs w:val="1"/>
          <w:i w:val="0"/>
          <w:iCs w:val="0"/>
          <w:smallCaps w:val="0"/>
          <w:strike w:val="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sz w:val="26"/>
          <w:szCs w:val="26"/>
          <w:u w:val="none"/>
          <w:shd w:fill="auto" w:val="clear"/>
          <w:vertAlign w:val="baseline"/>
          <w:rtl w:val="0"/>
        </w:rPr>
        <w:t xml:space="preserve">Positioning Statement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5478515625" w:line="229.88847255706787" w:lineRule="auto"/>
        <w:ind w:left="10" w:right="74.43603515625" w:firstLine="9.4500732421875"/>
        <w:jc w:val="left"/>
        <w:rPr>
          <w:rFonts w:ascii="Arial" w:cs="Arial" w:eastAsia="Arial" w:hAnsi="Arial"/>
          <w:b w:val="0"/>
          <w:bCs w:val="0"/>
          <w:i w:val="1"/>
          <w:iCs w:val="1"/>
          <w:smallCaps w:val="0"/>
          <w:strike w:val="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sz w:val="21"/>
          <w:szCs w:val="21"/>
          <w:u w:val="none"/>
          <w:shd w:fill="auto" w:val="clear"/>
          <w:vertAlign w:val="baseline"/>
          <w:rtl w:val="0"/>
        </w:rPr>
        <w:t xml:space="preserve">ElevenLabs' Voice Platform adds a compliant, AI-generated audio coaching layer to the hiring funnel — delivering structured, personalized candidate guidance at scale, protecting employer brand, and converting rejected applicants into a nurtured talent pipeline. The core technical differentiator is dynamic voice generation: every interaction is context-aware and role-agnostic, not a pre-recorded script.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137451171875" w:line="240" w:lineRule="auto"/>
        <w:ind w:left="10.780029296875" w:right="0" w:firstLine="0"/>
        <w:jc w:val="left"/>
        <w:rPr>
          <w:rFonts w:ascii="Arial" w:cs="Arial" w:eastAsia="Arial" w:hAnsi="Arial"/>
          <w:b w:val="1"/>
          <w:bCs w:val="1"/>
          <w:i w:val="0"/>
          <w:iCs w:val="0"/>
          <w:smallCaps w:val="0"/>
          <w:strike w:val="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sz w:val="26"/>
          <w:szCs w:val="26"/>
          <w:u w:val="none"/>
          <w:shd w:fill="auto" w:val="clear"/>
          <w:vertAlign w:val="baseline"/>
          <w:rtl w:val="0"/>
        </w:rPr>
        <w:t xml:space="preserve">Why Voice AI, Specifically?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7490234375" w:line="229.88847255706787" w:lineRule="auto"/>
        <w:ind w:left="14.600067138671875" w:right="67.271728515625" w:hanging="2.199859619140625"/>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Text-based rejection communications are table stakes and widely ignored. Voice delivers a fundamentally different psychological experience — candidates who hear a warm, articulate explanation of general skill development areas are measurably less likely to post negative reviews than those who receive a two-line email. This is ElevenLabs' core product advantage: the ability to deliver human-quality audio at zero marginal cost per interaction.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2664794921875" w:line="240" w:lineRule="auto"/>
        <w:ind w:left="28.979949951171875" w:right="0" w:firstLine="0"/>
        <w:jc w:val="left"/>
        <w:rPr>
          <w:rFonts w:ascii="Arial" w:cs="Arial" w:eastAsia="Arial" w:hAnsi="Arial"/>
          <w:b w:val="1"/>
          <w:bCs w:val="1"/>
          <w:i w:val="0"/>
          <w:iCs w:val="0"/>
          <w:smallCaps w:val="0"/>
          <w:strike w:val="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sz w:val="26"/>
          <w:szCs w:val="26"/>
          <w:u w:val="none"/>
          <w:shd w:fill="auto" w:val="clear"/>
          <w:vertAlign w:val="baseline"/>
          <w:rtl w:val="0"/>
        </w:rPr>
        <w:t xml:space="preserve">Enterprise-Safe Messaging Pillars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0352783203125" w:line="240" w:lineRule="auto"/>
        <w:ind w:left="26.060028076171875" w:right="0" w:firstLine="0"/>
        <w:jc w:val="left"/>
        <w:rPr>
          <w:rFonts w:ascii="Arial" w:cs="Arial" w:eastAsia="Arial" w:hAnsi="Arial"/>
          <w:b w:val="1"/>
          <w:bCs w:val="1"/>
          <w:i w:val="0"/>
          <w:iCs w:val="0"/>
          <w:smallCaps w:val="0"/>
          <w:strike w:val="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Brand Protection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786376953125" w:line="229.88847255706787" w:lineRule="auto"/>
        <w:ind w:left="16.60003662109375" w:right="194.0869140625" w:firstLine="3.39996337890625"/>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Consistent, structured communication across every candidate touchpoint — regardless of recruiter, role, or volume — reduces the variance that produces outlier negative experiences.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7664794921875" w:line="240" w:lineRule="auto"/>
        <w:ind w:left="19.459991455078125" w:right="0" w:firstLine="0"/>
        <w:jc w:val="left"/>
        <w:rPr>
          <w:rFonts w:ascii="Arial" w:cs="Arial" w:eastAsia="Arial" w:hAnsi="Arial"/>
          <w:b w:val="1"/>
          <w:bCs w:val="1"/>
          <w:i w:val="0"/>
          <w:iCs w:val="0"/>
          <w:smallCaps w:val="0"/>
          <w:strike w:val="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Operational Efficiency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786376953125" w:line="229.88847255706787" w:lineRule="auto"/>
        <w:ind w:left="13.600006103515625" w:right="70.38330078125" w:hanging="3.600006103515625"/>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Automated candidate interactions free recruiters from repetitive low-value communication tasks. Every saved interaction is redirected to offer-stage and senior-pipeline candidates where human judgment adds the most value.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7664794921875" w:line="240" w:lineRule="auto"/>
        <w:ind w:left="26.060028076171875" w:right="0" w:firstLine="0"/>
        <w:jc w:val="left"/>
        <w:rPr>
          <w:rFonts w:ascii="Arial" w:cs="Arial" w:eastAsia="Arial" w:hAnsi="Arial"/>
          <w:b w:val="1"/>
          <w:bCs w:val="1"/>
          <w:i w:val="0"/>
          <w:iCs w:val="0"/>
          <w:smallCaps w:val="0"/>
          <w:strike w:val="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Pipeline Quality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786376953125" w:line="229.88847255706787" w:lineRule="auto"/>
        <w:ind w:left="17.20001220703125" w:right="144.976806640625" w:firstLine="8.600006103515625"/>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Rejected candidates who receive value — a genuine skill development insight, delivered with respect — are significantly more likely to re-engage, refer peers, and accept future offers. The talent pool compounds over time.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7664794921875" w:line="240" w:lineRule="auto"/>
        <w:ind w:left="26.060028076171875" w:right="0" w:firstLine="0"/>
        <w:jc w:val="left"/>
        <w:rPr>
          <w:rFonts w:ascii="Arial" w:cs="Arial" w:eastAsia="Arial" w:hAnsi="Arial"/>
          <w:b w:val="1"/>
          <w:bCs w:val="1"/>
          <w:i w:val="0"/>
          <w:iCs w:val="0"/>
          <w:smallCaps w:val="0"/>
          <w:strike w:val="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Risk Reduction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786376953125" w:line="229.88847255706787" w:lineRule="auto"/>
        <w:ind w:left="16.199951171875" w:right="160.10009765625" w:firstLine="2.79998779296875"/>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Standardized, role-agnostic, and fully auditable guidance replaces subjective recruiter commentary. This is not a legal opinion — buyers must engage their own counsel — but the architecture is designed to support EEOC and GDPR compliance review.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2664794921875" w:line="240" w:lineRule="auto"/>
        <w:ind w:left="19.36004638671875" w:right="0" w:firstLine="0"/>
        <w:jc w:val="left"/>
        <w:rPr>
          <w:rFonts w:ascii="Arial" w:cs="Arial" w:eastAsia="Arial" w:hAnsi="Arial"/>
          <w:b w:val="1"/>
          <w:bCs w:val="1"/>
          <w:i w:val="0"/>
          <w:iCs w:val="0"/>
          <w:smallCaps w:val="0"/>
          <w:strike w:val="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sz w:val="26"/>
          <w:szCs w:val="26"/>
          <w:u w:val="none"/>
          <w:shd w:fill="auto" w:val="clear"/>
          <w:vertAlign w:val="baseline"/>
          <w:rtl w:val="0"/>
        </w:rPr>
        <w:t xml:space="preserve">Status Quo vs. ElevenLabs Voice Platform</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3180"/>
        <w:gridCol w:w="4080"/>
        <w:tblGridChange w:id="0">
          <w:tblGrid>
            <w:gridCol w:w="2100"/>
            <w:gridCol w:w="3180"/>
            <w:gridCol w:w="408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left"/>
              <w:rPr>
                <w:rFonts w:ascii="Arial" w:cs="Arial" w:eastAsia="Arial" w:hAnsi="Arial"/>
                <w:b w:val="1"/>
                <w:bCs w:val="1"/>
                <w:i w:val="0"/>
                <w:iCs w:val="0"/>
                <w:smallCaps w:val="0"/>
                <w:strike w:val="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sz w:val="20"/>
                <w:szCs w:val="20"/>
                <w:u w:val="none"/>
                <w:shd w:fill="auto" w:val="clear"/>
                <w:vertAlign w:val="baseline"/>
                <w:rtl w:val="0"/>
              </w:rPr>
              <w:t xml:space="preserve">Area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20001220703125" w:right="0" w:firstLine="0"/>
              <w:jc w:val="left"/>
              <w:rPr>
                <w:rFonts w:ascii="Arial" w:cs="Arial" w:eastAsia="Arial" w:hAnsi="Arial"/>
                <w:b w:val="1"/>
                <w:bCs w:val="1"/>
                <w:i w:val="0"/>
                <w:iCs w:val="0"/>
                <w:smallCaps w:val="0"/>
                <w:strike w:val="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sz w:val="20"/>
                <w:szCs w:val="20"/>
                <w:u w:val="none"/>
                <w:shd w:fill="auto" w:val="clear"/>
                <w:vertAlign w:val="baseline"/>
                <w:rtl w:val="0"/>
              </w:rPr>
              <w:t xml:space="preserve">Status Quo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6002197265625" w:right="0" w:firstLine="0"/>
              <w:jc w:val="left"/>
              <w:rPr>
                <w:rFonts w:ascii="Arial" w:cs="Arial" w:eastAsia="Arial" w:hAnsi="Arial"/>
                <w:b w:val="1"/>
                <w:bCs w:val="1"/>
                <w:i w:val="0"/>
                <w:iCs w:val="0"/>
                <w:smallCaps w:val="0"/>
                <w:strike w:val="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sz w:val="20"/>
                <w:szCs w:val="20"/>
                <w:u w:val="none"/>
                <w:shd w:fill="auto" w:val="clear"/>
                <w:vertAlign w:val="baseline"/>
                <w:rtl w:val="0"/>
              </w:rPr>
              <w:t xml:space="preserve">ElevenLabs Voice Platform</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99993896484375" w:right="0"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Candidate Feedback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Generic rejection email; no rationale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60.5401611328125" w:right="164.757080078125" w:firstLine="7.559814453125"/>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Structured, role-agnostic skill guidance aligned with EEOC standards</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86001586914062" w:right="0"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Post-Rejection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219970703125" w:right="0"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Experience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56.70013427734375" w:right="143.8671875" w:hanging="3.60015869140625"/>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sz w:val="18"/>
                <w:szCs w:val="18"/>
                <w:u w:val="none"/>
                <w:shd w:fill="auto" w:val="clear"/>
                <w:vertAlign w:val="baseline"/>
                <w:rtl w:val="0"/>
              </w:rPr>
              <w:t xml:space="preserve">Silence → Glassdoor complaints → brand damage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65.579833984375" w:right="344.8779296875" w:hanging="5.579833984375"/>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sz w:val="18"/>
                <w:szCs w:val="18"/>
                <w:u w:val="none"/>
                <w:shd w:fill="auto" w:val="clear"/>
                <w:vertAlign w:val="baseline"/>
                <w:rtl w:val="0"/>
              </w:rPr>
              <w:t xml:space="preserve">Automated coaching interaction → improved sentiment → reduced complaints</w:t>
            </w:r>
          </w:p>
        </w:tc>
      </w:tr>
    </w:tbl>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3995361328125" w:right="0"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ElevenLabs Voice Platform </w:t>
      </w: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 Speculative GTM Campaign: From Gatekeeper to Growth Partner</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3180"/>
        <w:gridCol w:w="4080"/>
        <w:tblGridChange w:id="0">
          <w:tblGrid>
            <w:gridCol w:w="2100"/>
            <w:gridCol w:w="3180"/>
            <w:gridCol w:w="4080"/>
          </w:tblGrid>
        </w:tblGridChange>
      </w:tblGrid>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219970703125" w:right="0"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Employer Brand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73995971679688" w:right="0"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68011474609375" w:right="0"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Negative reviews erode offer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4801025390625" w:right="0"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acceptance rates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66.4801025390625" w:right="378.472900390625" w:firstLine="2.5201416015625"/>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Consistent, respectful communication builds advocacy even among rejected candidates</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Talent Pool Utilization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99993896484375" w:right="0"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Candidates discarded after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619873046875" w:right="0"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first-round rejection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71.8798828125" w:right="632.9779052734375" w:hanging="3.7799072265625"/>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Silver medalists enter a GDPR-compliant nurture track for future re-engagement</w:t>
            </w:r>
          </w:p>
        </w:tc>
      </w:tr>
      <w:tr>
        <w:trPr>
          <w:cantSplit w:val="0"/>
          <w:trHeight w:val="10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219970703125" w:right="0"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Recruiter Workload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32000732421875" w:right="0"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Manual follow-ups and admin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56.70013427734375" w:right="370.693359375" w:hanging="4.68017578125"/>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consume up to 57% of recruiter bandwidth (SHRM 2023), stalling high-value hiring decisions.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71.6998291015625" w:right="168.126220703125" w:hanging="3.599853515625"/>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Standardized, automated communication frees recruiters for high-value work</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99993896484375" w:right="0"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Compliance Posture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0999755859375" w:right="0"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Subjective recruiter feedback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01995849609375" w:right="0"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creates audit exposure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7601318359375" w:right="0"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Fully auditable, bias-reduced,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219970703125" w:right="0"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EEOC/GDPR-aligned communications log</w:t>
            </w:r>
          </w:p>
        </w:tc>
      </w:tr>
    </w:tbl>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3995361328125" w:right="0"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ElevenLabs Voice Platform </w:t>
      </w: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 Speculative GTM Campaign: From Gatekeeper to Growth Partner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255615234375" w:line="240" w:lineRule="auto"/>
        <w:ind w:left="22.1600341796875" w:right="0" w:firstLine="0"/>
        <w:jc w:val="left"/>
        <w:rPr>
          <w:rFonts w:ascii="Arial" w:cs="Arial" w:eastAsia="Arial" w:hAnsi="Arial"/>
          <w:b w:val="1"/>
          <w:bCs w:val="1"/>
          <w:i w:val="0"/>
          <w:iCs w:val="0"/>
          <w:smallCaps w:val="0"/>
          <w:strike w:val="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sz w:val="32"/>
          <w:szCs w:val="32"/>
          <w:u w:val="none"/>
          <w:shd w:fill="auto" w:val="clear"/>
          <w:vertAlign w:val="baseline"/>
          <w:rtl w:val="0"/>
        </w:rPr>
        <w:t xml:space="preserve">3. Compliance Architecture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24951171875" w:line="240" w:lineRule="auto"/>
        <w:ind w:left="10.780029296875" w:right="0" w:firstLine="0"/>
        <w:jc w:val="left"/>
        <w:rPr>
          <w:rFonts w:ascii="Arial" w:cs="Arial" w:eastAsia="Arial" w:hAnsi="Arial"/>
          <w:b w:val="1"/>
          <w:bCs w:val="1"/>
          <w:i w:val="0"/>
          <w:iCs w:val="0"/>
          <w:smallCaps w:val="0"/>
          <w:strike w:val="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sz w:val="26"/>
          <w:szCs w:val="26"/>
          <w:u w:val="none"/>
          <w:shd w:fill="auto" w:val="clear"/>
          <w:vertAlign w:val="baseline"/>
          <w:rtl w:val="0"/>
        </w:rPr>
        <w:t xml:space="preserve">Why 'EEOC-Aligned' Requires Specificity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7490234375" w:line="229.88847255706787" w:lineRule="auto"/>
        <w:ind w:left="23.000030517578125" w:right="23.1787109375" w:hanging="13.000030517578125"/>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Asserting EEOC alignment without describing the underlying architecture is insufficient for enterprise legal review. The following describes the specific design decisions that support a defensible compliance posture. Customers must conduct their own legal review for their specific jurisdictions and use cases.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26708984375" w:line="240" w:lineRule="auto"/>
        <w:ind w:left="22.220001220703125" w:right="0" w:firstLine="0"/>
        <w:jc w:val="left"/>
        <w:rPr>
          <w:rFonts w:ascii="Arial" w:cs="Arial" w:eastAsia="Arial" w:hAnsi="Arial"/>
          <w:b w:val="1"/>
          <w:bCs w:val="1"/>
          <w:i w:val="0"/>
          <w:iCs w:val="0"/>
          <w:smallCaps w:val="0"/>
          <w:strike w:val="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sz w:val="26"/>
          <w:szCs w:val="26"/>
          <w:u w:val="none"/>
          <w:shd w:fill="auto" w:val="clear"/>
          <w:vertAlign w:val="baseline"/>
          <w:rtl w:val="0"/>
        </w:rPr>
        <w:t xml:space="preserve">Compliance Design Principles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03466796875" w:line="240" w:lineRule="auto"/>
        <w:ind w:left="26.060028076171875" w:right="0" w:firstLine="0"/>
        <w:jc w:val="left"/>
        <w:rPr>
          <w:rFonts w:ascii="Arial" w:cs="Arial" w:eastAsia="Arial" w:hAnsi="Arial"/>
          <w:b w:val="1"/>
          <w:bCs w:val="1"/>
          <w:i w:val="0"/>
          <w:iCs w:val="0"/>
          <w:smallCaps w:val="0"/>
          <w:strike w:val="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Role-Agnostic, Not Job-Specific Feedback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79248046875" w:line="229.88847255706787" w:lineRule="auto"/>
        <w:ind w:left="16.399993896484375" w:right="390.880126953125" w:hanging="6.399993896484375"/>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All candidate guidance is limited to general, transferable skill development areas (e.g., 'structured communication in technical contexts' or 'systems design articulation') — never tied to the specific role, hiring manager, or evaluation criteria used in the rejected application. This is the critical architectural distinction: the system does not explain why a candidate was rejected from a specific role. It provides general professional development insights.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7664794921875" w:line="240" w:lineRule="auto"/>
        <w:ind w:left="17.920074462890625" w:right="0" w:firstLine="0"/>
        <w:jc w:val="left"/>
        <w:rPr>
          <w:rFonts w:ascii="Arial" w:cs="Arial" w:eastAsia="Arial" w:hAnsi="Arial"/>
          <w:b w:val="1"/>
          <w:bCs w:val="1"/>
          <w:i w:val="0"/>
          <w:iCs w:val="0"/>
          <w:smallCaps w:val="0"/>
          <w:strike w:val="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Standardized Across Demographics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786376953125" w:line="229.88847255706787" w:lineRule="auto"/>
        <w:ind w:left="17.79998779296875" w:right="82.406005859375" w:firstLine="2.79998779296875"/>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Guidance templates are pre-approved by legal counsel and applied uniformly across all candidates in a cohort. No recruiter discretion is applied at the message-generation stage. This reduces the variance that creates disparate-impact exposure.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7664794921875" w:line="240" w:lineRule="auto"/>
        <w:ind w:left="26.280059814453125" w:right="0" w:firstLine="0"/>
        <w:jc w:val="left"/>
        <w:rPr>
          <w:rFonts w:ascii="Arial" w:cs="Arial" w:eastAsia="Arial" w:hAnsi="Arial"/>
          <w:b w:val="1"/>
          <w:bCs w:val="1"/>
          <w:i w:val="0"/>
          <w:iCs w:val="0"/>
          <w:smallCaps w:val="0"/>
          <w:strike w:val="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Full Audit Log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786376953125" w:line="229.88847255706787" w:lineRule="auto"/>
        <w:ind w:left="17.20001220703125" w:right="100.46875" w:firstLine="8.600006103515625"/>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Every generated message is logged with a timestamp, the template version used, the candidate identifier (pseudonymized), and the cohort parameters that triggered the message. This audit trail is retained per agreed data governance policies and is available for regulatory review.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7664794921875" w:line="240" w:lineRule="auto"/>
        <w:ind w:left="20.3399658203125" w:right="0" w:firstLine="0"/>
        <w:jc w:val="left"/>
        <w:rPr>
          <w:rFonts w:ascii="Arial" w:cs="Arial" w:eastAsia="Arial" w:hAnsi="Arial"/>
          <w:b w:val="1"/>
          <w:bCs w:val="1"/>
          <w:i w:val="0"/>
          <w:iCs w:val="0"/>
          <w:smallCaps w:val="0"/>
          <w:strike w:val="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Candidate Consent and Data Rights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786376953125" w:line="229.88847255706787" w:lineRule="auto"/>
        <w:ind w:left="16.399993896484375" w:right="189.476318359375" w:firstLine="3.600006103515625"/>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Candidates are informed at application that they may receive automated skill development communications. Opt-out is available at any stage. Data deletion requests are processed within 30 days in compliance with GDPR Article 17. No candidate data is used to train public models without explicit, granular opt-in consent.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7664794921875" w:line="240" w:lineRule="auto"/>
        <w:ind w:left="26.280059814453125" w:right="0" w:firstLine="0"/>
        <w:jc w:val="left"/>
        <w:rPr>
          <w:rFonts w:ascii="Arial" w:cs="Arial" w:eastAsia="Arial" w:hAnsi="Arial"/>
          <w:b w:val="1"/>
          <w:bCs w:val="1"/>
          <w:i w:val="0"/>
          <w:iCs w:val="0"/>
          <w:smallCaps w:val="0"/>
          <w:strike w:val="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No Protected Class Data in Guidance Logic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786376953125" w:line="229.88847255706787" w:lineRule="auto"/>
        <w:ind w:left="14.600067138671875" w:right="85.90576171875" w:hanging="2.199859619140625"/>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The guidance generation logic does not ingest or reference age, gender, race, national origin, or other protected class attributes. Cohort segmentation is based exclusively on role category and skill gap profile derived from anonymized assessment signals. </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9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39993286132812" w:right="0" w:firstLine="0"/>
              <w:jc w:val="left"/>
              <w:rPr>
                <w:rFonts w:ascii="Arial" w:cs="Arial" w:eastAsia="Arial" w:hAnsi="Arial"/>
                <w:b w:val="1"/>
                <w:bCs w:val="1"/>
                <w:i w:val="0"/>
                <w:iCs w:val="0"/>
                <w:smallCaps w:val="0"/>
                <w:strike w:val="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sz w:val="20"/>
                <w:szCs w:val="20"/>
                <w:u w:val="none"/>
                <w:shd w:fill="auto" w:val="clear"/>
                <w:vertAlign w:val="baseline"/>
                <w:rtl w:val="0"/>
              </w:rPr>
              <w:t xml:space="preserve">Legal Disclaimer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2073974609375" w:line="246.54848098754883" w:lineRule="auto"/>
              <w:ind w:left="199.53994750976562" w:right="548.463134765625"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 The compliance architecture described above represents a design intent, not a legal certification. • ElevenLabs does not provide legal advice. Enterprise customers are required to conduct independent legal review.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111083984375" w:line="246.54848098754883" w:lineRule="auto"/>
              <w:ind w:left="199.53994750976562" w:right="479.559326171875"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 Specific EEOC and GDPR implications vary by jurisdiction, industry, and implementation context. • Customers are encouraged to involve employment law counsel during the procurement and implementation process.</w:t>
            </w:r>
          </w:p>
        </w:tc>
      </w:tr>
    </w:tbl>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79949951171875" w:right="0" w:firstLine="0"/>
        <w:jc w:val="left"/>
        <w:rPr>
          <w:rFonts w:ascii="Arial" w:cs="Arial" w:eastAsia="Arial" w:hAnsi="Arial"/>
          <w:b w:val="1"/>
          <w:bCs w:val="1"/>
          <w:i w:val="0"/>
          <w:iCs w:val="0"/>
          <w:smallCaps w:val="0"/>
          <w:strike w:val="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sz w:val="26"/>
          <w:szCs w:val="26"/>
          <w:u w:val="none"/>
          <w:shd w:fill="auto" w:val="clear"/>
          <w:vertAlign w:val="baseline"/>
          <w:rtl w:val="0"/>
        </w:rPr>
        <w:t xml:space="preserve">Region-Specific Template Library</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3995361328125" w:right="0"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ElevenLabs Voice Platform </w:t>
      </w: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 Speculative GTM Campaign: From Gatekeeper to Growth Partner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697021484375" w:line="229.88847255706787" w:lineRule="auto"/>
        <w:ind w:left="17.79998779296875" w:right="134.228515625" w:hanging="7.79998779296875"/>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A single global template set is insufficient for multinational enterprise buyers. Employment law governing candidate communications varies materially across jurisdictions — what is compliant in the US under EEOC guidance may require modification for EU works council requirements or APAC data localisation rules. The platform ships with three pre-approved regional template sets, each reviewed by employment counsel in that jurisdiction: </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3000"/>
        <w:gridCol w:w="4560"/>
        <w:tblGridChange w:id="0">
          <w:tblGrid>
            <w:gridCol w:w="1800"/>
            <w:gridCol w:w="3000"/>
            <w:gridCol w:w="456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13995361328125" w:right="0" w:firstLine="0"/>
              <w:jc w:val="left"/>
              <w:rPr>
                <w:rFonts w:ascii="Arial" w:cs="Arial" w:eastAsia="Arial" w:hAnsi="Arial"/>
                <w:b w:val="1"/>
                <w:bCs w:val="1"/>
                <w:i w:val="0"/>
                <w:iCs w:val="0"/>
                <w:smallCaps w:val="0"/>
                <w:strike w:val="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Region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Primary Regulatory Framework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499755859375" w:right="0" w:firstLine="0"/>
              <w:jc w:val="left"/>
              <w:rPr>
                <w:rFonts w:ascii="Arial" w:cs="Arial" w:eastAsia="Arial" w:hAnsi="Arial"/>
                <w:b w:val="1"/>
                <w:bCs w:val="1"/>
                <w:i w:val="0"/>
                <w:iCs w:val="0"/>
                <w:smallCaps w:val="0"/>
                <w:strike w:val="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Key Template Adaptations</w:t>
            </w:r>
          </w:p>
        </w:tc>
      </w:tr>
      <w:tr>
        <w:trPr>
          <w:cantSplit w:val="0"/>
          <w:trHeight w:val="9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43002319335938" w:right="0" w:firstLine="0"/>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US / Canada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1169090270996" w:lineRule="auto"/>
              <w:ind w:left="151.62994384765625" w:right="153.8397216796875" w:firstLine="6.7999267578125"/>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EEOC Title VII; OFCCP (federal contractors); state-level equivalents (CA FEHA, NY Executive Law).</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11509227752686" w:lineRule="auto"/>
              <w:ind w:left="151.290283203125" w:right="95.34912109375" w:firstLine="7.139892578125"/>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Role-agnostic language strictly enforced. No reference to protected class attributes. Standardized across all candidates in a requisition cohort. Candidate complaint escalation path references EEOC charge process.</w:t>
            </w:r>
          </w:p>
        </w:tc>
      </w:tr>
      <w:tr>
        <w:trPr>
          <w:cantSplit w:val="0"/>
          <w:trHeight w:val="1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43002319335938" w:right="0" w:firstLine="0"/>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EU / EEA / UK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10009765625" w:right="0" w:firstLine="0"/>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GDPR Articles 13-14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11869716644287" w:lineRule="auto"/>
              <w:ind w:left="155.369873046875" w:right="239.3408203125" w:hanging="0.51025390625"/>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(transparency); local employment law (works council notification requirements vary by country); UK Equality Act 2010.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1169090270996" w:lineRule="auto"/>
              <w:ind w:left="151.1199951171875" w:right="132.9345703125" w:firstLine="7.3101806640625"/>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Explicit disclosure of automated processing at application stage. Data subject rights statement included in every interaction. Works council notification language included for DE, FR, NL deployments. UK templates reviewed post-Brexit for divergence from EU standard.</w:t>
            </w:r>
          </w:p>
        </w:tc>
      </w:tr>
      <w:tr>
        <w:trPr>
          <w:cantSplit w:val="0"/>
          <w:trHeight w:val="11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APAC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Australia Privacy Act / APPs;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1169090270996" w:lineRule="auto"/>
              <w:ind w:left="147.2100830078125" w:right="358.7353515625" w:firstLine="5.4400634765625"/>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Singapore PDPA; Japan APPI; country-specific employment law varies significantly.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1169090270996" w:lineRule="auto"/>
              <w:ind w:left="147.7197265625" w:right="131.956787109375" w:firstLine="10.3704833984375"/>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Data localisation requirements reviewed per country. Consent language adapted to local opt-in standards (Australia opt-out vs. Singapore opt-in). Templates marked as 'requires local counsel review' for markets not yet fully mapped (India, Indonesia, Vietnam).</w:t>
            </w:r>
          </w:p>
        </w:tc>
      </w:tr>
    </w:tbl>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6.399993896484375" w:right="230.772705078125" w:firstLine="3.600006103515625"/>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Customers operating across multiple regions are assigned a regional template set per deployment geography. Custom templates — including those written by the customer's own legal team — are accepted subject to a one-time platform review confirming they do not conflict with the core compliance architecture. Mixed-region deployments (e.g., a US-headquartered company hiring in Germany) require explicit sign-off on which template set governs each candidate cohort.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4676513671875" w:line="204.3453025817871" w:lineRule="auto"/>
        <w:ind w:left="15.279998779296875" w:right="399.241943359375" w:firstLine="14.720001220703125"/>
        <w:jc w:val="both"/>
        <w:rPr>
          <w:rFonts w:ascii="Arial" w:cs="Arial" w:eastAsia="Arial" w:hAnsi="Arial"/>
          <w:b w:val="0"/>
          <w:bCs w:val="0"/>
          <w:i w:val="1"/>
          <w:iCs w:val="1"/>
          <w:smallCaps w:val="0"/>
          <w:strike w:val="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sz w:val="16"/>
          <w:szCs w:val="16"/>
          <w:u w:val="none"/>
          <w:shd w:fill="auto" w:val="clear"/>
          <w:vertAlign w:val="baseline"/>
          <w:rtl w:val="0"/>
        </w:rPr>
        <w:t xml:space="preserve">Template library review cycles: US/Canada and EU/EEA/UK templates are reviewed annually and after any material regulatory change. APAC templates are reviewed semi-annually given the pace of regulatory development in the region. Version history is maintained in the admin console audit log.</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3995361328125" w:right="0"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ElevenLabs Voice Platform </w:t>
      </w: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 Speculative GTM Campaign: From Gatekeeper to Growth Partner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250732421875" w:line="240" w:lineRule="auto"/>
        <w:ind w:left="16.08001708984375" w:right="0" w:firstLine="0"/>
        <w:jc w:val="left"/>
        <w:rPr>
          <w:rFonts w:ascii="Arial" w:cs="Arial" w:eastAsia="Arial" w:hAnsi="Arial"/>
          <w:b w:val="1"/>
          <w:bCs w:val="1"/>
          <w:i w:val="0"/>
          <w:iCs w:val="0"/>
          <w:smallCaps w:val="0"/>
          <w:strike w:val="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sz w:val="32"/>
          <w:szCs w:val="32"/>
          <w:u w:val="none"/>
          <w:shd w:fill="auto" w:val="clear"/>
          <w:vertAlign w:val="baseline"/>
          <w:rtl w:val="0"/>
        </w:rPr>
        <w:t xml:space="preserve">4. Pricing Strategy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24951171875" w:line="240" w:lineRule="auto"/>
        <w:ind w:left="21.179962158203125" w:right="0" w:firstLine="0"/>
        <w:jc w:val="left"/>
        <w:rPr>
          <w:rFonts w:ascii="Arial" w:cs="Arial" w:eastAsia="Arial" w:hAnsi="Arial"/>
          <w:b w:val="1"/>
          <w:bCs w:val="1"/>
          <w:i w:val="0"/>
          <w:iCs w:val="0"/>
          <w:smallCaps w:val="0"/>
          <w:strike w:val="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sz w:val="26"/>
          <w:szCs w:val="26"/>
          <w:u w:val="none"/>
          <w:shd w:fill="auto" w:val="clear"/>
          <w:vertAlign w:val="baseline"/>
          <w:rtl w:val="0"/>
        </w:rPr>
        <w:t xml:space="preserve">Outcome-Aligned Enterprise Model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7490234375" w:line="229.88847255706787" w:lineRule="auto"/>
        <w:ind w:left="11.7999267578125" w:right="185.37841796875" w:firstLine="13.600006103515625"/>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Pricing is structured to align ElevenLabs' revenue with customer outcomes — predictable platform costs for budget certainty, usage-based scaling for volume flexibility, and an optional performance component for enterprise accounts willing to share outcome data. </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1980"/>
        <w:gridCol w:w="2520"/>
        <w:gridCol w:w="2460"/>
        <w:tblGridChange w:id="0">
          <w:tblGrid>
            <w:gridCol w:w="2400"/>
            <w:gridCol w:w="1980"/>
            <w:gridCol w:w="2520"/>
            <w:gridCol w:w="246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78005981445312" w:right="0" w:firstLine="0"/>
              <w:jc w:val="left"/>
              <w:rPr>
                <w:rFonts w:ascii="Arial" w:cs="Arial" w:eastAsia="Arial" w:hAnsi="Arial"/>
                <w:b w:val="1"/>
                <w:bCs w:val="1"/>
                <w:i w:val="0"/>
                <w:iCs w:val="0"/>
                <w:smallCaps w:val="0"/>
                <w:strike w:val="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Tier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13995361328125" w:right="0" w:firstLine="0"/>
              <w:jc w:val="left"/>
              <w:rPr>
                <w:rFonts w:ascii="Arial" w:cs="Arial" w:eastAsia="Arial" w:hAnsi="Arial"/>
                <w:b w:val="1"/>
                <w:bCs w:val="1"/>
                <w:i w:val="0"/>
                <w:iCs w:val="0"/>
                <w:smallCaps w:val="0"/>
                <w:strike w:val="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Billing Model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401611328125" w:right="0" w:firstLine="0"/>
              <w:jc w:val="left"/>
              <w:rPr>
                <w:rFonts w:ascii="Arial" w:cs="Arial" w:eastAsia="Arial" w:hAnsi="Arial"/>
                <w:b w:val="1"/>
                <w:bCs w:val="1"/>
                <w:i w:val="0"/>
                <w:iCs w:val="0"/>
                <w:smallCaps w:val="0"/>
                <w:strike w:val="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What's Included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1402587890625" w:right="0" w:firstLine="0"/>
              <w:jc w:val="left"/>
              <w:rPr>
                <w:rFonts w:ascii="Arial" w:cs="Arial" w:eastAsia="Arial" w:hAnsi="Arial"/>
                <w:b w:val="1"/>
                <w:bCs w:val="1"/>
                <w:i w:val="0"/>
                <w:iCs w:val="0"/>
                <w:smallCaps w:val="0"/>
                <w:strike w:val="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Pricing Detail</w:t>
            </w:r>
          </w:p>
        </w:tc>
      </w:tr>
      <w:tr>
        <w:trPr>
          <w:cantSplit w:val="0"/>
          <w:trHeight w:val="10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13995361328125" w:right="0" w:firstLine="0"/>
              <w:jc w:val="left"/>
              <w:rPr>
                <w:rFonts w:ascii="Arial" w:cs="Arial" w:eastAsia="Arial" w:hAnsi="Arial"/>
                <w:b w:val="1"/>
                <w:bCs w:val="1"/>
                <w:i w:val="0"/>
                <w:iCs w:val="0"/>
                <w:smallCaps w:val="0"/>
                <w:strike w:val="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Platform License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 w:right="0"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Annual flat fee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00244140625" w:right="0"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Core platform, ATS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8798828125" w:right="0"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integrations, audit logs,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4801025390625" w:right="0"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admin dashboard,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39794921875" w:right="0"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GDPR/SOC2 compliance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85986328125" w:right="0"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Pricing on request —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7.020263671875" w:right="472.540283203125" w:firstLine="4.6795654296875"/>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based on recruiter seat count</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Upskill Session Add-On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1.619873046875" w:right="155.6170654296875" w:firstLine="12.239990234375"/>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Per-candidate usage fee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7401123046875" w:right="0"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Individual candidate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55.0799560546875" w:right="210.5548095703125" w:hanging="3.0596923828125"/>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coaching interaction (voice +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7.559814453125" w:right="142.39501953125" w:hanging="6.839599609375"/>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Volume-tiered; discounts at 5K, 20K, 50K+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5615234375" w:line="240" w:lineRule="auto"/>
              <w:ind w:left="135.579833984375" w:right="0"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sessions/month</w:t>
            </w:r>
          </w:p>
        </w:tc>
      </w:tr>
      <w:tr>
        <w:trPr>
          <w:cantSplit w:val="0"/>
          <w:trHeight w:val="10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3.13995361328125" w:right="306.7132568359375" w:hanging="5.399932861328125"/>
              <w:jc w:val="left"/>
              <w:rPr>
                <w:rFonts w:ascii="Arial" w:cs="Arial" w:eastAsia="Arial" w:hAnsi="Arial"/>
                <w:b w:val="1"/>
                <w:bCs w:val="1"/>
                <w:i w:val="0"/>
                <w:iCs w:val="0"/>
                <w:smallCaps w:val="0"/>
                <w:strike w:val="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Outcome Performance Bonus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4013671875" w:right="0"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Optional,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8798828125" w:right="0"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milestone-triggered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51.4801025390625" w:right="174.0814208984375" w:firstLine="7.3797607421875"/>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Payable when agreed KPIs are met (e.g., complaint reduction, re-engagement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5.579833984375" w:right="259.03076171875" w:firstLine="3.42041015625"/>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Capped at agreed % of contract value; verified by shared dashboard</w:t>
            </w:r>
          </w:p>
        </w:tc>
      </w:tr>
    </w:tbl>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79949951171875" w:right="0" w:firstLine="0"/>
        <w:jc w:val="left"/>
        <w:rPr>
          <w:rFonts w:ascii="Arial" w:cs="Arial" w:eastAsia="Arial" w:hAnsi="Arial"/>
          <w:b w:val="1"/>
          <w:bCs w:val="1"/>
          <w:i w:val="0"/>
          <w:iCs w:val="0"/>
          <w:smallCaps w:val="0"/>
          <w:strike w:val="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sz w:val="26"/>
          <w:szCs w:val="26"/>
          <w:u w:val="none"/>
          <w:shd w:fill="auto" w:val="clear"/>
          <w:vertAlign w:val="baseline"/>
          <w:rtl w:val="0"/>
        </w:rPr>
        <w:t xml:space="preserve">ROI Framework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755126953125" w:line="229.88847255706787" w:lineRule="auto"/>
        <w:ind w:left="12.599945068359375" w:right="443.287353515625" w:firstLine="2.0001220703125"/>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The following metrics represent the financial case for the platform. Ranges marked 'Benchmark' are drawn from published industry data; ranges marked 'Prospective' are forward-looking estimates to be validated through Year 1 customer studies. Sales teams should not present prospective estimates as validated data. </w:t>
      </w:r>
    </w:p>
    <w:tbl>
      <w:tblPr>
        <w:tblStyle w:val="Table7"/>
        <w:tblW w:w="9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0"/>
        <w:gridCol w:w="2000"/>
        <w:gridCol w:w="2000"/>
        <w:gridCol w:w="1860"/>
        <w:tblGridChange w:id="0">
          <w:tblGrid>
            <w:gridCol w:w="3480"/>
            <w:gridCol w:w="2000"/>
            <w:gridCol w:w="2000"/>
            <w:gridCol w:w="186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77999877929688" w:right="0" w:firstLine="0"/>
              <w:jc w:val="left"/>
              <w:rPr>
                <w:rFonts w:ascii="Arial" w:cs="Arial" w:eastAsia="Arial" w:hAnsi="Arial"/>
                <w:b w:val="1"/>
                <w:bCs w:val="1"/>
                <w:i w:val="0"/>
                <w:iCs w:val="0"/>
                <w:smallCaps w:val="0"/>
                <w:strike w:val="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Metric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13995361328125" w:right="0" w:firstLine="0"/>
              <w:jc w:val="left"/>
              <w:rPr>
                <w:rFonts w:ascii="Arial" w:cs="Arial" w:eastAsia="Arial" w:hAnsi="Arial"/>
                <w:b w:val="1"/>
                <w:bCs w:val="1"/>
                <w:i w:val="0"/>
                <w:iCs w:val="0"/>
                <w:smallCaps w:val="0"/>
                <w:strike w:val="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Range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4801025390625" w:right="0" w:firstLine="0"/>
              <w:jc w:val="left"/>
              <w:rPr>
                <w:rFonts w:ascii="Arial" w:cs="Arial" w:eastAsia="Arial" w:hAnsi="Arial"/>
                <w:b w:val="1"/>
                <w:bCs w:val="1"/>
                <w:i w:val="0"/>
                <w:iCs w:val="0"/>
                <w:smallCaps w:val="0"/>
                <w:strike w:val="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Source / 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1402587890625" w:right="0" w:firstLine="0"/>
              <w:jc w:val="left"/>
              <w:rPr>
                <w:rFonts w:ascii="Arial" w:cs="Arial" w:eastAsia="Arial" w:hAnsi="Arial"/>
                <w:b w:val="1"/>
                <w:bCs w:val="1"/>
                <w:i w:val="0"/>
                <w:iCs w:val="0"/>
                <w:smallCaps w:val="0"/>
                <w:strike w:val="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Business Impact</w:t>
            </w:r>
          </w:p>
        </w:tc>
      </w:tr>
      <w:tr>
        <w:trPr>
          <w:cantSplit w:val="0"/>
          <w:trHeight w:val="9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19970703125" w:right="0"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Reduction in candidate complaints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22003173828125" w:right="0"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20-30%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6.1199951171875" w:right="249.4268798828125" w:firstLine="10.6201171875"/>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Industry benchmark data (Candidate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62255859375" w:line="229.88847255706787" w:lineRule="auto"/>
              <w:ind w:left="145.2197265625" w:right="215.7196044921875" w:firstLine="9.000244140625"/>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Experience Awards, 2023 CandE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1402587890625" w:right="0"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Brand risk /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39794921875" w:right="0"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Glassdoor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8798828125" w:right="0"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protection</w:t>
            </w:r>
          </w:p>
        </w:tc>
      </w:tr>
      <w:tr>
        <w:trPr>
          <w:cantSplit w:val="0"/>
          <w:trHeight w:val="10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0999755859375" w:right="0"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Silver medalist re-engagement lift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62005615234375" w:right="0"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15-25%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51.8798828125" w:right="239.28955078125" w:firstLine="4.8602294921875"/>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Internal ElevenLabs pilot data — to be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592041015625" w:line="229.88847255706787" w:lineRule="auto"/>
              <w:ind w:left="145.579833984375" w:right="129.3756103515625" w:hanging="3.23974609375"/>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validated at customer scale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0.579833984375" w:right="240.882568359375" w:firstLine="8.64013671875"/>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Reduced sourcing spend</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19970703125" w:right="0"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Recruiter time saved on comms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62005615234375" w:right="0"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10-20%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0999755859375" w:right="0"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SHRM 2023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54.219970703125" w:right="120.0946044921875"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Recruiter Productivity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4000244140625" w:right="0"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Headcount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66015625" w:right="0"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efficiency</w:t>
            </w:r>
          </w:p>
        </w:tc>
      </w:tr>
      <w:tr>
        <w:trPr>
          <w:cantSplit w:val="0"/>
          <w:trHeight w:val="10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1.88003540039062" w:right="495.99639892578125" w:firstLine="2.339935302734375"/>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Reduction in time-to-fill (reactivated pipeline)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6011962890625" w:right="0"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5-15%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1400146484375" w:right="0"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To be validated;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0.5401611328125" w:right="119.6514892578125" w:firstLine="11.3397216796875"/>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prospective metric for Year 1 customer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592041015625" w:line="240" w:lineRule="auto"/>
              <w:ind w:left="145.579833984375" w:right="0"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studies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85986328125" w:right="0"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Pipeline velocity</w:t>
            </w:r>
          </w:p>
        </w:tc>
      </w:tr>
    </w:tbl>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3453025817871" w:lineRule="auto"/>
        <w:ind w:left="8.560028076171875" w:right="156.173095703125" w:firstLine="12.639923095703125"/>
        <w:jc w:val="left"/>
        <w:rPr>
          <w:rFonts w:ascii="Arial" w:cs="Arial" w:eastAsia="Arial" w:hAnsi="Arial"/>
          <w:b w:val="0"/>
          <w:bCs w:val="0"/>
          <w:i w:val="1"/>
          <w:iCs w:val="1"/>
          <w:smallCaps w:val="0"/>
          <w:strike w:val="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sz w:val="16"/>
          <w:szCs w:val="16"/>
          <w:u w:val="none"/>
          <w:shd w:fill="auto" w:val="clear"/>
          <w:vertAlign w:val="baseline"/>
          <w:rtl w:val="0"/>
        </w:rPr>
        <w:t xml:space="preserve">Sources: Candidate Experience Awards (CandE) 2023 Research Report; SHRM 2023 Recruiter Productivity Benchmarks. 'Internal pilot' figures are preliminary and subject to revision. Prospective estimates are illustrative only.</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3995361328125" w:right="0"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ElevenLabs Voice Platform </w:t>
      </w: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 Speculative GTM Campaign: From Gatekeeper to Growth Partner</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3995361328125" w:right="0"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ElevenLabs Voice Platform </w:t>
      </w: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 Speculative GTM Campaign: From Gatekeeper to Growth Partner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250732421875" w:line="240" w:lineRule="auto"/>
        <w:ind w:left="24.080047607421875" w:right="0" w:firstLine="0"/>
        <w:jc w:val="left"/>
        <w:rPr>
          <w:rFonts w:ascii="Arial" w:cs="Arial" w:eastAsia="Arial" w:hAnsi="Arial"/>
          <w:b w:val="1"/>
          <w:bCs w:val="1"/>
          <w:i w:val="0"/>
          <w:iCs w:val="0"/>
          <w:smallCaps w:val="0"/>
          <w:strike w:val="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sz w:val="32"/>
          <w:szCs w:val="32"/>
          <w:u w:val="none"/>
          <w:shd w:fill="auto" w:val="clear"/>
          <w:vertAlign w:val="baseline"/>
          <w:rtl w:val="0"/>
        </w:rPr>
        <w:t xml:space="preserve">5. Multi-Channel Distribution Motion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24951171875" w:line="240" w:lineRule="auto"/>
        <w:ind w:left="28.979949951171875" w:right="0" w:firstLine="0"/>
        <w:jc w:val="left"/>
        <w:rPr>
          <w:rFonts w:ascii="Arial" w:cs="Arial" w:eastAsia="Arial" w:hAnsi="Arial"/>
          <w:b w:val="1"/>
          <w:bCs w:val="1"/>
          <w:i w:val="0"/>
          <w:iCs w:val="0"/>
          <w:smallCaps w:val="0"/>
          <w:strike w:val="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sz w:val="26"/>
          <w:szCs w:val="26"/>
          <w:u w:val="none"/>
          <w:shd w:fill="auto" w:val="clear"/>
          <w:vertAlign w:val="baseline"/>
          <w:rtl w:val="0"/>
        </w:rPr>
        <w:t xml:space="preserve">Phase 1 — Product-Led Growth: The 'Candidate Experience Audit' Tool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8466796875" w:line="229.88847255706787" w:lineRule="auto"/>
        <w:ind w:left="23.000030517578125" w:right="173.475341796875" w:hanging="13.000030517578125"/>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A public benchmarking tool where TA leaders can input their organization's application volume, rejection rate, and current communication approach to receive: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9755859375" w:line="249.88537788391113" w:lineRule="auto"/>
        <w:ind w:left="380.5999755859375" w:right="93.375244140625" w:firstLine="0"/>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A 'Candidate Experience Score' benchmarked against industry peers (sourced from CandE data) </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A 'False Negative Tax Estimate' — the estimated cost of re-sourcing candidates who were qualified but disengaged by a poor rejection experience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275390625" w:line="229.88847255706787" w:lineRule="auto"/>
        <w:ind w:left="743.2000732421875" w:right="479.241943359375" w:hanging="362.60009765625"/>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A 'Brand Risk Index' derived from their Glassdoor rating trajectory and industry rejection rate norms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1708984375" w:line="229.88847255706787" w:lineRule="auto"/>
        <w:ind w:left="733.6000061035156" w:right="255.794677734375" w:hanging="353.0000305175781"/>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A personalized 'What Good Looks Like' report showing the gap between their current state and top-quartile candidate experience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99755859375" w:line="229.88847255706787" w:lineRule="auto"/>
        <w:ind w:left="23.000030517578125" w:right="652.6788330078125" w:hanging="8.39996337890625"/>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This creates inbound pipeline from TA leaders who self-identify as having a candidate experience problem. It positions ElevenLabs as the authority on this topic before any commercial conversation begins. </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4000244140625" w:right="0" w:firstLine="0"/>
              <w:jc w:val="left"/>
              <w:rPr>
                <w:rFonts w:ascii="Arial" w:cs="Arial" w:eastAsia="Arial" w:hAnsi="Arial"/>
                <w:b w:val="1"/>
                <w:bCs w:val="1"/>
                <w:i w:val="0"/>
                <w:iCs w:val="0"/>
                <w:smallCaps w:val="0"/>
                <w:strike w:val="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sz w:val="20"/>
                <w:szCs w:val="20"/>
                <w:u w:val="none"/>
                <w:shd w:fill="auto" w:val="clear"/>
                <w:vertAlign w:val="baseline"/>
                <w:rtl w:val="0"/>
              </w:rPr>
              <w:t xml:space="preserve">Data &amp; Privacy Note on the Audit Tool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399658203125" w:line="229.87762928009033" w:lineRule="auto"/>
              <w:ind w:left="201.88003540039062" w:right="978.97705078125" w:hanging="2.340087890625"/>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 The Audit Tool collects only aggregate, anonymized organizational data — never individual candidate information.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2392578125" w:line="240" w:lineRule="auto"/>
              <w:ind w:left="199.53994750976562" w:right="0"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 No PII is required to generate the benchmark report.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12841796875" w:line="263.2193183898926" w:lineRule="auto"/>
              <w:ind w:left="199.53994750976562" w:right="806.9073486328125"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 Users are informed clearly that submission of data constitutes agreement to Audit Tool terms of service. • Legal review of the Audit Tool's data collection and storage practices is required before public launch.</w:t>
            </w:r>
          </w:p>
        </w:tc>
      </w:tr>
    </w:tbl>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79949951171875" w:right="0" w:firstLine="0"/>
        <w:jc w:val="left"/>
        <w:rPr>
          <w:rFonts w:ascii="Arial" w:cs="Arial" w:eastAsia="Arial" w:hAnsi="Arial"/>
          <w:b w:val="1"/>
          <w:bCs w:val="1"/>
          <w:i w:val="0"/>
          <w:iCs w:val="0"/>
          <w:smallCaps w:val="0"/>
          <w:strike w:val="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sz w:val="26"/>
          <w:szCs w:val="26"/>
          <w:u w:val="none"/>
          <w:shd w:fill="auto" w:val="clear"/>
          <w:vertAlign w:val="baseline"/>
          <w:rtl w:val="0"/>
        </w:rPr>
        <w:t xml:space="preserve">Phase 2 — ATS Channel Partnerships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852783203125" w:line="229.88847255706787" w:lineRule="auto"/>
        <w:ind w:left="16.60003662109375" w:right="11.624755859375" w:firstLine="8.600006103515625"/>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Native integrations embedded directly into the three leading ATS platforms used by enterprise accounts in our primary segments: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969482421875" w:line="240" w:lineRule="auto"/>
        <w:ind w:left="380.5999755859375" w:right="0" w:firstLine="0"/>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Ashby — primary ATS for growth-stage technology companies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899658203125" w:line="240" w:lineRule="auto"/>
        <w:ind w:left="380.5999755859375" w:right="0" w:firstLine="0"/>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Greenhouse — dominant in mid-market and enterprise technology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606689453125" w:line="240" w:lineRule="auto"/>
        <w:ind w:left="380.5999755859375" w:right="0" w:firstLine="0"/>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Lever — significant penetration in regulated industries and financial services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3302001953125" w:line="240" w:lineRule="auto"/>
        <w:ind w:left="10.659942626953125" w:right="0" w:firstLine="0"/>
        <w:jc w:val="left"/>
        <w:rPr>
          <w:rFonts w:ascii="Arial" w:cs="Arial" w:eastAsia="Arial" w:hAnsi="Arial"/>
          <w:b w:val="1"/>
          <w:bCs w:val="1"/>
          <w:i w:val="0"/>
          <w:iCs w:val="0"/>
          <w:smallCaps w:val="0"/>
          <w:strike w:val="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Workflow Integration Points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786376953125" w:line="240" w:lineRule="auto"/>
        <w:ind w:left="380.5999755859375" w:right="0" w:firstLine="0"/>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sz w:val="20"/>
          <w:szCs w:val="20"/>
          <w:u w:val="none"/>
          <w:shd w:fill="auto" w:val="clear"/>
          <w:vertAlign w:val="baseline"/>
          <w:rtl w:val="0"/>
        </w:rPr>
        <w:t xml:space="preserve">Send Skill Guidance Button: </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Rejection Stage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8050537109375" w:line="229.88847255706787" w:lineRule="auto"/>
        <w:ind w:left="16.399993896484375" w:right="385.106201171875" w:firstLine="9.4000244140625"/>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Recruiter clicks 'Send Voice Coaching' in the ATS rejection workflow. A pre-approved, role-agnostic guidance interaction is generated and delivered to the candidate within 24 hours. The recruiter sees a confirmation log.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9871826171875" w:line="240" w:lineRule="auto"/>
        <w:ind w:left="380.5999755859375" w:right="0" w:firstLine="0"/>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sz w:val="20"/>
          <w:szCs w:val="20"/>
          <w:u w:val="none"/>
          <w:shd w:fill="auto" w:val="clear"/>
          <w:vertAlign w:val="baseline"/>
          <w:rtl w:val="0"/>
        </w:rPr>
        <w:t xml:space="preserve">Coaching Summary: </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Post-Interview Stage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8050537109375" w:line="229.88847255706787" w:lineRule="auto"/>
        <w:ind w:left="16.199951171875" w:right="489.735107421875" w:firstLine="3.800048828125"/>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Candidates who complete a structured interview receive an automated 'General Development Areas' summary based on the role category — not the specific evaluation. This is delivered regardless of outcome and is framed as a professional development resource.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9871826171875" w:line="240" w:lineRule="auto"/>
        <w:ind w:left="380.5999755859375" w:right="0" w:firstLine="0"/>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sz w:val="20"/>
          <w:szCs w:val="20"/>
          <w:u w:val="none"/>
          <w:shd w:fill="auto" w:val="clear"/>
          <w:vertAlign w:val="baseline"/>
          <w:rtl w:val="0"/>
        </w:rPr>
        <w:t xml:space="preserve">Automated Re-Engagement Sequence: </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Silver Medalist Nurture Track</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3995361328125" w:right="0"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ElevenLabs Voice Platform </w:t>
      </w: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 Speculative GTM Campaign: From Gatekeeper to Growth Partner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692138671875" w:line="229.88847255706787" w:lineRule="auto"/>
        <w:ind w:left="16.60003662109375" w:right="279.47998046875" w:firstLine="3.39996337890625"/>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Candidates who meet a configurable 'quality threshold' (e.g., reached final round, scored above a skills baseline) are automatically enrolled in a GDPR-compliant nurture sequence. Frequency, content, and opt-out controls are fully configurable by the customer.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26708984375" w:line="240" w:lineRule="auto"/>
        <w:ind w:left="28.979949951171875" w:right="0" w:firstLine="0"/>
        <w:jc w:val="left"/>
        <w:rPr>
          <w:rFonts w:ascii="Arial" w:cs="Arial" w:eastAsia="Arial" w:hAnsi="Arial"/>
          <w:b w:val="1"/>
          <w:bCs w:val="1"/>
          <w:i w:val="0"/>
          <w:iCs w:val="0"/>
          <w:smallCaps w:val="0"/>
          <w:strike w:val="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sz w:val="26"/>
          <w:szCs w:val="26"/>
          <w:u w:val="none"/>
          <w:shd w:fill="auto" w:val="clear"/>
          <w:vertAlign w:val="baseline"/>
          <w:rtl w:val="0"/>
        </w:rPr>
        <w:t xml:space="preserve">Phase 3 — Executive Outbound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03466796875" w:line="240" w:lineRule="auto"/>
        <w:ind w:left="20.3399658203125" w:right="0" w:firstLine="0"/>
        <w:jc w:val="left"/>
        <w:rPr>
          <w:rFonts w:ascii="Arial" w:cs="Arial" w:eastAsia="Arial" w:hAnsi="Arial"/>
          <w:b w:val="1"/>
          <w:bCs w:val="1"/>
          <w:i w:val="0"/>
          <w:iCs w:val="0"/>
          <w:smallCaps w:val="0"/>
          <w:strike w:val="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Core Message to CPOs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79248046875" w:line="229.88847255706787" w:lineRule="auto"/>
        <w:ind w:left="17.79998779296875" w:right="467.396240234375" w:firstLine="8.000030517578125"/>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Every time a qualified candidate is rejected without structured guidance, your organization pays a compounding cost: re-sourcing fees, reduced future pipeline depth, and brand erosion on Glassdoor. ElevenLabs eliminates that cost by converting every rejection into a brand moment that builds loyalty rather than resentment.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74755859375" w:line="240" w:lineRule="auto"/>
        <w:ind w:left="20.3399658203125" w:right="0" w:firstLine="0"/>
        <w:jc w:val="left"/>
        <w:rPr>
          <w:rFonts w:ascii="Arial" w:cs="Arial" w:eastAsia="Arial" w:hAnsi="Arial"/>
          <w:b w:val="1"/>
          <w:bCs w:val="1"/>
          <w:i w:val="0"/>
          <w:iCs w:val="0"/>
          <w:smallCaps w:val="0"/>
          <w:strike w:val="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Core Message to Heads of TA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89013671875" w:line="229.88847255706787" w:lineRule="auto"/>
        <w:ind w:left="12.400054931640625" w:right="89.442138671875" w:hanging="1.800079345703125"/>
        <w:jc w:val="both"/>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Your recruiters are spending up to 57</w:t>
      </w:r>
      <w:r w:rsidDel="00000000" w:rsidR="00000000" w:rsidRPr="00000000">
        <w:rPr>
          <w:rFonts w:ascii="Arial" w:cs="Arial" w:eastAsia="Arial" w:hAnsi="Arial"/>
          <w:b w:val="1"/>
          <w:bCs w:val="1"/>
          <w:i w:val="0"/>
          <w:iCs w:val="0"/>
          <w:smallCaps w:val="0"/>
          <w:strike w:val="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of their time on communication tasks that add no judgment value. We automate those tasks with a consistent, compliant, and personalized voice interaction — freeing your team to focus on the decisions that actually require human expertise.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7274169921875" w:line="240" w:lineRule="auto"/>
        <w:ind w:left="20.3399658203125" w:right="0" w:firstLine="0"/>
        <w:jc w:val="left"/>
        <w:rPr>
          <w:rFonts w:ascii="Arial" w:cs="Arial" w:eastAsia="Arial" w:hAnsi="Arial"/>
          <w:b w:val="1"/>
          <w:bCs w:val="1"/>
          <w:i w:val="0"/>
          <w:iCs w:val="0"/>
          <w:smallCaps w:val="0"/>
          <w:strike w:val="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Channels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884033203125" w:line="269.8724842071533" w:lineRule="auto"/>
        <w:ind w:left="380.5999755859375" w:right="226.220703125" w:firstLine="0"/>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LinkedIn Thought Leadership: Original research on the 'False Negative Tax' published quarterly </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Executive Roundtables: Hosted CPO dinners in New York, San Francisco, and London </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Industry Conferences: SHRM, LinkedIn Talent Connect, RecFest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701171875" w:line="229.88847255706787" w:lineRule="auto"/>
        <w:ind w:left="751.7999267578125" w:right="397.061767578125" w:hanging="371.199951171875"/>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Targeted LinkedIn Ads: CPO and Head of TA titles at organizations with 500+ employees and 10K+ annual hires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3995361328125" w:right="0"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ElevenLabs Voice Platform </w:t>
      </w: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 Speculative GTM Campaign: From Gatekeeper to Growth Partner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250732421875" w:line="240" w:lineRule="auto"/>
        <w:ind w:left="23.43994140625" w:right="0" w:firstLine="0"/>
        <w:jc w:val="left"/>
        <w:rPr>
          <w:rFonts w:ascii="Arial" w:cs="Arial" w:eastAsia="Arial" w:hAnsi="Arial"/>
          <w:b w:val="1"/>
          <w:bCs w:val="1"/>
          <w:i w:val="0"/>
          <w:iCs w:val="0"/>
          <w:smallCaps w:val="0"/>
          <w:strike w:val="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sz w:val="32"/>
          <w:szCs w:val="32"/>
          <w:u w:val="none"/>
          <w:shd w:fill="auto" w:val="clear"/>
          <w:vertAlign w:val="baseline"/>
          <w:rtl w:val="0"/>
        </w:rPr>
        <w:t xml:space="preserve">6. Measurement &amp; KPI Framework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97021484375" w:line="229.88847255706787" w:lineRule="auto"/>
        <w:ind w:left="23.2000732421875" w:right="0" w:firstLine="2.599945068359375"/>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Enterprise deals live and die on measurement. This section defines the KPIs, data sources, calculation methods, and audit windows that govern both the 90-day pilot and ongoing contract performance. All KPIs must be defined and baselined before pilot start — not after.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26708984375" w:line="240" w:lineRule="auto"/>
        <w:ind w:left="28.979949951171875" w:right="0" w:firstLine="0"/>
        <w:jc w:val="left"/>
        <w:rPr>
          <w:rFonts w:ascii="Arial" w:cs="Arial" w:eastAsia="Arial" w:hAnsi="Arial"/>
          <w:b w:val="1"/>
          <w:bCs w:val="1"/>
          <w:i w:val="0"/>
          <w:iCs w:val="0"/>
          <w:smallCaps w:val="0"/>
          <w:strike w:val="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sz w:val="26"/>
          <w:szCs w:val="26"/>
          <w:u w:val="none"/>
          <w:shd w:fill="auto" w:val="clear"/>
          <w:vertAlign w:val="baseline"/>
          <w:rtl w:val="0"/>
        </w:rPr>
        <w:t xml:space="preserve">Primary KPIs </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2100"/>
        <w:gridCol w:w="2600"/>
        <w:gridCol w:w="2460"/>
        <w:tblGridChange w:id="0">
          <w:tblGrid>
            <w:gridCol w:w="2200"/>
            <w:gridCol w:w="2100"/>
            <w:gridCol w:w="2600"/>
            <w:gridCol w:w="246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50006103515625" w:right="0" w:firstLine="0"/>
              <w:jc w:val="left"/>
              <w:rPr>
                <w:rFonts w:ascii="Arial" w:cs="Arial" w:eastAsia="Arial" w:hAnsi="Arial"/>
                <w:b w:val="1"/>
                <w:bCs w:val="1"/>
                <w:i w:val="0"/>
                <w:iCs w:val="0"/>
                <w:smallCaps w:val="0"/>
                <w:strike w:val="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KPI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95989990234375" w:right="0" w:firstLine="0"/>
              <w:jc w:val="left"/>
              <w:rPr>
                <w:rFonts w:ascii="Arial" w:cs="Arial" w:eastAsia="Arial" w:hAnsi="Arial"/>
                <w:b w:val="1"/>
                <w:bCs w:val="1"/>
                <w:i w:val="0"/>
                <w:iCs w:val="0"/>
                <w:smallCaps w:val="0"/>
                <w:strike w:val="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Definition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960205078125" w:right="0" w:firstLine="0"/>
              <w:jc w:val="left"/>
              <w:rPr>
                <w:rFonts w:ascii="Arial" w:cs="Arial" w:eastAsia="Arial" w:hAnsi="Arial"/>
                <w:b w:val="1"/>
                <w:bCs w:val="1"/>
                <w:i w:val="0"/>
                <w:iCs w:val="0"/>
                <w:smallCaps w:val="0"/>
                <w:strike w:val="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Data Source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4600830078125" w:right="0" w:firstLine="0"/>
              <w:jc w:val="left"/>
              <w:rPr>
                <w:rFonts w:ascii="Arial" w:cs="Arial" w:eastAsia="Arial" w:hAnsi="Arial"/>
                <w:b w:val="1"/>
                <w:bCs w:val="1"/>
                <w:i w:val="0"/>
                <w:iCs w:val="0"/>
                <w:smallCaps w:val="0"/>
                <w:strike w:val="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Calculation</w:t>
            </w:r>
          </w:p>
        </w:tc>
      </w:tr>
      <w:tr>
        <w:trPr>
          <w:cantSplit w:val="0"/>
          <w:trHeight w:val="9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22897911071777" w:lineRule="auto"/>
              <w:ind w:left="157.92007446289062" w:right="351.46942138671875" w:hanging="4.420013427734375"/>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Candidate Experience NPS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919921875" w:right="0" w:firstLine="0"/>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Net Promoter Score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12231636047363" w:lineRule="auto"/>
              <w:ind w:left="155.27008056640625" w:right="202.762451171875" w:hanging="3.73992919921875"/>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from post-interaction survey sent 48hrs after coaching delivery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12231636047363" w:lineRule="auto"/>
              <w:ind w:left="161.2200927734375" w:right="324.8992919921875" w:firstLine="2.2100830078125"/>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ElevenLabs platform survey module; optional ATS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6669921875" w:line="240" w:lineRule="auto"/>
              <w:ind w:left="161.2200927734375" w:right="0" w:firstLine="0"/>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12231636047363" w:lineRule="auto"/>
              <w:ind w:left="148.909912109375" w:right="373.363037109375" w:firstLine="6.4599609375"/>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(Promoters - Detractors) / Total respondents × 100</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50006103515625" w:right="0" w:firstLine="0"/>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Candidate Complaint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43002319335938" w:right="0" w:firstLine="0"/>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919921875" w:right="0" w:firstLine="0"/>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Number of formal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62994384765625" w:right="0" w:firstLine="0"/>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complaints or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10062980651855" w:lineRule="auto"/>
              <w:ind w:left="156.1199951171875" w:right="303.13720703125" w:firstLine="0.16998291015625"/>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escalations per 1,000 applicants processed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12231636047363" w:lineRule="auto"/>
              <w:ind w:left="161.2200927734375" w:right="419.615478515625" w:hanging="11.2200927734375"/>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ATS support ticket log; HR helpdesk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499755859375" w:right="0" w:firstLine="0"/>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Complaints ÷ (Total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1199951171875" w:right="0" w:firstLine="0"/>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applicants ÷ 1,000)</w:t>
            </w:r>
          </w:p>
        </w:tc>
      </w:tr>
      <w:tr>
        <w:trPr>
          <w:cantSplit w:val="0"/>
          <w:trHeight w:val="1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64999389648438" w:right="0" w:firstLine="0"/>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Silver Medalist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43002319335938" w:right="0" w:firstLine="0"/>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Re-engagement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5992431640625" w:right="0" w:firstLine="0"/>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 of nurture-track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62994384765625" w:right="0" w:firstLine="0"/>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candidates who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05010986328125" w:right="0" w:firstLine="0"/>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respond to a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05010986328125" w:right="0" w:firstLine="0"/>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re-engagement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2200927734375" w:right="0" w:firstLine="0"/>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message or re-apply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50994873046875" w:right="0" w:firstLine="0"/>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within 6 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 w:right="0" w:firstLine="0"/>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ATS + CRM; ElevenLabs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2200927734375" w:right="0" w:firstLine="0"/>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nurture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12231636047363" w:lineRule="auto"/>
              <w:ind w:left="148.909912109375" w:right="254.6044921875" w:firstLine="9.520263671875"/>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Engaged silver medalists ÷ Total enrolled × 100</w:t>
            </w:r>
          </w:p>
        </w:tc>
      </w:tr>
      <w:tr>
        <w:trPr>
          <w:cantSplit w:val="0"/>
          <w:trHeight w:val="1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43002319335938" w:right="0" w:firstLine="0"/>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Recruiter Time Saved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 w:right="0" w:firstLine="0"/>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Average hours per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05010986328125" w:right="0" w:firstLine="0"/>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recruiter per week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2200927734375" w:right="0" w:firstLine="0"/>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previously spent on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2200927734375" w:right="0" w:firstLine="0"/>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manual candidate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5301513671875" w:right="0" w:firstLine="0"/>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follow-up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62994384765625" w:right="0" w:firstLine="0"/>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communication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43017578125" w:right="0" w:firstLine="0"/>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Recruiter time-tracking or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12231636047363" w:lineRule="auto"/>
              <w:ind w:left="161.2200927734375" w:right="158.0645751953125" w:firstLine="0"/>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manager estimate at baseline; post-pilot resurvey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4102783203125" w:right="0" w:firstLine="0"/>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sz w:val="17"/>
                <w:szCs w:val="17"/>
                <w:u w:val="none"/>
                <w:shd w:fill="auto" w:val="clear"/>
                <w:vertAlign w:val="baseline"/>
                <w:rtl w:val="0"/>
              </w:rPr>
              <w:t xml:space="preserve">Baseline hrs/week −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0902099609375" w:right="0" w:firstLine="0"/>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Post-pilot hrs/week</w:t>
            </w:r>
          </w:p>
        </w:tc>
      </w:tr>
    </w:tbl>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79949951171875" w:right="0" w:firstLine="0"/>
        <w:jc w:val="left"/>
        <w:rPr>
          <w:rFonts w:ascii="Arial" w:cs="Arial" w:eastAsia="Arial" w:hAnsi="Arial"/>
          <w:b w:val="1"/>
          <w:bCs w:val="1"/>
          <w:i w:val="0"/>
          <w:iCs w:val="0"/>
          <w:smallCaps w:val="0"/>
          <w:strike w:val="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sz w:val="26"/>
          <w:szCs w:val="26"/>
          <w:u w:val="none"/>
          <w:shd w:fill="auto" w:val="clear"/>
          <w:vertAlign w:val="baseline"/>
          <w:rtl w:val="0"/>
        </w:rPr>
        <w:t xml:space="preserve">Pilot Structure: 30/90 Baseline-and-Measure Protocol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852783203125" w:line="229.88847255706787" w:lineRule="auto"/>
        <w:ind w:left="23.2000732421875" w:right="453.048095703125" w:hanging="13.2000732421875"/>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All pilots follow a fixed two-phase structure. Deviations require written approval from both parties and must be documented in the pilot agreement.</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7560"/>
        <w:tblGridChange w:id="0">
          <w:tblGrid>
            <w:gridCol w:w="1800"/>
            <w:gridCol w:w="756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13995361328125" w:right="0" w:firstLine="0"/>
              <w:jc w:val="left"/>
              <w:rPr>
                <w:rFonts w:ascii="Arial" w:cs="Arial" w:eastAsia="Arial" w:hAnsi="Arial"/>
                <w:b w:val="1"/>
                <w:bCs w:val="1"/>
                <w:i w:val="0"/>
                <w:iCs w:val="0"/>
                <w:smallCaps w:val="0"/>
                <w:strike w:val="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Phase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5989990234375" w:right="0" w:firstLine="0"/>
              <w:jc w:val="left"/>
              <w:rPr>
                <w:rFonts w:ascii="Arial" w:cs="Arial" w:eastAsia="Arial" w:hAnsi="Arial"/>
                <w:b w:val="1"/>
                <w:bCs w:val="1"/>
                <w:i w:val="0"/>
                <w:iCs w:val="0"/>
                <w:smallCaps w:val="0"/>
                <w:strike w:val="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Description</w:t>
            </w:r>
          </w:p>
        </w:tc>
      </w:tr>
      <w:tr>
        <w:trPr>
          <w:cantSplit w:val="0"/>
          <w:trHeight w:val="9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sz w:val="17"/>
                <w:szCs w:val="17"/>
                <w:u w:val="none"/>
                <w:shd w:fill="auto" w:val="clear"/>
                <w:vertAlign w:val="baseline"/>
                <w:rtl w:val="0"/>
              </w:rPr>
              <w:t xml:space="preserve">Days 1-30Baseline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11509227752686" w:lineRule="auto"/>
              <w:ind w:left="151.1199951171875" w:right="116.15478515625" w:firstLine="6.7999267578125"/>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No ElevenLabs interventions are active. All four primary KPIs are measured against the customer's existing process using the agreed data sources. Baseline figures are locked in writing and countersigned by both parties before Phase 2 begins. This prevents retroactive disputes about what 'before' looked like.</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239990234375" w:right="0" w:firstLine="0"/>
              <w:jc w:val="left"/>
              <w:rPr>
                <w:rFonts w:ascii="Arial" w:cs="Arial" w:eastAsia="Arial" w:hAnsi="Arial"/>
                <w:b w:val="1"/>
                <w:bCs w:val="1"/>
                <w:i w:val="0"/>
                <w:iCs w:val="0"/>
                <w:smallCaps w:val="0"/>
                <w:strike w:val="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sz w:val="17"/>
                <w:szCs w:val="17"/>
                <w:u w:val="none"/>
                <w:shd w:fill="auto" w:val="clear"/>
                <w:vertAlign w:val="baseline"/>
                <w:rtl w:val="0"/>
              </w:rPr>
              <w:t xml:space="preserve">Days 31-120Pilot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66480445861816" w:lineRule="auto"/>
              <w:ind w:left="150.27008056640625" w:right="157.80517578125" w:firstLine="8.1597900390625"/>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ElevenLabs platform is live for the agreed candidate cohort (minimum: 500 candidates to ensure statistical significance). KPIs are tracked weekly via shared dashboard. Both parties have read access.</w:t>
            </w:r>
          </w:p>
        </w:tc>
      </w:tr>
      <w:tr>
        <w:trPr>
          <w:cantSplit w:val="0"/>
          <w:trHeight w:val="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239990234375" w:right="0" w:firstLine="0"/>
              <w:jc w:val="left"/>
              <w:rPr>
                <w:rFonts w:ascii="Arial" w:cs="Arial" w:eastAsia="Arial" w:hAnsi="Arial"/>
                <w:b w:val="1"/>
                <w:bCs w:val="1"/>
                <w:i w:val="0"/>
                <w:iCs w:val="0"/>
                <w:smallCaps w:val="0"/>
                <w:strike w:val="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sz w:val="17"/>
                <w:szCs w:val="17"/>
                <w:u w:val="none"/>
                <w:shd w:fill="auto" w:val="clear"/>
                <w:vertAlign w:val="baseline"/>
                <w:rtl w:val="0"/>
              </w:rPr>
              <w:t xml:space="preserve">Day 121Review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12231636047363" w:lineRule="auto"/>
              <w:ind w:left="150.780029296875" w:right="422.811279296875" w:firstLine="8.16009521484375"/>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Formal pilot review meeting. Results compared against baseline and against success criteria defined at contract signing. Commercial decision made based on agreed criteria — not retrospective negotiation.</w:t>
            </w:r>
          </w:p>
        </w:tc>
      </w:tr>
    </w:tbl>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3995361328125" w:right="0"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ElevenLabs Voice Platform </w:t>
      </w: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 Speculative GTM Campaign: From Gatekeeper to Growth Partner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971435546875" w:line="240" w:lineRule="auto"/>
        <w:ind w:left="28.979949951171875" w:right="0" w:firstLine="0"/>
        <w:jc w:val="left"/>
        <w:rPr>
          <w:rFonts w:ascii="Arial" w:cs="Arial" w:eastAsia="Arial" w:hAnsi="Arial"/>
          <w:b w:val="1"/>
          <w:bCs w:val="1"/>
          <w:i w:val="0"/>
          <w:iCs w:val="0"/>
          <w:smallCaps w:val="0"/>
          <w:strike w:val="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sz w:val="26"/>
          <w:szCs w:val="26"/>
          <w:u w:val="none"/>
          <w:shd w:fill="auto" w:val="clear"/>
          <w:vertAlign w:val="baseline"/>
          <w:rtl w:val="0"/>
        </w:rPr>
        <w:t xml:space="preserve">Pilot Success Criteria (Pre-Agreed at Signing)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8466796875" w:line="229.8689603805542" w:lineRule="auto"/>
        <w:ind w:left="17.79998779296875" w:right="534.376220703125" w:firstLine="1.199951171875"/>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Success criteria must be defined before the pilot starts. The following are recommended defaults — customers may negotiate different thresholds, but thresholds must be locked in the pilot agreement: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3193359375" w:line="269.8724842071533" w:lineRule="auto"/>
        <w:ind w:left="380.5999755859375" w:right="1871.864013671875" w:firstLine="0"/>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Candidate Experience NPS: improvement of +10 points or more vs. baseline </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Candidate Complaint Rate: reduction of 15% or more vs. baseline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0654296875" w:line="240" w:lineRule="auto"/>
        <w:ind w:left="380.5999755859375" w:right="0" w:firstLine="0"/>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Recruiter Time Saved: minimum 1.5 hours/recruiter/week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61279296875" w:line="240" w:lineRule="auto"/>
        <w:ind w:left="380.5999755859375" w:right="0" w:firstLine="0"/>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Silver Medalist Re-engagement: minimum 10% response rate to first nurture message</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4000244140625" w:right="0" w:firstLine="0"/>
              <w:jc w:val="left"/>
              <w:rPr>
                <w:rFonts w:ascii="Arial" w:cs="Arial" w:eastAsia="Arial" w:hAnsi="Arial"/>
                <w:b w:val="1"/>
                <w:bCs w:val="1"/>
                <w:i w:val="0"/>
                <w:iCs w:val="0"/>
                <w:smallCaps w:val="0"/>
                <w:strike w:val="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sz w:val="20"/>
                <w:szCs w:val="20"/>
                <w:u w:val="none"/>
                <w:shd w:fill="auto" w:val="clear"/>
                <w:vertAlign w:val="baseline"/>
                <w:rtl w:val="0"/>
              </w:rPr>
              <w:t xml:space="preserve">Dispute Prevention Note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21044921875" w:line="229.8993158340454" w:lineRule="auto"/>
              <w:ind w:left="203.86001586914062" w:right="476.46728515625" w:hanging="4.320068359375"/>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 The most common pilot failure mode is not technical — it is definitional. Customers and vendors disagree at Day 121 because success criteria were vague at Day 1.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88525390625" w:line="246.54848098754883" w:lineRule="auto"/>
              <w:ind w:left="199.53994750976562" w:right="265.5908203125"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 This protocol requires countersigned baseline figures and locked success thresholds before the pilot goes live. • If a customer is unwilling to agree to measurement criteria upfront, that is a commercial risk signal — not a product problem.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20263671875" w:line="229.87762928009033" w:lineRule="auto"/>
              <w:ind w:left="201.88003540039062" w:right="579.2791748046875" w:hanging="2.340087890625"/>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 Outcome bonus clauses (Section 4) are only available to customers who complete the full 30-day baseline phase.</w:t>
            </w:r>
          </w:p>
        </w:tc>
      </w:tr>
    </w:tbl>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3995361328125" w:right="0"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ElevenLabs Voice Platform </w:t>
      </w: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 Speculative GTM Campaign: From Gatekeeper to Growth Partner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250732421875" w:line="240" w:lineRule="auto"/>
        <w:ind w:left="23.43994140625" w:right="0" w:firstLine="0"/>
        <w:jc w:val="left"/>
        <w:rPr>
          <w:rFonts w:ascii="Arial" w:cs="Arial" w:eastAsia="Arial" w:hAnsi="Arial"/>
          <w:b w:val="1"/>
          <w:bCs w:val="1"/>
          <w:i w:val="0"/>
          <w:iCs w:val="0"/>
          <w:smallCaps w:val="0"/>
          <w:strike w:val="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sz w:val="32"/>
          <w:szCs w:val="32"/>
          <w:u w:val="none"/>
          <w:shd w:fill="auto" w:val="clear"/>
          <w:vertAlign w:val="baseline"/>
          <w:rtl w:val="0"/>
        </w:rPr>
        <w:t xml:space="preserve">7. Integration &amp; Operations Playbook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97021484375" w:line="229.88847255706787" w:lineRule="auto"/>
        <w:ind w:left="16.7999267578125" w:right="357.193603515625" w:firstLine="11.800079345703125"/>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Integration risk is the most common reason enterprise TA buyers delay or kill a purchase. This section defines the technical architecture, admin tooling, and prebuilt workflow configurations that reduce integration lift to a single-sprint deployment for most customers.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26708984375" w:line="240" w:lineRule="auto"/>
        <w:ind w:left="10" w:right="0" w:firstLine="0"/>
        <w:jc w:val="left"/>
        <w:rPr>
          <w:rFonts w:ascii="Arial" w:cs="Arial" w:eastAsia="Arial" w:hAnsi="Arial"/>
          <w:b w:val="1"/>
          <w:bCs w:val="1"/>
          <w:i w:val="0"/>
          <w:iCs w:val="0"/>
          <w:smallCaps w:val="0"/>
          <w:strike w:val="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sz w:val="26"/>
          <w:szCs w:val="26"/>
          <w:u w:val="none"/>
          <w:shd w:fill="auto" w:val="clear"/>
          <w:vertAlign w:val="baseline"/>
          <w:rtl w:val="0"/>
        </w:rPr>
        <w:t xml:space="preserve">ATS Connector Architecture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8466796875" w:line="229.88847255706787" w:lineRule="auto"/>
        <w:ind w:left="16.60003662109375" w:right="189.578857421875" w:firstLine="8.799896240234375"/>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Phase 1 connectors ship for Greenhouse, Lever, and Ashby — the three platforms covering the majority of our primary segment's ATS landscape. Each connector uses the same underlying webhook architecture: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8779296875" w:line="229.9079990386963" w:lineRule="auto"/>
        <w:ind w:left="738.800048828125" w:right="693.438720703125" w:hanging="358.2000732421875"/>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Webhooks listen for candidate status change events in the ATS (e.g., 'moved to Rejected', 'interview marked complete', 'candidate tagged as silver medalist').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0234375" w:line="229.88847255706787" w:lineRule="auto"/>
        <w:ind w:left="733.6000061035156" w:right="166.571044921875" w:hanging="353.0000305175781"/>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A single 'Send Coaching' API call triggers the appropriate template based on the event type and the role category configured by the admin.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8779296875" w:line="229.88847255706787" w:lineRule="auto"/>
        <w:ind w:left="743.2000732421875" w:right="177.523193359375" w:hanging="362.60009765625"/>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Delivery status (sent, opened, completed) is written back to the ATS candidate record as a note, maintaining a unified candidate timeline.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067138671875" w:line="229.9079990386963" w:lineRule="auto"/>
        <w:ind w:left="743.2000732421875" w:right="987.54638671875" w:hanging="362.60009765625"/>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No candidate PII leaves the customer's ATS environment — the API call passes only a pseudonymized candidate ID, role category, and event type.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25" w:line="240" w:lineRule="auto"/>
        <w:ind w:left="30.019989013671875" w:right="0" w:firstLine="0"/>
        <w:jc w:val="left"/>
        <w:rPr>
          <w:rFonts w:ascii="Arial" w:cs="Arial" w:eastAsia="Arial" w:hAnsi="Arial"/>
          <w:b w:val="1"/>
          <w:bCs w:val="1"/>
          <w:i w:val="0"/>
          <w:iCs w:val="0"/>
          <w:smallCaps w:val="0"/>
          <w:strike w:val="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sz w:val="26"/>
          <w:szCs w:val="26"/>
          <w:u w:val="none"/>
          <w:shd w:fill="auto" w:val="clear"/>
          <w:vertAlign w:val="baseline"/>
          <w:rtl w:val="0"/>
        </w:rPr>
        <w:t xml:space="preserve">Low-Code Admin Console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657470703125" w:line="229.88847255706787" w:lineRule="auto"/>
        <w:ind w:left="17.79998779296875" w:right="730.6744384765625" w:firstLine="8.000030517578125"/>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Recruiting Ops teams can configure the full workflow without engineering involvement. The admin console provides: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067138671875" w:line="229.88847255706787" w:lineRule="auto"/>
        <w:ind w:left="743.0000305175781" w:right="54.906005859375" w:hanging="362.4000549316406"/>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Trigger Mapping: a visual interface to map ATS status changes to coaching templates — no code required.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067138671875" w:line="229.88847255706787" w:lineRule="auto"/>
        <w:ind w:left="736.6000366210938" w:right="422.144775390625" w:hanging="356.00006103515625"/>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Template Library: pre-approved, EEOC-reviewed templates organized by role category (Technical, Operations, Sales, Corporate). Customers can add custom templates subject to a one-time legal review workflow built into the console.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067138671875" w:line="229.88847255706787" w:lineRule="auto"/>
        <w:ind w:left="743.2000732421875" w:right="98.35205078125" w:hanging="362.60009765625"/>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Cohort Controls: configurable rules for which candidates receive coaching (e.g., 'all rejected after phone screen', 'candidates who scored above 70% on skills assessment only').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067138671875" w:line="229.88847255706787" w:lineRule="auto"/>
        <w:ind w:left="736.199951171875" w:right="255.697021484375" w:hanging="355.5999755859375"/>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Dashboard: real-time view of coaching delivery rates, NPS scores, and complaint tickets — the same view used for KPI reporting.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2664794921875" w:line="240" w:lineRule="auto"/>
        <w:ind w:left="28.979949951171875" w:right="0" w:firstLine="0"/>
        <w:jc w:val="left"/>
        <w:rPr>
          <w:rFonts w:ascii="Arial" w:cs="Arial" w:eastAsia="Arial" w:hAnsi="Arial"/>
          <w:b w:val="1"/>
          <w:bCs w:val="1"/>
          <w:i w:val="0"/>
          <w:iCs w:val="0"/>
          <w:smallCaps w:val="0"/>
          <w:strike w:val="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sz w:val="26"/>
          <w:szCs w:val="26"/>
          <w:u w:val="none"/>
          <w:shd w:fill="auto" w:val="clear"/>
          <w:vertAlign w:val="baseline"/>
          <w:rtl w:val="0"/>
        </w:rPr>
        <w:t xml:space="preserve">Prebuilt Event Flows</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3160"/>
        <w:gridCol w:w="3800"/>
        <w:tblGridChange w:id="0">
          <w:tblGrid>
            <w:gridCol w:w="2400"/>
            <w:gridCol w:w="3160"/>
            <w:gridCol w:w="380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32000732421875" w:right="0" w:firstLine="0"/>
              <w:jc w:val="left"/>
              <w:rPr>
                <w:rFonts w:ascii="Arial" w:cs="Arial" w:eastAsia="Arial" w:hAnsi="Arial"/>
                <w:b w:val="1"/>
                <w:bCs w:val="1"/>
                <w:i w:val="0"/>
                <w:iCs w:val="0"/>
                <w:smallCaps w:val="0"/>
                <w:strike w:val="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7799072265625" w:right="0" w:firstLine="0"/>
              <w:jc w:val="left"/>
              <w:rPr>
                <w:rFonts w:ascii="Arial" w:cs="Arial" w:eastAsia="Arial" w:hAnsi="Arial"/>
                <w:b w:val="1"/>
                <w:bCs w:val="1"/>
                <w:i w:val="0"/>
                <w:iCs w:val="0"/>
                <w:smallCaps w:val="0"/>
                <w:strike w:val="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Trigger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7398681640625" w:right="0" w:firstLine="0"/>
              <w:jc w:val="left"/>
              <w:rPr>
                <w:rFonts w:ascii="Arial" w:cs="Arial" w:eastAsia="Arial" w:hAnsi="Arial"/>
                <w:b w:val="1"/>
                <w:bCs w:val="1"/>
                <w:i w:val="0"/>
                <w:iCs w:val="0"/>
                <w:smallCaps w:val="0"/>
                <w:strike w:val="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Output &amp; Controls</w:t>
            </w:r>
          </w:p>
        </w:tc>
      </w:tr>
      <w:tr>
        <w:trPr>
          <w:cantSplit w:val="0"/>
          <w:trHeight w:val="11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93997192382812" w:right="0" w:firstLine="0"/>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sz w:val="17"/>
                <w:szCs w:val="17"/>
                <w:u w:val="none"/>
                <w:shd w:fill="auto" w:val="clear"/>
                <w:vertAlign w:val="baseline"/>
                <w:rtl w:val="0"/>
              </w:rPr>
              <w:t xml:space="preserve">Flow 1: Rejection →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50006103515625" w:right="0" w:firstLine="0"/>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Coaching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66480445861816" w:lineRule="auto"/>
              <w:ind w:left="148.05999755859375" w:right="171.802978515625" w:hanging="3.05999755859375"/>
              <w:jc w:val="both"/>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ATS status change: candidate moved to 'Rejected' at any stage after phone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8935604095459" w:lineRule="auto"/>
              <w:ind w:left="155.269775390625" w:right="183.782958984375" w:firstLine="3.22998046875"/>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Candidate receives a role-agnostic voice coaching session within 24 hours. Template selected by role category. Recruiter sees delivery confirmation in ATS. Opt-out honored immediately.</w:t>
            </w:r>
          </w:p>
        </w:tc>
      </w:tr>
      <w:tr>
        <w:trPr>
          <w:cantSplit w:val="0"/>
          <w:trHeight w:val="1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10062980651855" w:lineRule="auto"/>
              <w:ind w:left="153.50006103515625" w:right="309.69757080078125" w:firstLine="5.439910888671875"/>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sz w:val="17"/>
                <w:szCs w:val="17"/>
                <w:u w:val="none"/>
                <w:shd w:fill="auto" w:val="clear"/>
                <w:vertAlign w:val="baseline"/>
                <w:rtl w:val="0"/>
              </w:rPr>
              <w:t xml:space="preserve">Flow 2: Post-Interview → Coaching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10062980651855" w:lineRule="auto"/>
              <w:ind w:left="152.4798583984375" w:right="181.676025390625" w:hanging="7.4798583984375"/>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ATS status change: interview marked 'Complete' regardless of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11509227752686" w:lineRule="auto"/>
              <w:ind w:left="150" w:right="305.51025390625" w:firstLine="8.499755859375"/>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Candidate receives a 'General Development Areas' summary based on role category. Framed as professional development, not evaluation feedback. Delivered to all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2479248046875" w:line="217.12231636047363" w:lineRule="auto"/>
              <w:ind w:left="150" w:right="306.405029296875" w:firstLine="11.2200927734375"/>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interviewed candidates — not just rejections — to reinforce brand equity.</w:t>
            </w:r>
          </w:p>
        </w:tc>
      </w:tr>
    </w:tbl>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3995361328125" w:right="0"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ElevenLabs Voice Platform </w:t>
      </w: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 Speculative GTM Campaign: From Gatekeeper to Growth Partner </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3160"/>
        <w:gridCol w:w="3800"/>
        <w:tblGridChange w:id="0">
          <w:tblGrid>
            <w:gridCol w:w="2400"/>
            <w:gridCol w:w="3160"/>
            <w:gridCol w:w="3800"/>
          </w:tblGrid>
        </w:tblGridChange>
      </w:tblGrid>
      <w:tr>
        <w:trPr>
          <w:cantSplit w:val="0"/>
          <w:trHeight w:val="11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12231636047363" w:lineRule="auto"/>
              <w:ind w:left="157.92007446289062" w:right="281.405029296875" w:firstLine="1.0198974609375"/>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sz w:val="17"/>
                <w:szCs w:val="17"/>
                <w:u w:val="none"/>
                <w:shd w:fill="auto" w:val="clear"/>
                <w:vertAlign w:val="baseline"/>
                <w:rtl w:val="0"/>
              </w:rPr>
              <w:t xml:space="preserve">Flow 3: Silver Medalist → Nurture Track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11509227752686" w:lineRule="auto"/>
              <w:ind w:left="151.1199951171875" w:right="219.16259765625" w:firstLine="2.38006591796875"/>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Candidate tagged as 'Silver Medalist' in ATS (manual or rule-based), or automatically when they meet a configurable quality threshold.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1169090270996" w:lineRule="auto"/>
              <w:ind w:left="155.269775390625" w:right="149.029541015625" w:firstLine="3.22998046875"/>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Candidate enters a GDPR-compliant nurture sequence: Month 1 check-in, Month 3 relevant role alert, Month 6 re-engagement. Frequency and content fully configurable. Unsubscribe honored within 24 hours.</w:t>
            </w:r>
          </w:p>
        </w:tc>
      </w:tr>
    </w:tbl>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719940185546875" w:right="0" w:firstLine="0"/>
        <w:jc w:val="left"/>
        <w:rPr>
          <w:rFonts w:ascii="Arial" w:cs="Arial" w:eastAsia="Arial" w:hAnsi="Arial"/>
          <w:b w:val="1"/>
          <w:bCs w:val="1"/>
          <w:i w:val="0"/>
          <w:iCs w:val="0"/>
          <w:smallCaps w:val="0"/>
          <w:strike w:val="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sz w:val="26"/>
          <w:szCs w:val="26"/>
          <w:u w:val="none"/>
          <w:shd w:fill="auto" w:val="clear"/>
          <w:vertAlign w:val="baseline"/>
          <w:rtl w:val="0"/>
        </w:rPr>
        <w:t xml:space="preserve">Deployment Timeline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6513671875" w:line="229.88847255706787" w:lineRule="auto"/>
        <w:ind w:left="736.199951171875" w:right="650.99853515625" w:hanging="355.5999755859375"/>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Week 1-2: ATS connector configuration, admin console setup, template selection and legal sign-off.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0732421875" w:line="229.9079990386963" w:lineRule="auto"/>
        <w:ind w:left="743.2000732421875" w:right="221.741943359375" w:hanging="362.60009765625"/>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Week 3: Baseline KPI measurement begins (30-day baseline phase). Platform is configured but not yet live.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70703125" w:line="240" w:lineRule="auto"/>
        <w:ind w:left="380.5999755859375" w:right="0" w:firstLine="0"/>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Week 7: Baseline locked, countersigned. Platform goes live for pilot cohort.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80810546875" w:line="240" w:lineRule="auto"/>
        <w:ind w:left="380.5999755859375" w:right="0" w:firstLine="0"/>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Week 7-19: Active pilot. Weekly KPI reporting via shared dashboard.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80810546875" w:line="240" w:lineRule="auto"/>
        <w:ind w:left="380.5999755859375" w:right="0" w:firstLine="0"/>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Week 20: Pilot review meeting. Commercial decision based on pre-agreed success criteria.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041748046875" w:line="204.3453025817871" w:lineRule="auto"/>
        <w:ind w:left="15.279998779296875" w:right="626.5911865234375" w:firstLine="2.559967041015625"/>
        <w:jc w:val="left"/>
        <w:rPr>
          <w:rFonts w:ascii="Arial" w:cs="Arial" w:eastAsia="Arial" w:hAnsi="Arial"/>
          <w:b w:val="0"/>
          <w:bCs w:val="0"/>
          <w:i w:val="1"/>
          <w:iCs w:val="1"/>
          <w:smallCaps w:val="0"/>
          <w:strike w:val="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sz w:val="16"/>
          <w:szCs w:val="16"/>
          <w:u w:val="none"/>
          <w:shd w:fill="auto" w:val="clear"/>
          <w:vertAlign w:val="baseline"/>
          <w:rtl w:val="0"/>
        </w:rPr>
        <w:t xml:space="preserve">Note: Timeline assumes customer ATS admin access is provided in Week 1 and legal template review is completed within 5 business days. Delays in either will extend the deployment timeline.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444580078125" w:line="240" w:lineRule="auto"/>
        <w:ind w:left="28.979949951171875" w:right="0" w:firstLine="0"/>
        <w:jc w:val="left"/>
        <w:rPr>
          <w:rFonts w:ascii="Arial" w:cs="Arial" w:eastAsia="Arial" w:hAnsi="Arial"/>
          <w:b w:val="1"/>
          <w:bCs w:val="1"/>
          <w:i w:val="0"/>
          <w:iCs w:val="0"/>
          <w:smallCaps w:val="0"/>
          <w:strike w:val="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sz w:val="26"/>
          <w:szCs w:val="26"/>
          <w:u w:val="none"/>
          <w:shd w:fill="auto" w:val="clear"/>
          <w:vertAlign w:val="baseline"/>
          <w:rtl w:val="0"/>
        </w:rPr>
        <w:t xml:space="preserve">Error Handling &amp; Reliability Spec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657470703125" w:line="229.88847255706787" w:lineRule="auto"/>
        <w:ind w:left="12.599945068359375" w:right="141.552734375" w:firstLine="2.0001220703125"/>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The integration playbook is only complete if it specifies what happens when things go wrong. Each ATS vendor has different rate limits, webhook reliability, and field mapping quirks. The following spec governs all three connector implementations:</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960"/>
        <w:tblGridChange w:id="0">
          <w:tblGrid>
            <w:gridCol w:w="2400"/>
            <w:gridCol w:w="696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32000732421875" w:right="0" w:firstLine="0"/>
              <w:jc w:val="left"/>
              <w:rPr>
                <w:rFonts w:ascii="Arial" w:cs="Arial" w:eastAsia="Arial" w:hAnsi="Arial"/>
                <w:b w:val="1"/>
                <w:bCs w:val="1"/>
                <w:i w:val="0"/>
                <w:iCs w:val="0"/>
                <w:smallCaps w:val="0"/>
                <w:strike w:val="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Failure Scenario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13995361328125" w:right="0" w:firstLine="0"/>
              <w:jc w:val="left"/>
              <w:rPr>
                <w:rFonts w:ascii="Arial" w:cs="Arial" w:eastAsia="Arial" w:hAnsi="Arial"/>
                <w:b w:val="1"/>
                <w:bCs w:val="1"/>
                <w:i w:val="0"/>
                <w:iCs w:val="0"/>
                <w:smallCaps w:val="0"/>
                <w:strike w:val="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Handling Specification</w:t>
            </w:r>
          </w:p>
        </w:tc>
      </w:tr>
      <w:tr>
        <w:trPr>
          <w:cantSplit w:val="0"/>
          <w:trHeight w:val="9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03994750976562" w:right="0" w:firstLine="0"/>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Webhook delivery failure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81729888916016" w:lineRule="auto"/>
              <w:ind w:left="150.780029296875" w:right="115.693359375" w:hanging="5.780029296875"/>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Automatic retry: 3 attempts at 5-minute intervals. If all fail, event is written to a dead-letter queue (DLQ) with full payload. Recruiting Ops receives an alert within 15 minutes of first failure. DLQ is reviewed and replayed manually or automatically within 24 hours.</w:t>
            </w:r>
          </w:p>
        </w:tc>
      </w:tr>
      <w:tr>
        <w:trPr>
          <w:cantSplit w:val="0"/>
          <w:trHeight w:val="1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22897911071777" w:lineRule="auto"/>
              <w:ind w:left="155.37002563476562" w:right="242.9864501953125" w:firstLine="2.72003173828125"/>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Duplicate webhook events (idempotency)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11798191070557" w:lineRule="auto"/>
              <w:ind w:left="148.05999755859375" w:right="127.16552734375" w:firstLine="10.369873046875"/>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Every coaching send is keyed on a unique event ID composed of: candidate pseudonym + ATS event type + requisition ID + timestamp window (1-hour bucket). If the same event ID is received more than once — due to ATS retry behaviour or network duplication — the second and subsequent sends are deduplicated and discarded. The audit log records the duplicate receipt and the deduplication action. A candidate will never receive the same coaching interaction twice from a single trigger event.</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ATS rate limit exceeded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1114730834961" w:lineRule="auto"/>
              <w:ind w:left="152.650146484375" w:right="171.864013671875" w:firstLine="5.77972412109375"/>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Exponential backoff: 30s, 2min, 8min. Coaching sends are queued and processed in FIFO order once the rate window resets. Candidate receives coaching within the agreed SLA window (default: 24 hours) even if delivery is delayed.</w:t>
            </w:r>
          </w:p>
        </w:tc>
      </w:tr>
      <w:tr>
        <w:trPr>
          <w:cantSplit w:val="0"/>
          <w:trHeight w:val="1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91006469726562" w:right="0" w:firstLine="0"/>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Template not found /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21994018554688" w:right="0" w:firstLine="0"/>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misconfigured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89691162109375" w:line="228.22897911071777" w:lineRule="auto"/>
              <w:ind w:left="156.21994018554688" w:right="183.08349609375" w:hanging="2.719879150390625"/>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Candidate opt-out received mid-sequence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12231636047363" w:lineRule="auto"/>
              <w:ind w:left="145.50994873046875" w:right="98.602294921875" w:firstLine="7.9901123046875"/>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Coaching send is halted for the affected candidate. Event is flagged in the admin console with the specific error. No fallback to an unapproved template — silence is preferable to non-compliant content. Ops receives an alert within 5 minutes.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67138671875" w:line="217.12231636047363" w:lineRule="auto"/>
              <w:ind w:left="148.05999755859375" w:right="117.8759765625" w:firstLine="5.10009765625"/>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Opt-out is honored within 1 hour. All pending sends for that candidate are cancelled from the queue. Opt-out status is written back to the ATS candidate record. Reversal requires explicit candidate re-opt-in — not recruiter override.</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ATS field mapping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21994018554688" w:right="0" w:firstLine="0"/>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mismatch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12231636047363" w:lineRule="auto"/>
              <w:ind w:left="145" w:right="100.758056640625" w:firstLine="8.50006103515625"/>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Connector logs the unmapped field and continues processing with available fields. Admin console surfaces unmapped fields in a weekly 'Field Mapping Health' report. Does not halt delivery unless a required compliance field (template ID, cohort) is missing.</w:t>
            </w:r>
          </w:p>
        </w:tc>
      </w:tr>
    </w:tbl>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3995361328125" w:right="0"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ElevenLabs Voice Platform </w:t>
      </w: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 Speculative GTM Campaign: From Gatekeeper to Growth Partner</w:t>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960"/>
        <w:tblGridChange w:id="0">
          <w:tblGrid>
            <w:gridCol w:w="2400"/>
            <w:gridCol w:w="6960"/>
          </w:tblGrid>
        </w:tblGridChange>
      </w:tblGrid>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22897911071777" w:lineRule="auto"/>
              <w:ind w:left="156.04995727539062" w:right="369.53369140625" w:firstLine="2.04010009765625"/>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Delivery confirmation not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12231636047363" w:lineRule="auto"/>
              <w:ind w:left="145" w:right="313.677978515625" w:firstLine="15.8099365234375"/>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sz w:val="17"/>
                <w:szCs w:val="17"/>
                <w:rtl w:val="0"/>
              </w:rPr>
              <w:t xml:space="preserve">If the delivery</w:t>
            </w: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 receipt is not received within 2 hours, the system marks the send as 'unconfirmed' (not 'failed'). Unconfirmed sends are excluded from NPS survey triggers. Audit log records the unconfirmed status — never assumes successful delivery.</w:t>
            </w:r>
          </w:p>
        </w:tc>
      </w:tr>
    </w:tbl>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3.60000610351562" w:right="0" w:firstLine="0"/>
              <w:jc w:val="left"/>
              <w:rPr>
                <w:rFonts w:ascii="Arial" w:cs="Arial" w:eastAsia="Arial" w:hAnsi="Arial"/>
                <w:b w:val="1"/>
                <w:bCs w:val="1"/>
                <w:i w:val="0"/>
                <w:iCs w:val="0"/>
                <w:smallCaps w:val="0"/>
                <w:strike w:val="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sz w:val="20"/>
                <w:szCs w:val="20"/>
                <w:u w:val="none"/>
                <w:shd w:fill="auto" w:val="clear"/>
                <w:vertAlign w:val="baseline"/>
                <w:rtl w:val="0"/>
              </w:rPr>
              <w:t xml:space="preserve">Implementation Go-Live Checklist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01513671875" w:line="240" w:lineRule="auto"/>
              <w:ind w:left="199.53994750976562" w:right="0"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 API keys provisioned and scoped to minimum required permissions.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32373046875" w:line="240" w:lineRule="auto"/>
              <w:ind w:left="199.53994750976562" w:right="0"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 Field mapping sheet completed and reviewed by Recruiting Ops lead.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12841796875" w:line="263.2193183898926" w:lineRule="auto"/>
              <w:ind w:left="199.53994750976562" w:right="2067.255859375"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 Test candidate dataset (minimum 10 records) processed successfully in sandbox mode. • All three prebuilt flows tested end-to-end in sandbox; delivery confirmations received.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8291015625" w:line="240" w:lineRule="auto"/>
              <w:ind w:left="199.53994750976562" w:right="0"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 Dead-letter queue alerting configured and tested (confirm Ops receives alert).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32373046875" w:line="240" w:lineRule="auto"/>
              <w:ind w:left="199.53994750976562" w:right="0"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 Opt-out flow tested: confirm ATS write-back occurs within 1 hour.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12841796875" w:line="240" w:lineRule="auto"/>
              <w:ind w:left="199.53994750976562" w:right="0"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 Compliance templates selected, legal sign-off documented in admin console.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32373046875" w:line="240" w:lineRule="auto"/>
              <w:ind w:left="199.53994750976562" w:right="0"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 Go-live checklist countersigned by Recruiting Ops lead and ElevenLabs Implementation Manager.</w:t>
            </w:r>
          </w:p>
        </w:tc>
      </w:tr>
    </w:tbl>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3995361328125" w:right="0"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ElevenLabs Voice Platform </w:t>
      </w: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 Speculative GTM Campaign: From Gatekeeper to Growth Partner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250732421875" w:line="240" w:lineRule="auto"/>
        <w:ind w:left="23.119964599609375" w:right="0" w:firstLine="0"/>
        <w:jc w:val="left"/>
        <w:rPr>
          <w:rFonts w:ascii="Arial" w:cs="Arial" w:eastAsia="Arial" w:hAnsi="Arial"/>
          <w:b w:val="1"/>
          <w:bCs w:val="1"/>
          <w:i w:val="0"/>
          <w:iCs w:val="0"/>
          <w:smallCaps w:val="0"/>
          <w:strike w:val="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sz w:val="32"/>
          <w:szCs w:val="32"/>
          <w:u w:val="none"/>
          <w:shd w:fill="auto" w:val="clear"/>
          <w:vertAlign w:val="baseline"/>
          <w:rtl w:val="0"/>
        </w:rPr>
        <w:t xml:space="preserve">8. PLG Live Audit — Enterprise Conversion Path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97021484375" w:line="229.88847255706787" w:lineRule="auto"/>
        <w:ind w:left="11.7999267578125" w:right="288.95751953125" w:firstLine="2.800140380859375"/>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The Live Audit tool is the top-of-funnel PLG motion. Its value is not just lead generation — it is qualification. A TA leader who completes the audit has self-identified as having a candidate experience problem, understands their specific gap, and has received a quantified cost estimate. That is a fundamentally warmer lead than any outbound sequence can produce.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26708984375" w:line="240" w:lineRule="auto"/>
        <w:ind w:left="15.460052490234375" w:right="0" w:firstLine="0"/>
        <w:jc w:val="left"/>
        <w:rPr>
          <w:rFonts w:ascii="Arial" w:cs="Arial" w:eastAsia="Arial" w:hAnsi="Arial"/>
          <w:b w:val="1"/>
          <w:bCs w:val="1"/>
          <w:i w:val="0"/>
          <w:iCs w:val="0"/>
          <w:smallCaps w:val="0"/>
          <w:strike w:val="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sz w:val="26"/>
          <w:szCs w:val="26"/>
          <w:u w:val="none"/>
          <w:shd w:fill="auto" w:val="clear"/>
          <w:vertAlign w:val="baseline"/>
          <w:rtl w:val="0"/>
        </w:rPr>
        <w:t xml:space="preserve">Terminology: Audience-Calibrated Language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8466796875" w:line="229.88847255706787" w:lineRule="auto"/>
        <w:ind w:left="13.600006103515625" w:right="122.03369140625" w:firstLine="5.200042724609375"/>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'False Negative Tax' and 'Pipeline Recovery Opportunity' describe the same underlying calculation. Each term is optimised for a different audience — sales teams must know which to deploy and when: </w:t>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2820"/>
        <w:gridCol w:w="3960"/>
        <w:tblGridChange w:id="0">
          <w:tblGrid>
            <w:gridCol w:w="2580"/>
            <w:gridCol w:w="2820"/>
            <w:gridCol w:w="396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78005981445312" w:right="0" w:firstLine="0"/>
              <w:jc w:val="left"/>
              <w:rPr>
                <w:rFonts w:ascii="Arial" w:cs="Arial" w:eastAsia="Arial" w:hAnsi="Arial"/>
                <w:b w:val="1"/>
                <w:bCs w:val="1"/>
                <w:i w:val="0"/>
                <w:iCs w:val="0"/>
                <w:smallCaps w:val="0"/>
                <w:strike w:val="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Term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95989990234375" w:right="0" w:firstLine="0"/>
              <w:jc w:val="left"/>
              <w:rPr>
                <w:rFonts w:ascii="Arial" w:cs="Arial" w:eastAsia="Arial" w:hAnsi="Arial"/>
                <w:b w:val="1"/>
                <w:bCs w:val="1"/>
                <w:i w:val="0"/>
                <w:iCs w:val="0"/>
                <w:smallCaps w:val="0"/>
                <w:strike w:val="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Use 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1402587890625" w:right="0" w:firstLine="0"/>
              <w:jc w:val="left"/>
              <w:rPr>
                <w:rFonts w:ascii="Arial" w:cs="Arial" w:eastAsia="Arial" w:hAnsi="Arial"/>
                <w:b w:val="1"/>
                <w:bCs w:val="1"/>
                <w:i w:val="0"/>
                <w:iCs w:val="0"/>
                <w:smallCaps w:val="0"/>
                <w:strike w:val="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Rationale</w:t>
            </w:r>
          </w:p>
        </w:tc>
      </w:tr>
      <w:tr>
        <w:trPr>
          <w:cantSplit w:val="0"/>
          <w:trHeight w:val="9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93997192382812" w:right="0" w:firstLine="0"/>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False Negative Tax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909912109375" w:right="0" w:firstLine="0"/>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Thought leadership, CPO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66480445861816" w:lineRule="auto"/>
              <w:ind w:left="171.05010986328125" w:right="229.1558837890625" w:hanging="0.16998291015625"/>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roundtables, LinkedIn content, Live Audit tool output, executive narrative.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11509227752686" w:lineRule="auto"/>
              <w:ind w:left="145.51025390625" w:right="272.862548828125" w:firstLine="12.919921875"/>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Emotionally resonant framing. 'Tax' implies a cost the organization is unknowingly paying — creates urgency. Effective in narrative contexts where the goal is to shift mental models.</w:t>
            </w:r>
          </w:p>
        </w:tc>
      </w:tr>
      <w:tr>
        <w:trPr>
          <w:cantSplit w:val="0"/>
          <w:trHeight w:val="9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Pipeline Recovery Opportunity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10062980651855" w:lineRule="auto"/>
              <w:ind w:left="171.2200927734375" w:right="415.7769775390625" w:hanging="3.5699462890625"/>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SOW, procurement contracts, pilot agreements, finance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20703125" w:line="240" w:lineRule="auto"/>
              <w:ind w:left="171.2200927734375" w:right="0" w:firstLine="0"/>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presentations, ROI calculator.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11509227752686" w:lineRule="auto"/>
              <w:ind w:left="146.5301513671875" w:right="213.536376953125" w:firstLine="11.56005859375"/>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Procurement-neutral language. Finance teams respond to 'opportunity' framing rather than 'tax' framing. Removes the risk of the term sounding like invented jargon in a legal document.</w:t>
            </w:r>
          </w:p>
        </w:tc>
      </w:tr>
    </w:tbl>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599945068359375" w:right="152.67822265625" w:firstLine="12.0001220703125"/>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Both terms must always be accompanied by a dollarised example. Abstract percentages do not move procurement decisions — a specific, credible dollar figure does. Example: 'Based on your application volume of 15,000/month, your estimated Pipeline Recovery Opportunity is $2.3M annually in re-sourcing cost avoidance and reduced offer decline rates.'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9676513671875" w:line="229.9079990386963" w:lineRule="auto"/>
        <w:ind w:left="23.2000732421875" w:right="271.199951171875" w:hanging="8.600006103515625"/>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The audit tool must produce a credible, enterprise-shareable report — not a marketing quiz. The output includes: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90234375" w:line="229.88847255706787" w:lineRule="auto"/>
        <w:ind w:left="731.7999267578125" w:right="310.36376953125" w:hanging="351.199951171875"/>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Candidate Experience Score: a composite score benchmarked against industry peers, derived from the CandE 2023 dataset and updated annually. Methodology appendix included in the downloadable report.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067138671875" w:line="229.88847255706787" w:lineRule="auto"/>
        <w:ind w:left="737.2000122070312" w:right="13.4228515625" w:hanging="356.60003662109375"/>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False Negative Tax Estimate: a quantified estimate of the annual cost of poor candidate communication, calculated from the organization's self-reported application volume, rejection rate, and average cost-per-hire. Formula is disclosed in the methodology appendix.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262451171875" w:line="229.8689603805542" w:lineRule="auto"/>
        <w:ind w:left="743.2000732421875" w:right="670.689697265625" w:hanging="362.60009765625"/>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Brand Risk Index: a relative risk score based on Glassdoor rating trajectory norms for their industry and company size cohort.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2288818359375" w:line="229.88847255706787" w:lineRule="auto"/>
        <w:ind w:left="737.2000122070312" w:right="121.773681640625" w:hanging="356.60003662109375"/>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Gap-to-Top-Quartile Report: a one-page summary showing the delta between their current score and top-quartile performance, with three specific, actionable improvement areas.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2664794921875" w:line="240" w:lineRule="auto"/>
        <w:ind w:left="29.239959716796875" w:right="0" w:firstLine="0"/>
        <w:jc w:val="left"/>
        <w:rPr>
          <w:rFonts w:ascii="Arial" w:cs="Arial" w:eastAsia="Arial" w:hAnsi="Arial"/>
          <w:b w:val="1"/>
          <w:bCs w:val="1"/>
          <w:i w:val="0"/>
          <w:iCs w:val="0"/>
          <w:smallCaps w:val="0"/>
          <w:strike w:val="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sz w:val="26"/>
          <w:szCs w:val="26"/>
          <w:u w:val="none"/>
          <w:shd w:fill="auto" w:val="clear"/>
          <w:vertAlign w:val="baseline"/>
          <w:rtl w:val="0"/>
        </w:rPr>
        <w:t xml:space="preserve">False Negative Tax: Calculation Methodology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8497314453125" w:line="229.8689603805542" w:lineRule="auto"/>
        <w:ind w:left="16.199951171875" w:right="152.099609375" w:hanging="1.599884033203125"/>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The False Negative Tax is the headline number in the audit output and the most important number in the sales narrative. It must be defensible:</w:t>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360"/>
        <w:tblGridChange w:id="0">
          <w:tblGrid>
            <w:gridCol w:w="3000"/>
            <w:gridCol w:w="636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239990234375" w:right="0" w:firstLine="0"/>
              <w:jc w:val="left"/>
              <w:rPr>
                <w:rFonts w:ascii="Arial" w:cs="Arial" w:eastAsia="Arial" w:hAnsi="Arial"/>
                <w:b w:val="1"/>
                <w:bCs w:val="1"/>
                <w:i w:val="0"/>
                <w:iCs w:val="0"/>
                <w:smallCaps w:val="0"/>
                <w:strike w:val="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Input Variable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5989990234375" w:right="0" w:firstLine="0"/>
              <w:jc w:val="left"/>
              <w:rPr>
                <w:rFonts w:ascii="Arial" w:cs="Arial" w:eastAsia="Arial" w:hAnsi="Arial"/>
                <w:b w:val="1"/>
                <w:bCs w:val="1"/>
                <w:i w:val="0"/>
                <w:iCs w:val="0"/>
                <w:smallCaps w:val="0"/>
                <w:strike w:val="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Definition &amp; Source</w:t>
            </w:r>
          </w:p>
        </w:tc>
      </w:tr>
    </w:tbl>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3995361328125" w:right="0"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ElevenLabs Voice Platform </w:t>
      </w: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 Speculative GTM Campaign: From Gatekeeper to Growth Partner </w:t>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360"/>
        <w:tblGridChange w:id="0">
          <w:tblGrid>
            <w:gridCol w:w="3000"/>
            <w:gridCol w:w="6360"/>
          </w:tblGrid>
        </w:tblGridChange>
      </w:tblGrid>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Annual Rejections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10062980651855" w:lineRule="auto"/>
              <w:ind w:left="151.1199951171875" w:right="888.18603515625" w:firstLine="1.5301513671875"/>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Self-reported by TA leader in audit form. Cross-checked against stated application volume and hire rate for reasonableness.</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64999389648438" w:right="0" w:firstLine="0"/>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Silver Medalist 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12231636047363" w:lineRule="auto"/>
              <w:ind w:left="155.369873046875" w:right="234.2333984375" w:hanging="0.50994873046875"/>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 of rejections estimated as 'qualified but not selected this cycle'. Default: 15% (CandE benchmark). Adjustable by user.</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43002319335938" w:right="0" w:firstLine="0"/>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Re-engagement Opportunity Cost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1114730834961" w:lineRule="auto"/>
              <w:ind w:left="145" w:right="99.554443359375" w:hanging="0.50994873046875"/>
              <w:jc w:val="both"/>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Average cost-per-hire × estimated % of silver medalists who could be reactivated without re-sourcing. Default re-activation rate: 20% (prospective; labeled as such in report).</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40997314453125" w:right="0" w:firstLine="0"/>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Brand Erosion Cost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10062980651855" w:lineRule="auto"/>
              <w:ind w:left="156.2200927734375" w:right="82.15087890625" w:firstLine="2.20977783203125"/>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Estimated Glassdoor impact: each 0.1-point rating decline correlates with a 2-3% increase in offer decline rates (SHRM 2022). Applied to complaint rate delta.</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43002319335938" w:right="0" w:firstLine="0"/>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Recruiter Bandwidth Cost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1440029144287" w:lineRule="auto"/>
              <w:ind w:left="151.1199951171875" w:right="480.648193359375" w:firstLine="7.4798583984375"/>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Hours lost to manual follow-up × average fully-loaded recruiter cost. Default: $85/hr fully-loaded (SHRM benchmark). Adjustable.</w:t>
            </w:r>
          </w:p>
        </w:tc>
      </w:tr>
    </w:tbl>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3453025817871" w:lineRule="auto"/>
        <w:ind w:left="18.9599609375" w:right="164.94384765625" w:hanging="1.920013427734375"/>
        <w:jc w:val="left"/>
        <w:rPr>
          <w:rFonts w:ascii="Arial" w:cs="Arial" w:eastAsia="Arial" w:hAnsi="Arial"/>
          <w:b w:val="0"/>
          <w:bCs w:val="0"/>
          <w:i w:val="1"/>
          <w:iCs w:val="1"/>
          <w:smallCaps w:val="0"/>
          <w:strike w:val="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sz w:val="16"/>
          <w:szCs w:val="16"/>
          <w:u w:val="none"/>
          <w:shd w:fill="auto" w:val="clear"/>
          <w:vertAlign w:val="baseline"/>
          <w:rtl w:val="0"/>
        </w:rPr>
        <w:t xml:space="preserve">Methodology appendix must be included in every audit report download. Prospective estimates are clearly labeled. Legal review of the calculation methodology is required before public launch.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425048828125" w:line="240" w:lineRule="auto"/>
        <w:ind w:left="30.019989013671875" w:right="0" w:firstLine="0"/>
        <w:jc w:val="left"/>
        <w:rPr>
          <w:rFonts w:ascii="Arial" w:cs="Arial" w:eastAsia="Arial" w:hAnsi="Arial"/>
          <w:b w:val="1"/>
          <w:bCs w:val="1"/>
          <w:i w:val="0"/>
          <w:iCs w:val="0"/>
          <w:smallCaps w:val="0"/>
          <w:strike w:val="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sz w:val="26"/>
          <w:szCs w:val="26"/>
          <w:u w:val="none"/>
          <w:shd w:fill="auto" w:val="clear"/>
          <w:vertAlign w:val="baseline"/>
          <w:rtl w:val="0"/>
        </w:rPr>
        <w:t xml:space="preserve">Lead Qualification &amp; SDR Conversion Logic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852783203125" w:line="229.88847255706787" w:lineRule="auto"/>
        <w:ind w:left="16.7999267578125" w:right="204.23583984375" w:hanging="2.199859619140625"/>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The audit tool is only valuable if it generates qualified </w:t>
      </w:r>
      <w:r w:rsidDel="00000000" w:rsidR="00000000" w:rsidRPr="00000000">
        <w:rPr>
          <w:sz w:val="20"/>
          <w:szCs w:val="20"/>
          <w:rtl w:val="0"/>
        </w:rPr>
        <w:t xml:space="preserve">pipelines</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 — not just traffic. Score thresholds trigger differentiated follow-up sequences:</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852783203125" w:line="229.88847255706787" w:lineRule="auto"/>
        <w:ind w:left="16.7999267578125" w:right="204.23583984375" w:hanging="2.199859619140625"/>
        <w:jc w:val="left"/>
        <w:rPr>
          <w:sz w:val="20"/>
          <w:szCs w:val="20"/>
        </w:rPr>
      </w:pP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2220"/>
        <w:gridCol w:w="5160"/>
        <w:tblGridChange w:id="0">
          <w:tblGrid>
            <w:gridCol w:w="1980"/>
            <w:gridCol w:w="2220"/>
            <w:gridCol w:w="516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47994995117188" w:right="0" w:firstLine="0"/>
              <w:jc w:val="left"/>
              <w:rPr>
                <w:rFonts w:ascii="Arial" w:cs="Arial" w:eastAsia="Arial" w:hAnsi="Arial"/>
                <w:b w:val="1"/>
                <w:bCs w:val="1"/>
                <w:i w:val="0"/>
                <w:iCs w:val="0"/>
                <w:smallCaps w:val="0"/>
                <w:strike w:val="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Score Band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7398681640625" w:right="0" w:firstLine="0"/>
              <w:jc w:val="left"/>
              <w:rPr>
                <w:rFonts w:ascii="Arial" w:cs="Arial" w:eastAsia="Arial" w:hAnsi="Arial"/>
                <w:b w:val="1"/>
                <w:bCs w:val="1"/>
                <w:i w:val="0"/>
                <w:iCs w:val="0"/>
                <w:smallCaps w:val="0"/>
                <w:strike w:val="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Qualification Signal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3197021484375" w:right="0" w:firstLine="0"/>
              <w:jc w:val="left"/>
              <w:rPr>
                <w:rFonts w:ascii="Arial" w:cs="Arial" w:eastAsia="Arial" w:hAnsi="Arial"/>
                <w:b w:val="1"/>
                <w:bCs w:val="1"/>
                <w:i w:val="0"/>
                <w:iCs w:val="0"/>
                <w:smallCaps w:val="0"/>
                <w:strike w:val="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Follow-Up Action</w:t>
            </w:r>
          </w:p>
        </w:tc>
      </w:tr>
      <w:tr>
        <w:trPr>
          <w:cantSplit w:val="0"/>
          <w:trHeight w:val="1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14004516601562" w:right="0" w:firstLine="0"/>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0-40 (High Risk)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650146484375" w:right="0" w:firstLine="0"/>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Strong candidate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28997802734375" w:right="0" w:firstLine="0"/>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experience problem;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12231636047363" w:lineRule="auto"/>
              <w:ind w:left="166.1199951171875" w:right="167.87841796875" w:firstLine="4.7601318359375"/>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likely high complaint rate and poor Glassdoor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7138671875" w:line="240" w:lineRule="auto"/>
              <w:ind w:left="163.05999755859375" w:right="0" w:firstLine="0"/>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trajectory.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12231636047363" w:lineRule="auto"/>
              <w:ind w:left="151.1199951171875" w:right="171.1474609375" w:firstLine="9.68994140625"/>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Immediate SDR outreach within 24 hours. Focus: compliance risk and brand protection. Offer a 30-minute 'Risk Audit' call with a Solutions Engineer and a legal/compliance specialist.</w:t>
            </w:r>
          </w:p>
        </w:tc>
      </w:tr>
      <w:tr>
        <w:trPr>
          <w:cantSplit w:val="0"/>
          <w:trHeight w:val="1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20993041992188" w:right="0" w:firstLine="0"/>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41-70 (Moderate)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10062980651855" w:lineRule="auto"/>
              <w:ind w:left="171.2200927734375" w:right="202.4945068359375" w:firstLine="2.20977783203125"/>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Recognized problem but no active solution in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20703125" w:line="217.10062980651855" w:lineRule="auto"/>
              <w:ind w:left="171.05010986328125" w:right="196.175537109375" w:firstLine="0.16998291015625"/>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place. Typical enterprise buyer in evaluation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20703125" w:line="240" w:lineRule="auto"/>
              <w:ind w:left="171.2200927734375" w:right="0" w:firstLine="0"/>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12231636047363" w:lineRule="auto"/>
              <w:ind w:left="151.1199951171875" w:right="128.582763671875" w:hanging="6.1199951171875"/>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Automated nurture sequence with two SDR touchpoints at Day 3 and Day 10. Content: ROI calculator and a relevant customer case study. Offer an ops-focused demo.</w:t>
            </w:r>
          </w:p>
        </w:tc>
      </w:tr>
      <w:tr>
        <w:trPr>
          <w:cantSplit w:val="0"/>
          <w:trHeight w:val="9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98995971679688" w:right="0" w:firstLine="0"/>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71-100 (Strong)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1114730834961" w:lineRule="auto"/>
              <w:ind w:left="166.1199951171875" w:right="246.3037109375" w:firstLine="2.8900146484375"/>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Good baseline but clear upside available. Likely already investing in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46044921875" w:line="240" w:lineRule="auto"/>
              <w:ind w:left="166.62994384765625" w:right="0" w:firstLine="0"/>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candidate experience.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1114730834961" w:lineRule="auto"/>
              <w:ind w:left="156.0498046875" w:right="129.00634765625" w:hanging="2.550048828125"/>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Content-first nurture: send the Gap-to-Top-Quartile Report with a benchmark comparison. SDR touchpoint at Day 14 only. Offer a peer roundtable invitation.</w:t>
            </w:r>
          </w:p>
        </w:tc>
      </w:tr>
    </w:tbl>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4000244140625" w:right="0" w:firstLine="0"/>
              <w:jc w:val="left"/>
              <w:rPr>
                <w:rFonts w:ascii="Arial" w:cs="Arial" w:eastAsia="Arial" w:hAnsi="Arial"/>
                <w:b w:val="1"/>
                <w:bCs w:val="1"/>
                <w:i w:val="0"/>
                <w:iCs w:val="0"/>
                <w:smallCaps w:val="0"/>
                <w:strike w:val="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sz w:val="20"/>
                <w:szCs w:val="20"/>
                <w:u w:val="none"/>
                <w:shd w:fill="auto" w:val="clear"/>
                <w:vertAlign w:val="baseline"/>
                <w:rtl w:val="0"/>
              </w:rPr>
              <w:t xml:space="preserve">Demo Focus by Buyer Role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2073974609375" w:line="229.8993158340454" w:lineRule="auto"/>
              <w:ind w:left="196.47994995117188" w:right="179.822998046875" w:firstLine="3.05999755859375"/>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 CPO / Economic Buyer: Open with the False Negative Tax estimate from their audit. Lead with brand protection and compliance risk reduction. End with ROI summary.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775146484375" w:line="229.87762928009033" w:lineRule="auto"/>
              <w:ind w:left="196.66000366210938" w:right="399.227294921875" w:firstLine="2.87994384765625"/>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 Head of TA / Champion: Lead with the integration demo. Show the three prebuilt flows live in a sandbox ATS environment. Focus on pilot structure and success criteria.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439453125" w:line="229.8993158340454" w:lineRule="auto"/>
              <w:ind w:left="190" w:right="342.508544921875" w:firstLine="9.539947509765625"/>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 Recruiting Ops / Influencer: Deep-dive on the admin console. Show trigger mapping, template library, and the ATS write-back. Address data residency and audit log questions.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775146484375" w:line="229.87762928009033" w:lineRule="auto"/>
              <w:ind w:left="201.88003540039062" w:right="288.760986328125" w:hanging="2.340087890625"/>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 Legal / Compliance: Prepare the compliance architecture one-pager and the DPA template in advance. Do not present this live — send it 48 hours before the meeting.</w:t>
            </w:r>
          </w:p>
        </w:tc>
      </w:tr>
    </w:tbl>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3995361328125" w:right="0"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ElevenLabs Voice Platform </w:t>
      </w: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 Speculative GTM Campaign: From Gatekeeper to Growth Partner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270263671875" w:line="240" w:lineRule="auto"/>
        <w:ind w:left="20.240020751953125" w:right="0" w:firstLine="0"/>
        <w:jc w:val="left"/>
        <w:rPr>
          <w:rFonts w:ascii="Arial" w:cs="Arial" w:eastAsia="Arial" w:hAnsi="Arial"/>
          <w:b w:val="1"/>
          <w:bCs w:val="1"/>
          <w:i w:val="0"/>
          <w:iCs w:val="0"/>
          <w:smallCaps w:val="0"/>
          <w:strike w:val="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sz w:val="32"/>
          <w:szCs w:val="32"/>
          <w:u w:val="none"/>
          <w:shd w:fill="auto" w:val="clear"/>
          <w:vertAlign w:val="baseline"/>
          <w:rtl w:val="0"/>
        </w:rPr>
        <w:t xml:space="preserve">9. Data Governance &amp; Trust Framework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24951171875" w:line="240" w:lineRule="auto"/>
        <w:ind w:left="28.979949951171875" w:right="0" w:firstLine="0"/>
        <w:jc w:val="left"/>
        <w:rPr>
          <w:rFonts w:ascii="Arial" w:cs="Arial" w:eastAsia="Arial" w:hAnsi="Arial"/>
          <w:b w:val="1"/>
          <w:bCs w:val="1"/>
          <w:i w:val="0"/>
          <w:iCs w:val="0"/>
          <w:smallCaps w:val="0"/>
          <w:strike w:val="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sz w:val="26"/>
          <w:szCs w:val="26"/>
          <w:u w:val="none"/>
          <w:shd w:fill="auto" w:val="clear"/>
          <w:vertAlign w:val="baseline"/>
          <w:rtl w:val="0"/>
        </w:rPr>
        <w:t xml:space="preserve">Enterprise Data Policies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6513671875" w:line="229.88847255706787" w:lineRule="auto"/>
        <w:ind w:left="736.3999938964844" w:right="246.729736328125" w:hanging="355.8000183105469"/>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Candidate data is never used to train ElevenLabs' public or commercial models without explicit, granular opt-in consent — not bundled consent buried in terms of service.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2685546875" w:line="229.88847255706787" w:lineRule="auto"/>
        <w:ind w:left="737.2000122070312" w:right="139.4482421875" w:hanging="356.60003662109375"/>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Model improvements derived from customer deployments are opt-in, based exclusively on anonymized and aggregated interaction signals, and governed by a Data Processing Agreement (DPA) executed at contract signing.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8779296875" w:line="229.9079990386963" w:lineRule="auto"/>
        <w:ind w:left="743.2000732421875" w:right="607.6287841796875" w:hanging="362.60009765625"/>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SOC 2 Type II certification status is available for review under NDA during the procurement phase.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70703125" w:line="239.88934993743896" w:lineRule="auto"/>
        <w:ind w:left="380.5999755859375" w:right="74.281005859375" w:firstLine="0"/>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GDPR compliance architecture includes data residency controls (EU deployment available), DPA templates aligned with Standard Contractual Clauses, and Article 17 deletion workflows. </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Every automated message is logged with a full audit trail: timestamp, template version, delivery status, and candidate pseudonym. Logs are retained per contractually agreed retention schedules.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7236328125" w:line="229.8689603805542" w:lineRule="auto"/>
        <w:ind w:left="737.2000122070312" w:right="58.017578125" w:hanging="356.60003662109375"/>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Data retention defaults: candidate data is purged after 24 months unless the customer configures a different retention period within platform controls.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484130859375" w:line="204.3453025817871" w:lineRule="auto"/>
        <w:ind w:left="18.480072021484375" w:right="1066.0009765625" w:hanging="0.640106201171875"/>
        <w:jc w:val="left"/>
        <w:rPr>
          <w:rFonts w:ascii="Arial" w:cs="Arial" w:eastAsia="Arial" w:hAnsi="Arial"/>
          <w:b w:val="0"/>
          <w:bCs w:val="0"/>
          <w:i w:val="1"/>
          <w:iCs w:val="1"/>
          <w:smallCaps w:val="0"/>
          <w:strike w:val="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sz w:val="16"/>
          <w:szCs w:val="16"/>
          <w:u w:val="none"/>
          <w:shd w:fill="auto" w:val="clear"/>
          <w:vertAlign w:val="baseline"/>
          <w:rtl w:val="0"/>
        </w:rPr>
        <w:t xml:space="preserve">Note: SOC 2 Type II status and specific certifications should be verified by the Sales team against current compliance documentation before citing in customer conversations.</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3995361328125" w:right="0"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ElevenLabs Voice Platform </w:t>
      </w: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 Speculative GTM Campaign: From Gatekeeper to Growth Partner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270263671875" w:line="240" w:lineRule="auto"/>
        <w:ind w:left="35.279998779296875" w:right="0" w:firstLine="0"/>
        <w:jc w:val="left"/>
        <w:rPr>
          <w:rFonts w:ascii="Arial" w:cs="Arial" w:eastAsia="Arial" w:hAnsi="Arial"/>
          <w:b w:val="1"/>
          <w:bCs w:val="1"/>
          <w:i w:val="0"/>
          <w:iCs w:val="0"/>
          <w:smallCaps w:val="0"/>
          <w:strike w:val="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sz w:val="32"/>
          <w:szCs w:val="32"/>
          <w:u w:val="none"/>
          <w:shd w:fill="auto" w:val="clear"/>
          <w:vertAlign w:val="baseline"/>
          <w:rtl w:val="0"/>
        </w:rPr>
        <w:t xml:space="preserve">10. Growth Flywheel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97021484375" w:line="240" w:lineRule="auto"/>
        <w:ind w:left="14.600067138671875" w:right="0" w:firstLine="0"/>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The platform's long-term competitive moat is built through a reinforcing feedback loop: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97021484375" w:line="240" w:lineRule="auto"/>
        <w:ind w:left="14.600067138671875" w:right="0" w:firstLine="0"/>
        <w:jc w:val="left"/>
        <w:rPr>
          <w:sz w:val="20"/>
          <w:szCs w:val="20"/>
        </w:rPr>
      </w:pP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20001220703125" w:right="0" w:firstLine="0"/>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sz w:val="20"/>
                <w:szCs w:val="20"/>
                <w:u w:val="none"/>
                <w:shd w:fill="auto" w:val="clear"/>
                <w:vertAlign w:val="baseline"/>
                <w:rtl w:val="0"/>
              </w:rPr>
              <w:t xml:space="preserve">Step 1: </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More candidates receive structured, high-quality voice guidance at scale.</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689603805542" w:lineRule="auto"/>
              <w:ind w:left="197.20001220703125" w:right="397.8466796875" w:firstLine="0"/>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sz w:val="20"/>
                <w:szCs w:val="20"/>
                <w:u w:val="none"/>
                <w:shd w:fill="auto" w:val="clear"/>
                <w:vertAlign w:val="baseline"/>
                <w:rtl w:val="0"/>
              </w:rPr>
              <w:t xml:space="preserve">Step 2: </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Anonymized interaction signals — with customer consent — improve the guidance model's ability to identify skill gap patterns across role categories and industries.</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20001220703125" w:right="0" w:firstLine="0"/>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sz w:val="20"/>
                <w:szCs w:val="20"/>
                <w:u w:val="none"/>
                <w:shd w:fill="auto" w:val="clear"/>
                <w:vertAlign w:val="baseline"/>
                <w:rtl w:val="0"/>
              </w:rPr>
              <w:t xml:space="preserve">Step 3: </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Coaching accuracy and personalization improve, increasing candidate satisfaction scores.</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91.7999267578125" w:right="557.2576904296875" w:firstLine="5.40008544921875"/>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sz w:val="20"/>
                <w:szCs w:val="20"/>
                <w:u w:val="none"/>
                <w:shd w:fill="auto" w:val="clear"/>
                <w:vertAlign w:val="baseline"/>
                <w:rtl w:val="0"/>
              </w:rPr>
              <w:t xml:space="preserve">Step 4: </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Improved satisfaction reduces negative brand exposure and generates organic advocacy from candidates who received genuine value.</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20001220703125" w:right="0" w:firstLine="0"/>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sz w:val="20"/>
                <w:szCs w:val="20"/>
                <w:u w:val="none"/>
                <w:shd w:fill="auto" w:val="clear"/>
                <w:vertAlign w:val="baseline"/>
                <w:rtl w:val="0"/>
              </w:rPr>
              <w:t xml:space="preserve">Step 5: </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Enterprise adoption accelerates as proof points accumulate across reference customers.</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689603805542" w:lineRule="auto"/>
              <w:ind w:left="190" w:right="286.075439453125" w:firstLine="7.20001220703125"/>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sz w:val="20"/>
                <w:szCs w:val="20"/>
                <w:u w:val="none"/>
                <w:shd w:fill="auto" w:val="clear"/>
                <w:vertAlign w:val="baseline"/>
                <w:rtl w:val="0"/>
              </w:rPr>
              <w:t xml:space="preserve">Step 6: </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The dataset compounds, deepening the technical and data moat against point solutions and ATS-native features.</w:t>
            </w:r>
          </w:p>
        </w:tc>
      </w:tr>
    </w:tbl>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7.79998779296875" w:right="715.9381103515625" w:firstLine="7.599945068359375"/>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Data collection for model improvement is opt-in and governed by the DPA — it is not an automatic consequence of platform use.</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3995361328125" w:right="0"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ElevenLabs Voice Platform </w:t>
      </w: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 Speculative GTM Campaign: From Gatekeeper to Growth Partner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270263671875" w:line="240" w:lineRule="auto"/>
        <w:ind w:left="35.279998779296875" w:right="0" w:firstLine="0"/>
        <w:jc w:val="left"/>
        <w:rPr>
          <w:rFonts w:ascii="Arial" w:cs="Arial" w:eastAsia="Arial" w:hAnsi="Arial"/>
          <w:b w:val="1"/>
          <w:bCs w:val="1"/>
          <w:i w:val="0"/>
          <w:iCs w:val="0"/>
          <w:smallCaps w:val="0"/>
          <w:strike w:val="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sz w:val="32"/>
          <w:szCs w:val="32"/>
          <w:u w:val="none"/>
          <w:shd w:fill="auto" w:val="clear"/>
          <w:vertAlign w:val="baseline"/>
          <w:rtl w:val="0"/>
        </w:rPr>
        <w:t xml:space="preserve">11. Commercial Roadmap: 90 / 180 / 365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97021484375" w:line="229.88847255706787" w:lineRule="auto"/>
        <w:ind w:left="17.20001220703125" w:right="234.47998046875" w:hanging="2.599945068359375"/>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The GTM motion does not end at pilot sign-off. Each milestone in the first 12 months has a specific commercial objective, a set of success criteria, and a defined next action. This roadmap gives the sales and CS teams a shared language for managing account expansion.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97021484375" w:line="229.88847255706787" w:lineRule="auto"/>
        <w:ind w:left="17.20001220703125" w:right="234.47998046875" w:hanging="2.599945068359375"/>
        <w:jc w:val="left"/>
        <w:rPr>
          <w:sz w:val="20"/>
          <w:szCs w:val="20"/>
        </w:rPr>
      </w:pP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2220"/>
        <w:gridCol w:w="2580"/>
        <w:gridCol w:w="3180"/>
        <w:tblGridChange w:id="0">
          <w:tblGrid>
            <w:gridCol w:w="1380"/>
            <w:gridCol w:w="2220"/>
            <w:gridCol w:w="2580"/>
            <w:gridCol w:w="318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77999877929688" w:right="0" w:firstLine="0"/>
              <w:jc w:val="left"/>
              <w:rPr>
                <w:rFonts w:ascii="Arial" w:cs="Arial" w:eastAsia="Arial" w:hAnsi="Arial"/>
                <w:b w:val="1"/>
                <w:bCs w:val="1"/>
                <w:i w:val="0"/>
                <w:iCs w:val="0"/>
                <w:smallCaps w:val="0"/>
                <w:strike w:val="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Milestone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Commercial Objective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4801025390625" w:right="0" w:firstLine="0"/>
              <w:jc w:val="left"/>
              <w:rPr>
                <w:rFonts w:ascii="Arial" w:cs="Arial" w:eastAsia="Arial" w:hAnsi="Arial"/>
                <w:b w:val="1"/>
                <w:bCs w:val="1"/>
                <w:i w:val="0"/>
                <w:iCs w:val="0"/>
                <w:smallCaps w:val="0"/>
                <w:strike w:val="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Success Criteria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3197021484375" w:right="0" w:firstLine="0"/>
              <w:jc w:val="left"/>
              <w:rPr>
                <w:rFonts w:ascii="Arial" w:cs="Arial" w:eastAsia="Arial" w:hAnsi="Arial"/>
                <w:b w:val="1"/>
                <w:bCs w:val="1"/>
                <w:i w:val="0"/>
                <w:iCs w:val="0"/>
                <w:smallCaps w:val="0"/>
                <w:strike w:val="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Next Action Trigger</w:t>
            </w:r>
          </w:p>
        </w:tc>
      </w:tr>
      <w:tr>
        <w:trPr>
          <w:cantSplit w:val="0"/>
          <w:trHeight w:val="1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09005737304688" w:right="0" w:firstLine="0"/>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Day 90Pilot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43002319335938" w:right="0" w:firstLine="0"/>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50006103515625" w:right="0" w:firstLine="0"/>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Convert pilot to full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28997802734375" w:right="0" w:firstLine="0"/>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enterprise contract.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2072925567627" w:lineRule="auto"/>
              <w:ind w:left="166.62994384765625" w:right="253.0059814453125" w:firstLine="6.7999267578125"/>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sz w:val="17"/>
                <w:szCs w:val="17"/>
                <w:rtl w:val="0"/>
              </w:rPr>
              <w:t xml:space="preserve">Establish a first</w:t>
            </w: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 reference 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11509227752686" w:lineRule="auto"/>
              <w:ind w:left="147.2100830078125" w:right="209.10888671875" w:firstLine="6.2896728515625"/>
              <w:jc w:val="both"/>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Complaint rate down &gt;=20% vs. baseline. Re-engagement rate &gt;=10%. At least one KPI above pre-agreed threshold.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1169090270996" w:lineRule="auto"/>
              <w:ind w:left="161.5301513671875" w:right="133.42041015625" w:firstLine="14.27978515625"/>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If success criteria met: </w:t>
            </w:r>
            <w:r w:rsidDel="00000000" w:rsidR="00000000" w:rsidRPr="00000000">
              <w:rPr>
                <w:sz w:val="17"/>
                <w:szCs w:val="17"/>
                <w:rtl w:val="0"/>
              </w:rPr>
              <w:t xml:space="preserve">present a full</w:t>
            </w: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 contract with outcome-tiered pricing. If partial: agree a 30-day extension with one focused remediation action. If failed: structured exit with data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080078125" w:line="240" w:lineRule="auto"/>
              <w:ind w:left="165.780029296875" w:right="0" w:firstLine="0"/>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deletion and no-fault termination.</w:t>
            </w:r>
          </w:p>
        </w:tc>
      </w:tr>
      <w:tr>
        <w:trPr>
          <w:cantSplit w:val="0"/>
          <w:trHeight w:val="1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09005737304688" w:right="0" w:firstLine="0"/>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Day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180Expansion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42987060546875" w:right="0" w:firstLine="0"/>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Expand platform to a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12231636047363" w:lineRule="auto"/>
              <w:ind w:left="163.05999755859375" w:right="186.46392822265625" w:firstLine="2.2100830078125"/>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second business unit or geographic region within the same enterprise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6201171875" w:line="240" w:lineRule="auto"/>
              <w:ind w:left="166.1199951171875" w:right="0" w:firstLine="0"/>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12231636047363" w:lineRule="auto"/>
              <w:ind w:left="150.6097412109375" w:right="259.703369140625" w:firstLine="7.3101806640625"/>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NPS stable or improving. No open compliance incidents. Recruiting Ops lead has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7138671875" w:line="240" w:lineRule="auto"/>
              <w:ind w:left="150.269775390625" w:right="0" w:firstLine="0"/>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signed off on integration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2200927734375" w:right="0" w:firstLine="0"/>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health.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8989963531494" w:lineRule="auto"/>
              <w:ind w:left="160.51025390625" w:right="107.60009765625" w:firstLine="7.989501953125"/>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CS presents expansion business </w:t>
            </w:r>
            <w:r w:rsidDel="00000000" w:rsidR="00000000" w:rsidRPr="00000000">
              <w:rPr>
                <w:sz w:val="17"/>
                <w:szCs w:val="17"/>
                <w:rtl w:val="0"/>
              </w:rPr>
              <w:t xml:space="preserve">cases</w:t>
            </w: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 using anonymized pilot data. Buyer introduces CS </w:t>
            </w:r>
            <w:r w:rsidDel="00000000" w:rsidR="00000000" w:rsidRPr="00000000">
              <w:rPr>
                <w:sz w:val="17"/>
                <w:szCs w:val="17"/>
                <w:rtl w:val="0"/>
              </w:rPr>
              <w:t xml:space="preserve">to the second</w:t>
            </w: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 BU head. New pilot agreement scoped within 2 weeks.</w:t>
            </w:r>
          </w:p>
        </w:tc>
      </w:tr>
      <w:tr>
        <w:trPr>
          <w:cantSplit w:val="0"/>
          <w:trHeight w:val="1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22897911071777" w:lineRule="auto"/>
              <w:ind w:left="152.64999389648438" w:right="173.9044189453125" w:firstLine="5.4400634765625"/>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Day 180Case Study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12231636047363" w:lineRule="auto"/>
              <w:ind w:left="166.62994384765625" w:right="271.50848388671875" w:firstLine="6.4599609375"/>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Publish an anonymized case study with real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7138671875" w:line="240" w:lineRule="auto"/>
              <w:ind w:left="171.2200927734375" w:right="0" w:firstLine="0"/>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metrics to support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2072925567627" w:lineRule="auto"/>
              <w:ind w:left="171.2200927734375" w:right="199.24041748046875" w:hanging="0.16998291015625"/>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broader enterprise sales motion.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499755859375" w:right="0" w:firstLine="0"/>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Customer approves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1199951171875" w:right="0" w:firstLine="0"/>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anonymized metrics for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1114730834961" w:lineRule="auto"/>
              <w:ind w:left="148.060302734375" w:right="332.069091796875" w:firstLine="3.22998046875"/>
              <w:jc w:val="both"/>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external use. At least two of the four primary KPIs show measurable improvement.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1114730834961" w:lineRule="auto"/>
              <w:ind w:left="165.6097412109375" w:right="163.936767578125" w:firstLine="2.8900146484375"/>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CS drafts case study from pilot data. Legal reviews for confidentiality. Published to ElevenLabs website and used in SDR outreach within 30 days of approval.</w:t>
            </w:r>
          </w:p>
        </w:tc>
      </w:tr>
      <w:tr>
        <w:trPr>
          <w:cantSplit w:val="0"/>
          <w:trHeight w:val="1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09005737304688" w:right="0" w:firstLine="0"/>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Day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14004516601562" w:right="0" w:firstLine="0"/>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365Strategic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43002319335938" w:right="0" w:firstLine="0"/>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Embed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10062980651855" w:lineRule="auto"/>
              <w:ind w:left="171.2200927734375" w:right="136.728515625" w:firstLine="2.20977783203125"/>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Embed platform into ATS partner program. Shift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20703125" w:line="217.10062980651855" w:lineRule="auto"/>
              <w:ind w:left="163.05999755859375" w:right="256.3153076171875" w:firstLine="3.05999755859375"/>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account from 'customer' to 'reference partner'.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25390625" w:line="217.10062980651855" w:lineRule="auto"/>
              <w:ind w:left="166.28997802734375" w:right="290.4254150390625" w:firstLine="6.1199951171875"/>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Launch outcome-tiered enterprise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11509227752686" w:lineRule="auto"/>
              <w:ind w:left="155.880126953125" w:right="171.1083984375" w:hanging="2.38037109375"/>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sz w:val="17"/>
                <w:szCs w:val="17"/>
                <w:rtl w:val="0"/>
              </w:rPr>
              <w:t xml:space="preserve">Customers</w:t>
            </w: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 actively </w:t>
            </w:r>
            <w:r w:rsidDel="00000000" w:rsidR="00000000" w:rsidRPr="00000000">
              <w:rPr>
                <w:sz w:val="17"/>
                <w:szCs w:val="17"/>
                <w:rtl w:val="0"/>
              </w:rPr>
              <w:t xml:space="preserve">refer</w:t>
            </w: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 at least one peer to ElevenLabs. Platform in use across &gt;=2 business units. Customer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1630859375" w:line="217.10062980651855" w:lineRule="auto"/>
              <w:ind w:left="156.0498046875" w:right="171.60888671875" w:hanging="10.53955078125"/>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willing to participate in a CPO roundtable or conference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25390625" w:line="240" w:lineRule="auto"/>
              <w:ind w:left="150.269775390625" w:right="0" w:firstLine="0"/>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1169090270996" w:lineRule="auto"/>
              <w:ind w:left="165.269775390625" w:right="147.481689453125" w:hanging="5.269775390625"/>
              <w:jc w:val="left"/>
              <w:rPr>
                <w:rFonts w:ascii="Arial" w:cs="Arial" w:eastAsia="Arial" w:hAnsi="Arial"/>
                <w:b w:val="0"/>
                <w:bCs w:val="0"/>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ATS partner program application submitted. </w:t>
            </w:r>
            <w:r w:rsidDel="00000000" w:rsidR="00000000" w:rsidRPr="00000000">
              <w:rPr>
                <w:sz w:val="17"/>
                <w:szCs w:val="17"/>
                <w:rtl w:val="0"/>
              </w:rPr>
              <w:t xml:space="preserve">The account</w:t>
            </w: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 moves </w:t>
            </w:r>
            <w:r w:rsidDel="00000000" w:rsidR="00000000" w:rsidRPr="00000000">
              <w:rPr>
                <w:sz w:val="17"/>
                <w:szCs w:val="17"/>
                <w:rtl w:val="0"/>
              </w:rPr>
              <w:t xml:space="preserve">to the Named</w:t>
            </w:r>
            <w:r w:rsidDel="00000000" w:rsidR="00000000" w:rsidRPr="00000000">
              <w:rPr>
                <w:rFonts w:ascii="Arial" w:cs="Arial" w:eastAsia="Arial" w:hAnsi="Arial"/>
                <w:b w:val="0"/>
                <w:bCs w:val="0"/>
                <w:i w:val="0"/>
                <w:iCs w:val="0"/>
                <w:smallCaps w:val="0"/>
                <w:strike w:val="0"/>
                <w:sz w:val="17"/>
                <w:szCs w:val="17"/>
                <w:u w:val="none"/>
                <w:shd w:fill="auto" w:val="clear"/>
                <w:vertAlign w:val="baseline"/>
                <w:rtl w:val="0"/>
              </w:rPr>
              <w:t xml:space="preserve"> Enterprise tier with a dedicated CSM. Outcome-tiered contract renewal presented 60 days before anniversary.</w:t>
            </w:r>
          </w:p>
        </w:tc>
      </w:tr>
    </w:tbl>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80029296875" w:right="0" w:firstLine="0"/>
        <w:jc w:val="left"/>
        <w:rPr>
          <w:rFonts w:ascii="Arial" w:cs="Arial" w:eastAsia="Arial" w:hAnsi="Arial"/>
          <w:b w:val="1"/>
          <w:bCs w:val="1"/>
          <w:i w:val="0"/>
          <w:iCs w:val="0"/>
          <w:smallCaps w:val="0"/>
          <w:strike w:val="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sz w:val="26"/>
          <w:szCs w:val="26"/>
          <w:u w:val="none"/>
          <w:shd w:fill="auto" w:val="clear"/>
          <w:vertAlign w:val="baseline"/>
          <w:rtl w:val="0"/>
        </w:rPr>
        <w:t xml:space="preserve">What 'Success' Looks Like at 365 Days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852783203125" w:line="229.88847255706787" w:lineRule="auto"/>
        <w:ind w:left="13.600006103515625" w:right="193.30078125" w:hanging="3.600006103515625"/>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A customer who reaches Day 365 in good standing should exhibit all of the following. If any are missing, the account is at expansion risk and CS should flag it to leadership: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62451171875" w:line="229.8689603805542" w:lineRule="auto"/>
        <w:ind w:left="733.6000061035156" w:right="71.490478515625" w:hanging="353.0000305175781"/>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Platform live across at least two business units or 1,000+ candidate interactions processed in the trailing 90 days.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2288818359375" w:line="249.8902416229248" w:lineRule="auto"/>
        <w:ind w:left="380.5999755859375" w:right="253.548583984375" w:firstLine="0"/>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All four primary KPIs measured, trending positively, and reported in the shared dashboard. </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No open compliance incidents, no unresolved candidate disputes, and no outstanding audit log gaps.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9091796875" w:line="229.9079990386963" w:lineRule="auto"/>
        <w:ind w:left="743.0000305175781" w:right="272.591552734375" w:hanging="362.4000549316406"/>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Customer legal and procurement teams have both signed off on the DPA and data governance review.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7100830078125" w:line="229.88847255706787" w:lineRule="auto"/>
        <w:ind w:left="743.2000732421875" w:right="680.8294677734375" w:hanging="362.60009765625"/>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At least one internal champion — Head of TA or Recruiting Ops lead — has presented the platform's results to a senior stakeholder (CPO or equivalent).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262451171875" w:line="229.88847255706787" w:lineRule="auto"/>
        <w:ind w:left="737.7999877929688" w:right="555.05615234375" w:hanging="357.20001220703125"/>
        <w:jc w:val="left"/>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Customer has been introduced to the ATS partner program and has at least one active ATS connector in production.</w:t>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60006713867188" w:right="0" w:firstLine="0"/>
              <w:jc w:val="left"/>
              <w:rPr>
                <w:rFonts w:ascii="Arial" w:cs="Arial" w:eastAsia="Arial" w:hAnsi="Arial"/>
                <w:b w:val="1"/>
                <w:bCs w:val="1"/>
                <w:i w:val="0"/>
                <w:iCs w:val="0"/>
                <w:smallCaps w:val="0"/>
                <w:strike w:val="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sz w:val="20"/>
                <w:szCs w:val="20"/>
                <w:u w:val="none"/>
                <w:shd w:fill="auto" w:val="clear"/>
                <w:vertAlign w:val="baseline"/>
                <w:rtl w:val="0"/>
              </w:rPr>
              <w:t xml:space="preserve">Risk Signal: Early Warning Indicators</w:t>
            </w:r>
          </w:p>
        </w:tc>
      </w:tr>
    </w:tbl>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3995361328125" w:right="0"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ElevenLabs Voice Platform </w:t>
      </w: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 Speculative GTM Campaign: From Gatekeeper to Growth Partner</w:t>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8784637451172" w:lineRule="auto"/>
              <w:ind w:left="193.24005126953125" w:right="489.044189453125" w:firstLine="6.299896240234375"/>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 NPS declining two consecutive measurement periods — flag to CS and investigate template quality. • Pilot complaint rate not improving after 45 days — </w:t>
            </w:r>
            <w:r w:rsidDel="00000000" w:rsidR="00000000" w:rsidRPr="00000000">
              <w:rPr>
                <w:sz w:val="18"/>
                <w:szCs w:val="18"/>
                <w:rtl w:val="0"/>
              </w:rPr>
              <w:t xml:space="preserve">escalated</w:t>
            </w: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 to Solutions Engineering for workflow review. • Recruiting Ops lead disengaged or replaced — re-establish champion relationship before Day 60. • Legal review not completed by Day 30 of pilot — halt go-live until resolved; do not proceed with unreviewed templates.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7392578125" w:line="229.87762928009033" w:lineRule="auto"/>
              <w:ind w:left="195.76004028320312" w:right="492.418212890625" w:firstLine="3.7799072265625"/>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 ATS field mapping errors appearing in weekly health </w:t>
            </w:r>
            <w:r w:rsidDel="00000000" w:rsidR="00000000" w:rsidRPr="00000000">
              <w:rPr>
                <w:sz w:val="18"/>
                <w:szCs w:val="18"/>
                <w:rtl w:val="0"/>
              </w:rPr>
              <w:t xml:space="preserve">reports</w:t>
            </w: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 — resolve before they accumulate into audit log gaps.</w:t>
            </w:r>
          </w:p>
        </w:tc>
      </w:tr>
    </w:tbl>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3995361328125" w:right="0"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ElevenLabs Voice Platform </w:t>
      </w: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 Speculative GTM Campaign: From Gatekeeper to Growth Partner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289794921875" w:line="240" w:lineRule="auto"/>
        <w:ind w:left="35.279998779296875" w:right="0" w:firstLine="0"/>
        <w:jc w:val="left"/>
        <w:rPr>
          <w:rFonts w:ascii="Arial" w:cs="Arial" w:eastAsia="Arial" w:hAnsi="Arial"/>
          <w:b w:val="1"/>
          <w:bCs w:val="1"/>
          <w:i w:val="0"/>
          <w:iCs w:val="0"/>
          <w:smallCaps w:val="0"/>
          <w:strike w:val="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sz w:val="32"/>
          <w:szCs w:val="32"/>
          <w:u w:val="none"/>
          <w:shd w:fill="auto" w:val="clear"/>
          <w:vertAlign w:val="baseline"/>
          <w:rtl w:val="0"/>
        </w:rPr>
        <w:t xml:space="preserve">12. Narrative Summary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2998046875" w:line="229.87961769104004" w:lineRule="auto"/>
        <w:ind w:left="18.13995361328125" w:right="212.7685546875" w:firstLine="9.2401123046875"/>
        <w:jc w:val="left"/>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ElevenLabs transforms Talent Acquisition from a volume-processing function into a growth engine. By applying voice AI to the candidate experience layer of the hiring funnel, enterprises reduce brand risk, improve pipeline quality, and eliminate the compounding cost of poor candidate communication — what we call the False Negative Tax.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4443359375" w:line="229.8914337158203" w:lineRule="auto"/>
        <w:ind w:left="11.97998046875" w:right="112.6123046875" w:firstLine="3.079986572265625"/>
        <w:jc w:val="left"/>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The result is a scalable, consistent experience that mitigates the 'Resentment Gap.' The 2023 CandE Benchmark Research shows that in the tech sector, 25% of candidates walk away with deep resentment after a bad experience—a 'brand tax' that ElevenLabs eliminates by replacing silence with voice-first closure. Per the 2023 CandE Report, candidates who receive specific feedback (which our AI provides via voice) show a 69% higher willingness to refer others to the company compared to those who are ghosted. This converts rejected applicants into brand advocates, silver medalists into future hires, and recruiter bandwidth into offer-stage focus.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494384765625" w:line="229.8914337158203" w:lineRule="auto"/>
        <w:ind w:left="11.97998046875" w:right="181.142578125" w:firstLine="15.40008544921875"/>
        <w:jc w:val="left"/>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ElevenLabs' core technical differentiator — dynamic, context-aware voice generation at zero marginal cost per interaction — makes this application uniquely defensible. No ATS-native feature and no text-based solution can replicate the psychological impact of a warm, articulate, personalized voice interaction at scale.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494384765625" w:line="229.8914337158203" w:lineRule="auto"/>
        <w:ind w:left="11.97998046875" w:right="181.142578125" w:firstLine="15.40008544921875"/>
        <w:jc w:val="left"/>
        <w:rPr/>
      </w:pPr>
      <w:r w:rsidDel="00000000" w:rsidR="00000000" w:rsidRPr="00000000">
        <w:rPr>
          <w:rtl w:val="0"/>
        </w:rPr>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3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60006713867188" w:right="0" w:firstLine="0"/>
              <w:jc w:val="left"/>
              <w:rPr>
                <w:rFonts w:ascii="Arial" w:cs="Arial" w:eastAsia="Arial" w:hAnsi="Arial"/>
                <w:b w:val="1"/>
                <w:bCs w:val="1"/>
                <w:i w:val="0"/>
                <w:iCs w:val="0"/>
                <w:smallCaps w:val="0"/>
                <w:strike w:val="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sz w:val="20"/>
                <w:szCs w:val="20"/>
                <w:u w:val="none"/>
                <w:shd w:fill="auto" w:val="clear"/>
                <w:vertAlign w:val="baseline"/>
                <w:rtl w:val="0"/>
              </w:rPr>
              <w:t xml:space="preserve">Recommended Next Steps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399658203125" w:line="229.8993158340454" w:lineRule="auto"/>
              <w:ind w:left="197.01995849609375" w:right="202.75146484375" w:firstLine="2.519989013671875"/>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 Legal review of compliance architecture against EEOC and GDPR requirements — before any enterprise sales conversation.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683837890625" w:line="240" w:lineRule="auto"/>
              <w:ind w:left="199.53994750976562" w:right="0"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 SOC 2 Type II timeline confirmation — required for regulated industry procurement.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32373046875" w:line="229.8993158340454" w:lineRule="auto"/>
              <w:ind w:left="193.24005126953125" w:right="865.3472900390625" w:firstLine="6.299896240234375"/>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 KPI definition doc: produce the one-page KPI definitions document and embed it in the pilot agreement template.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74462890625" w:line="254.8784637451172" w:lineRule="auto"/>
              <w:ind w:left="199.53994750976562" w:right="222.781982421875"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 Pilot agreement template: draft the standard 30/90 pilot agreement with pre-agreed success criteria fields. • Year 1 customer study design — to generate validated ROI data within 6 months of first enterprise deployment. • ATS partnership term sheets with Ashby, Greenhouse, and Lever — critical path for Phase 2 distribution. • Audit Tool legal review — calculation methodology, data collection terms, and methodology appendix must be reviewed before public launch.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342529296875" w:line="229.8993158340454" w:lineRule="auto"/>
              <w:ind w:left="201.88003540039062" w:right="189.224853515625" w:hanging="2.340087890625"/>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 False Negative Tax methodology peer review — have an independent HR research firm validate the calculation inputs before the tool goes live.</w:t>
            </w:r>
          </w:p>
        </w:tc>
      </w:tr>
    </w:tbl>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sz w:val="16"/>
          <w:szCs w:val="16"/>
          <w:u w:val="none"/>
          <w:shd w:fill="auto" w:val="clear"/>
          <w:vertAlign w:val="baseline"/>
        </w:rPr>
      </w:pPr>
      <w:r w:rsidDel="00000000" w:rsidR="00000000" w:rsidRPr="00000000">
        <w:rPr>
          <w:rtl w:val="0"/>
        </w:rPr>
      </w:r>
    </w:p>
    <w:sectPr>
      <w:pgSz w:h="15840" w:w="12240" w:orient="portrait"/>
      <w:pgMar w:bottom="1619.21875" w:top="696.806640625" w:left="1430" w:right="1409.04418945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