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b/>
          <w:bCs/>
          <w:color w:val="1B3A6B"/>
          <w:sz w:val="36"/>
          <w:szCs w:val="36"/>
        </w:rPr>
        <w:t xml:space="preserve">GTM Campaign</w:t>
      </w:r>
    </w:p>
    <w:p>
      <w:pPr>
        <w:spacing w:before="0" w:after="200"/>
        <w:jc w:val="center"/>
      </w:pPr>
      <w:r>
        <w:rPr>
          <w:b/>
          <w:bCs/>
          <w:color w:val="1B3A6B"/>
          <w:sz w:val="52"/>
          <w:szCs w:val="52"/>
        </w:rPr>
        <w:t xml:space="preserve">From Gatekeeper to Growth Partner</w:t>
      </w:r>
    </w:p>
    <w:p>
      <w:pPr>
        <w:spacing w:before="0" w:after="800"/>
        <w:jc w:val="center"/>
      </w:pPr>
      <w:r>
        <w:rPr>
          <w:i/>
          <w:iCs/>
          <w:color w:val="666666"/>
          <w:sz w:val="24"/>
          <w:szCs w:val="24"/>
        </w:rPr>
        <w:t xml:space="preserve">ElevenLabs Voice Platform  ·  Talent Experience Layer</w:t>
      </w:r>
    </w:p>
    <w:p>
      <w:pPr>
        <w:spacing w:before="0" w:after="200"/>
        <w:jc w:val="center"/>
      </w:pPr>
      <w:r>
        <w:rPr>
          <w:i/>
          <w:iCs/>
          <w:color w:val="999999"/>
          <w:sz w:val="18"/>
          <w:szCs w:val="18"/>
        </w:rPr>
        <w:t xml:space="preserve">Confidential  ·  For Internal Use Only</w:t>
      </w:r>
    </w:p>
    <w:p>
      <w:r>
        <w:br w:type="page"/>
      </w:r>
    </w:p>
    <w:p>
      <w:pPr>
        <w:pStyle w:val="Heading1"/>
        <w:pBdr>
          <w:bottom w:val="single" w:color="2E75B6" w:sz="6" w:space="4"/>
        </w:pBdr>
        <w:spacing w:before="400" w:after="160"/>
      </w:pPr>
      <w:r>
        <w:rPr>
          <w:b/>
          <w:bCs/>
          <w:color w:val="1B3A6B"/>
        </w:rPr>
        <w:t xml:space="preserve">1. Target Audience &amp; Segmentation</w:t>
      </w:r>
    </w:p>
    <w:p>
      <w:pPr>
        <w:pStyle w:val="Heading2"/>
        <w:spacing w:before="280" w:after="120"/>
      </w:pPr>
      <w:r>
        <w:rPr>
          <w:b/>
          <w:bCs/>
          <w:color w:val="1B3A6B"/>
        </w:rPr>
        <w:t xml:space="preserve">Primary Segments</w:t>
      </w:r>
    </w:p>
    <w:p>
      <w:pPr>
        <w:spacing w:before="200" w:after="80"/>
      </w:pPr>
      <w:r>
        <w:rPr>
          <w:b/>
          <w:bCs/>
          <w:color w:val="2E75B6"/>
          <w:sz w:val="22"/>
          <w:szCs w:val="22"/>
        </w:rPr>
        <w:t xml:space="preserve">High-Volume Enterprises</w:t>
      </w:r>
    </w:p>
    <w:p>
      <w:pPr>
        <w:spacing w:before="60" w:after="80"/>
      </w:pPr>
      <w:r>
        <w:rPr>
          <w:color w:val="333333"/>
          <w:sz w:val="20"/>
          <w:szCs w:val="20"/>
        </w:rPr>
        <w:t xml:space="preserve">Organizations receiving more than 10,000 applications per month, typically operating with 50+ recruiters and structured Talent Acquisition (TA) Operations teams. These organizations experience the highest 'candidate ghosting' risk and the greatest recruiter bandwidth pressure.</w:t>
      </w:r>
    </w:p>
    <w:p>
      <w:pPr>
        <w:spacing w:before="200" w:after="80"/>
      </w:pPr>
      <w:r>
        <w:rPr>
          <w:b/>
          <w:bCs/>
          <w:color w:val="2E75B6"/>
          <w:sz w:val="22"/>
          <w:szCs w:val="22"/>
        </w:rPr>
        <w:t xml:space="preserve">Regulated Industries</w:t>
      </w:r>
    </w:p>
    <w:p>
      <w:pPr>
        <w:spacing w:before="60" w:after="80"/>
      </w:pPr>
      <w:r>
        <w:rPr>
          <w:color w:val="333333"/>
          <w:sz w:val="20"/>
          <w:szCs w:val="20"/>
        </w:rPr>
        <w:t xml:space="preserve">Healthcare, financial services, and large-scale retail — industries where candidate complaints can trigger EEOC audits, regulatory review, or reputational escalation. These buyers have the strongest compliance motivation and the highest willingness to pay for auditable communication infrastructure.</w:t>
      </w:r>
    </w:p>
    <w:p>
      <w:pPr>
        <w:spacing w:before="200" w:after="80"/>
      </w:pPr>
      <w:r>
        <w:rPr>
          <w:b/>
          <w:bCs/>
          <w:color w:val="2E75B6"/>
          <w:sz w:val="22"/>
          <w:szCs w:val="22"/>
        </w:rPr>
        <w:t xml:space="preserve">Brand-Sensitive Technology Companies</w:t>
      </w:r>
    </w:p>
    <w:p>
      <w:pPr>
        <w:spacing w:before="60" w:after="80"/>
      </w:pPr>
      <w:r>
        <w:rPr>
          <w:color w:val="333333"/>
          <w:sz w:val="20"/>
          <w:szCs w:val="20"/>
        </w:rPr>
        <w:t xml:space="preserve">Businesses where employer brand directly correlates with offer acceptance rate and talent competitiveness. In these organizations, a single viral negative candidate experience post can measurably shift Glassdoor ratings and affect pipeline quality.</w:t>
      </w:r>
    </w:p>
    <w:p>
      <w:pPr>
        <w:spacing w:before="80" w:after="80"/>
      </w:pPr>
      <w:r>
        <w:t xml:space="preserve"/>
      </w:r>
    </w:p>
    <w:p>
      <w:pPr>
        <w:pStyle w:val="Heading2"/>
        <w:spacing w:before="280" w:after="120"/>
      </w:pPr>
      <w:r>
        <w:rPr>
          <w:b/>
          <w:bCs/>
          <w:color w:val="1B3A6B"/>
        </w:rPr>
        <w:t xml:space="preserve">Buyer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b/>
                <w:bCs/>
                <w:color w:val="FFFFFF"/>
                <w:sz w:val="20"/>
                <w:szCs w:val="20"/>
              </w:rPr>
              <w:t xml:space="preserve">Title</w:t>
            </w:r>
          </w:p>
        </w:tc>
        <w:tc>
          <w:tcPr>
            <w:tcW w:type="dxa" w:w="4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b/>
                <w:bCs/>
                <w:color w:val="FFFFFF"/>
                <w:sz w:val="20"/>
                <w:szCs w:val="20"/>
              </w:rPr>
              <w:t xml:space="preserve">Primary Motivation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Economic Buyer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Chief People Officer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Reduce brand risk, demonstrate compliance posture, improve recruiter efficiency at scale without headcount growth.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Champion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Head of Talent Acquisition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Reduce false negatives, improve funnel velocity, demonstrate candidate experience ROI to the CPO.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Influencer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Recruiting Ops Manager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ATS compatibility, workflow automation, minimal integration lift, operational consistency.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Legal / 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Chief Legal / HR Compliance Lead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Auditability of all automated messages, EEOC and GDPR alignment, data retention controls.</w:t>
            </w:r>
          </w:p>
        </w:tc>
      </w:tr>
    </w:tbl>
    <w:p>
      <w:pPr>
        <w:spacing w:before="80" w:after="80"/>
      </w:pPr>
      <w:r>
        <w:t xml:space="preserve"/>
      </w:r>
    </w:p>
    <w:p>
      <w:pPr>
        <w:pStyle w:val="Heading2"/>
        <w:spacing w:before="280" w:after="120"/>
      </w:pPr>
      <w:r>
        <w:rPr>
          <w:b/>
          <w:bCs/>
          <w:color w:val="1B3A6B"/>
        </w:rPr>
        <w:t xml:space="preserve">Core Pain Points</w:t>
      </w:r>
    </w:p>
    <w:p>
      <w:pPr>
        <w:pStyle w:val="ListParagraph"/>
        <w:numPr>
          <w:ilvl w:val="0"/>
          <w:numId w:val="2"/>
        </w:numPr>
        <w:spacing w:before="40" w:after="40"/>
      </w:pPr>
      <w:r>
        <w:rPr>
          <w:color w:val="333333"/>
          <w:sz w:val="20"/>
          <w:szCs w:val="20"/>
        </w:rPr>
        <w:t xml:space="preserve">High candidate volume leads to inconsistent communication, perceived 'ghosting,' and Glassdoor complaints.</w:t>
      </w:r>
    </w:p>
    <w:p>
      <w:pPr>
        <w:pStyle w:val="ListParagraph"/>
        <w:numPr>
          <w:ilvl w:val="0"/>
          <w:numId w:val="2"/>
        </w:numPr>
        <w:spacing w:before="40" w:after="40"/>
      </w:pPr>
      <w:r>
        <w:rPr>
          <w:color w:val="333333"/>
          <w:sz w:val="20"/>
          <w:szCs w:val="20"/>
        </w:rPr>
        <w:t xml:space="preserve">Manual recruiter follow-up consumes significant bandwidth that should be directed toward offer-stage candidates.</w:t>
      </w:r>
    </w:p>
    <w:p>
      <w:pPr>
        <w:pStyle w:val="ListParagraph"/>
        <w:numPr>
          <w:ilvl w:val="0"/>
          <w:numId w:val="2"/>
        </w:numPr>
        <w:spacing w:before="40" w:after="40"/>
      </w:pPr>
      <w:r>
        <w:rPr>
          <w:color w:val="333333"/>
          <w:sz w:val="20"/>
          <w:szCs w:val="20"/>
        </w:rPr>
        <w:t xml:space="preserve">Generic rejection emails create no lasting goodwill — candidates receive no value and develop no brand affinity.</w:t>
      </w:r>
    </w:p>
    <w:p>
      <w:pPr>
        <w:pStyle w:val="ListParagraph"/>
        <w:numPr>
          <w:ilvl w:val="0"/>
          <w:numId w:val="2"/>
        </w:numPr>
        <w:spacing w:before="40" w:after="40"/>
      </w:pPr>
      <w:r>
        <w:rPr>
          <w:color w:val="333333"/>
          <w:sz w:val="20"/>
          <w:szCs w:val="20"/>
        </w:rPr>
        <w:t xml:space="preserve">'Silver medalist' candidates who narrowly missed the bar are discarded rather than nurtured, forcing expensive re-sourcing.</w:t>
      </w:r>
    </w:p>
    <w:p>
      <w:pPr>
        <w:pStyle w:val="ListParagraph"/>
        <w:numPr>
          <w:ilvl w:val="0"/>
          <w:numId w:val="2"/>
        </w:numPr>
        <w:spacing w:before="40" w:after="40"/>
      </w:pPr>
      <w:r>
        <w:rPr>
          <w:color w:val="333333"/>
          <w:sz w:val="20"/>
          <w:szCs w:val="20"/>
        </w:rPr>
        <w:t xml:space="preserve">Unstructured or subjective rejection feedback creates audit exposure in regulated industries.</w:t>
      </w:r>
    </w:p>
    <w:p>
      <w:pPr>
        <w:pStyle w:val="ListParagraph"/>
        <w:numPr>
          <w:ilvl w:val="0"/>
          <w:numId w:val="2"/>
        </w:numPr>
        <w:spacing w:before="40" w:after="40"/>
      </w:pPr>
      <w:r>
        <w:rPr>
          <w:color w:val="333333"/>
          <w:sz w:val="20"/>
          <w:szCs w:val="20"/>
        </w:rPr>
        <w:t xml:space="preserve">Inconsistent candidate experience across recruiters undermines employer brand equity.</w:t>
      </w:r>
    </w:p>
    <w:p>
      <w:r>
        <w:br w:type="page"/>
      </w:r>
    </w:p>
    <w:p>
      <w:pPr>
        <w:pStyle w:val="Heading1"/>
        <w:pBdr>
          <w:bottom w:val="single" w:color="2E75B6" w:sz="6" w:space="4"/>
        </w:pBdr>
        <w:spacing w:before="400" w:after="160"/>
      </w:pPr>
      <w:r>
        <w:rPr>
          <w:b/>
          <w:bCs/>
          <w:color w:val="1B3A6B"/>
        </w:rPr>
        <w:t xml:space="preserve">2. Value Proposition &amp; Messaging</w:t>
      </w:r>
    </w:p>
    <w:p>
      <w:pPr>
        <w:pStyle w:val="Heading2"/>
        <w:spacing w:before="280" w:after="120"/>
      </w:pPr>
      <w:r>
        <w:rPr>
          <w:b/>
          <w:bCs/>
          <w:color w:val="1B3A6B"/>
        </w:rPr>
        <w:t xml:space="preserve">Positioning Statement</w:t>
      </w:r>
    </w:p>
    <w:p>
      <w:pPr>
        <w:spacing w:before="100" w:after="160"/>
        <w:jc w:val="left"/>
      </w:pPr>
      <w:r>
        <w:rPr>
          <w:i/>
          <w:iCs/>
          <w:color w:val="333333"/>
          <w:sz w:val="21"/>
          <w:szCs w:val="21"/>
        </w:rPr>
        <w:t xml:space="preserve">ElevenLabs' Voice Platform adds a compliant, AI-generated audio coaching layer to the hiring funnel — delivering structured, personalized candidate guidance at scale, protecting employer brand, and converting rejected applicants into a nurtured talent pipeline. The core technical differentiator is dynamic voice generation: every interaction is context-aware and role-agnostic, not a pre-recorded script.</w:t>
      </w:r>
    </w:p>
    <w:p>
      <w:pPr>
        <w:spacing w:before="80" w:after="80"/>
      </w:pPr>
      <w:r>
        <w:t xml:space="preserve"/>
      </w:r>
    </w:p>
    <w:p>
      <w:pPr>
        <w:pStyle w:val="Heading2"/>
        <w:spacing w:before="280" w:after="120"/>
      </w:pPr>
      <w:r>
        <w:rPr>
          <w:b/>
          <w:bCs/>
          <w:color w:val="1B3A6B"/>
        </w:rPr>
        <w:t xml:space="preserve">Why Voice AI, Specifically?</w:t>
      </w:r>
    </w:p>
    <w:p>
      <w:pPr>
        <w:spacing w:before="60" w:after="80"/>
      </w:pPr>
      <w:r>
        <w:rPr>
          <w:color w:val="333333"/>
          <w:sz w:val="20"/>
          <w:szCs w:val="20"/>
        </w:rPr>
        <w:t xml:space="preserve">Text-based rejection communications are table stakes and widely ignored. Voice delivers a fundamentally different psychological experience — candidates who hear a warm, articulate explanation of general skill development areas are measurably less likely to post negative reviews than those who receive a two-line email. This is ElevenLabs' core product advantage: the ability to deliver human-quality audio at zero marginal cost per interaction.</w:t>
      </w:r>
    </w:p>
    <w:p>
      <w:pPr>
        <w:spacing w:before="80" w:after="80"/>
      </w:pPr>
      <w:r>
        <w:t xml:space="preserve"/>
      </w:r>
    </w:p>
    <w:p>
      <w:pPr>
        <w:pStyle w:val="Heading2"/>
        <w:spacing w:before="280" w:after="120"/>
      </w:pPr>
      <w:r>
        <w:rPr>
          <w:b/>
          <w:bCs/>
          <w:color w:val="1B3A6B"/>
        </w:rPr>
        <w:t xml:space="preserve">Enterprise-Safe Messaging Pillars</w:t>
      </w:r>
    </w:p>
    <w:p>
      <w:pPr>
        <w:spacing w:before="200" w:after="80"/>
      </w:pPr>
      <w:r>
        <w:rPr>
          <w:b/>
          <w:bCs/>
          <w:color w:val="2E75B6"/>
          <w:sz w:val="22"/>
          <w:szCs w:val="22"/>
        </w:rPr>
        <w:t xml:space="preserve">Brand Protection</w:t>
      </w:r>
    </w:p>
    <w:p>
      <w:pPr>
        <w:spacing w:before="60" w:after="80"/>
      </w:pPr>
      <w:r>
        <w:rPr>
          <w:color w:val="333333"/>
          <w:sz w:val="20"/>
          <w:szCs w:val="20"/>
        </w:rPr>
        <w:t xml:space="preserve">Consistent, structured communication across every candidate touchpoint — regardless of recruiter, role, or volume — reduces the variance that produces outlier negative experiences.</w:t>
      </w:r>
    </w:p>
    <w:p>
      <w:pPr>
        <w:spacing w:before="200" w:after="80"/>
      </w:pPr>
      <w:r>
        <w:rPr>
          <w:b/>
          <w:bCs/>
          <w:color w:val="2E75B6"/>
          <w:sz w:val="22"/>
          <w:szCs w:val="22"/>
        </w:rPr>
        <w:t xml:space="preserve">Operational Efficiency</w:t>
      </w:r>
    </w:p>
    <w:p>
      <w:pPr>
        <w:spacing w:before="60" w:after="80"/>
      </w:pPr>
      <w:r>
        <w:rPr>
          <w:color w:val="333333"/>
          <w:sz w:val="20"/>
          <w:szCs w:val="20"/>
        </w:rPr>
        <w:t xml:space="preserve">Automated candidate interactions free recruiters from repetitive low-value communication tasks. Every saved interaction is redirected to offer-stage and senior-pipeline candidates where human judgment adds the most value.</w:t>
      </w:r>
    </w:p>
    <w:p>
      <w:pPr>
        <w:spacing w:before="200" w:after="80"/>
      </w:pPr>
      <w:r>
        <w:rPr>
          <w:b/>
          <w:bCs/>
          <w:color w:val="2E75B6"/>
          <w:sz w:val="22"/>
          <w:szCs w:val="22"/>
        </w:rPr>
        <w:t xml:space="preserve">Pipeline Quality</w:t>
      </w:r>
    </w:p>
    <w:p>
      <w:pPr>
        <w:spacing w:before="60" w:after="80"/>
      </w:pPr>
      <w:r>
        <w:rPr>
          <w:color w:val="333333"/>
          <w:sz w:val="20"/>
          <w:szCs w:val="20"/>
        </w:rPr>
        <w:t xml:space="preserve">Rejected candidates who receive value — a genuine skill development insight, delivered with respect — are significantly more likely to re-engage, refer peers, and accept future offers. The talent pool compounds over time.</w:t>
      </w:r>
    </w:p>
    <w:p>
      <w:pPr>
        <w:spacing w:before="200" w:after="80"/>
      </w:pPr>
      <w:r>
        <w:rPr>
          <w:b/>
          <w:bCs/>
          <w:color w:val="2E75B6"/>
          <w:sz w:val="22"/>
          <w:szCs w:val="22"/>
        </w:rPr>
        <w:t xml:space="preserve">Risk Reduction</w:t>
      </w:r>
    </w:p>
    <w:p>
      <w:pPr>
        <w:spacing w:before="60" w:after="80"/>
      </w:pPr>
      <w:r>
        <w:rPr>
          <w:color w:val="333333"/>
          <w:sz w:val="20"/>
          <w:szCs w:val="20"/>
        </w:rPr>
        <w:t xml:space="preserve">Standardized, role-agnostic, and fully auditable guidance replaces subjective recruiter commentary. This is not a legal opinion — buyers must engage their own counsel — but the architecture is designed to support EEOC and GDPR compliance review.</w:t>
      </w:r>
    </w:p>
    <w:p>
      <w:pPr>
        <w:spacing w:before="80" w:after="80"/>
      </w:pPr>
      <w:r>
        <w:t xml:space="preserve"/>
      </w:r>
    </w:p>
    <w:p>
      <w:pPr>
        <w:pStyle w:val="Heading2"/>
        <w:spacing w:before="280" w:after="120"/>
      </w:pPr>
      <w:r>
        <w:rPr>
          <w:b/>
          <w:bCs/>
          <w:color w:val="1B3A6B"/>
        </w:rPr>
        <w:t xml:space="preserve">Status Quo vs. ElevenLabs Voice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c>
          <w:tcPr>
            <w:tcW w:type="dxa" w:w="21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b/>
                <w:bCs/>
                <w:color w:val="FFFFFF"/>
                <w:sz w:val="20"/>
                <w:szCs w:val="20"/>
              </w:rPr>
              <w:t xml:space="preserve">Area</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b/>
                <w:bCs/>
                <w:color w:val="FFFFFF"/>
                <w:sz w:val="20"/>
                <w:szCs w:val="20"/>
              </w:rPr>
              <w:t xml:space="preserve">Status Quo</w:t>
            </w:r>
          </w:p>
        </w:tc>
        <w:tc>
          <w:tcPr>
            <w:tcW w:type="dxa" w:w="40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b/>
                <w:bCs/>
                <w:color w:val="FFFFFF"/>
                <w:sz w:val="20"/>
                <w:szCs w:val="20"/>
              </w:rPr>
              <w:t xml:space="preserve">ElevenLabs Voice Platform</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Candidate Feedback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Generic rejection email; no rationale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Structured, role-agnostic skill guidance aligned with EEOC standards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Post-Rejection Experience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Silence → Glassdoor complaints → brand damage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Automated coaching interaction → improved sentiment → reduced complaints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Employer Brand Impact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Negative reviews erode offer acceptance rates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Consistent, respectful communication builds advocacy even among rejected candidates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Talent Pool Utilization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Candidates discarded after first-round rejection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Silver medalists enter a GDPR-compliant nurture track for future re-engagement</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Recruiter Workload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Manual follow-ups consume 20-40% of recruiter bandwidth</w:t>
            </w:r>
          </w:p>
        </w:tc>
        <w:tc>
          <w:tcPr>
            <w:tcW w:type="dxa" w:w="4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color w:val="333333"/>
                <w:sz w:val="18"/>
                <w:szCs w:val="18"/>
              </w:rPr>
              <w:t xml:space="preserve">Standardized, automated communication frees recruiters for high-value work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Compliance Posture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Subjective recruiter feedback creates audit exposure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18"/>
                <w:szCs w:val="18"/>
              </w:rPr>
              <w:t xml:space="preserve">Fully auditable, bias-reduced, EEOC/GDPR-aligned communications log</w:t>
            </w:r>
          </w:p>
        </w:tc>
      </w:tr>
    </w:tbl>
    <w:p>
      <w:pPr>
        <w:spacing w:before="80" w:after="80"/>
      </w:pPr>
      <w:r>
        <w:t xml:space="preserve"/>
      </w:r>
    </w:p>
    <w:p>
      <w:r>
        <w:br w:type="page"/>
      </w:r>
    </w:p>
    <w:p>
      <w:pPr>
        <w:pStyle w:val="Heading1"/>
        <w:pBdr>
          <w:bottom w:val="single" w:color="2E75B6" w:sz="6" w:space="4"/>
        </w:pBdr>
        <w:spacing w:before="400" w:after="160"/>
      </w:pPr>
      <w:r>
        <w:rPr>
          <w:b/>
          <w:bCs/>
          <w:color w:val="1B3A6B"/>
        </w:rPr>
        <w:t xml:space="preserve">3. Compliance Architecture</w:t>
      </w:r>
    </w:p>
    <w:p>
      <w:pPr>
        <w:pStyle w:val="Heading2"/>
        <w:spacing w:before="280" w:after="120"/>
      </w:pPr>
      <w:r>
        <w:rPr>
          <w:b/>
          <w:bCs/>
          <w:color w:val="1B3A6B"/>
        </w:rPr>
        <w:t xml:space="preserve">Why 'EEOC-Aligned' Requires Specificity</w:t>
      </w:r>
    </w:p>
    <w:p>
      <w:pPr>
        <w:spacing w:before="60" w:after="80"/>
      </w:pPr>
      <w:r>
        <w:rPr>
          <w:color w:val="333333"/>
          <w:sz w:val="20"/>
          <w:szCs w:val="20"/>
        </w:rPr>
        <w:t xml:space="preserve">Asserting EEOC alignment without describing the underlying architecture is insufficient for enterprise legal review. The following describes the specific design decisions that support a defensible compliance posture. Customers must conduct their own legal review for their specific jurisdictions and use cases.</w:t>
      </w:r>
    </w:p>
    <w:p>
      <w:pPr>
        <w:spacing w:before="80" w:after="80"/>
      </w:pPr>
      <w:r>
        <w:t xml:space="preserve"/>
      </w:r>
    </w:p>
    <w:p>
      <w:pPr>
        <w:pStyle w:val="Heading2"/>
        <w:spacing w:before="280" w:after="120"/>
      </w:pPr>
      <w:r>
        <w:rPr>
          <w:b/>
          <w:bCs/>
          <w:color w:val="1B3A6B"/>
        </w:rPr>
        <w:t xml:space="preserve">Compliance Design Principles</w:t>
      </w:r>
    </w:p>
    <w:p>
      <w:pPr>
        <w:spacing w:before="200" w:after="80"/>
      </w:pPr>
      <w:r>
        <w:rPr>
          <w:b/>
          <w:bCs/>
          <w:color w:val="2E75B6"/>
          <w:sz w:val="22"/>
          <w:szCs w:val="22"/>
        </w:rPr>
        <w:t xml:space="preserve">Role-Agnostic, Not Job-Specific Feedback</w:t>
      </w:r>
    </w:p>
    <w:p>
      <w:pPr>
        <w:spacing w:before="60" w:after="80"/>
      </w:pPr>
      <w:r>
        <w:rPr>
          <w:color w:val="333333"/>
          <w:sz w:val="20"/>
          <w:szCs w:val="20"/>
        </w:rPr>
        <w:t xml:space="preserve">All candidate guidance is limited to general, transferable skill development areas (e.g., 'structured communication in technical contexts' or 'systems design articulation') — never tied to the specific role, hiring manager, or evaluation criteria used in the rejected application. This is the critical architectural distinction: the system does not explain why a candidate was rejected from a specific role. It provides general professional development insights.</w:t>
      </w:r>
    </w:p>
    <w:p>
      <w:pPr>
        <w:spacing w:before="200" w:after="80"/>
      </w:pPr>
      <w:r>
        <w:rPr>
          <w:b/>
          <w:bCs/>
          <w:color w:val="2E75B6"/>
          <w:sz w:val="22"/>
          <w:szCs w:val="22"/>
        </w:rPr>
        <w:t xml:space="preserve">Standardized Across Demographics</w:t>
      </w:r>
    </w:p>
    <w:p>
      <w:pPr>
        <w:spacing w:before="60" w:after="80"/>
      </w:pPr>
      <w:r>
        <w:rPr>
          <w:color w:val="333333"/>
          <w:sz w:val="20"/>
          <w:szCs w:val="20"/>
        </w:rPr>
        <w:t xml:space="preserve">Guidance templates are pre-approved by legal counsel and applied uniformly across all candidates in a cohort. No recruiter discretion is applied at the message-generation stage. This reduces the variance that creates disparate-impact exposure.</w:t>
      </w:r>
    </w:p>
    <w:p>
      <w:pPr>
        <w:spacing w:before="200" w:after="80"/>
      </w:pPr>
      <w:r>
        <w:rPr>
          <w:b/>
          <w:bCs/>
          <w:color w:val="2E75B6"/>
          <w:sz w:val="22"/>
          <w:szCs w:val="22"/>
        </w:rPr>
        <w:t xml:space="preserve">Full Audit Log</w:t>
      </w:r>
    </w:p>
    <w:p>
      <w:pPr>
        <w:spacing w:before="60" w:after="80"/>
      </w:pPr>
      <w:r>
        <w:rPr>
          <w:color w:val="333333"/>
          <w:sz w:val="20"/>
          <w:szCs w:val="20"/>
        </w:rPr>
        <w:t xml:space="preserve">Every generated message is logged with a timestamp, the template version used, the candidate identifier (pseudonymized), and the cohort parameters that triggered the message. This audit trail is retained per agreed data governance policies and is available for regulatory review.</w:t>
      </w:r>
    </w:p>
    <w:p>
      <w:pPr>
        <w:spacing w:before="200" w:after="80"/>
      </w:pPr>
      <w:r>
        <w:rPr>
          <w:b/>
          <w:bCs/>
          <w:color w:val="2E75B6"/>
          <w:sz w:val="22"/>
          <w:szCs w:val="22"/>
        </w:rPr>
        <w:t xml:space="preserve">Candidate Consent and Data Rights</w:t>
      </w:r>
    </w:p>
    <w:p>
      <w:pPr>
        <w:spacing w:before="60" w:after="80"/>
      </w:pPr>
      <w:r>
        <w:rPr>
          <w:color w:val="333333"/>
          <w:sz w:val="20"/>
          <w:szCs w:val="20"/>
        </w:rPr>
        <w:t xml:space="preserve">Candidates are informed at application that they may receive automated skill development communications. Opt-out is available at any stage. Data deletion requests are processed within 30 days in compliance with GDPR Article 17. No candidate data is used to train public models without explicit, granular opt-in consent.</w:t>
      </w:r>
    </w:p>
    <w:p>
      <w:pPr>
        <w:spacing w:before="200" w:after="80"/>
      </w:pPr>
      <w:r>
        <w:rPr>
          <w:b/>
          <w:bCs/>
          <w:color w:val="2E75B6"/>
          <w:sz w:val="22"/>
          <w:szCs w:val="22"/>
        </w:rPr>
        <w:t xml:space="preserve">No Protected Class Data in Guidance Logic</w:t>
      </w:r>
    </w:p>
    <w:p>
      <w:pPr>
        <w:spacing w:before="60" w:after="80"/>
      </w:pPr>
      <w:r>
        <w:rPr>
          <w:color w:val="333333"/>
          <w:sz w:val="20"/>
          <w:szCs w:val="20"/>
        </w:rPr>
        <w:t xml:space="preserve">The guidance generation logic does not ingest or reference age, gender, race, national origin, or other protected class attributes. Cohort segmentation is based exclusively on role category and skill gap profile derived from anonymized assessment signals.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20"/>
              <w:left w:type="dxa" w:w="180"/>
              <w:bottom w:type="dxa" w:w="120"/>
              <w:right w:type="dxa" w:w="180"/>
            </w:tcMar>
          </w:tcPr>
          <w:p>
            <w:pPr>
              <w:spacing w:before="60" w:after="80"/>
            </w:pPr>
            <w:r>
              <w:rPr>
                <w:b/>
                <w:bCs/>
                <w:color w:val="1B3A6B"/>
                <w:sz w:val="20"/>
                <w:szCs w:val="20"/>
              </w:rPr>
              <w:t xml:space="preserve">Legal Disclaimer</w:t>
            </w:r>
          </w:p>
          <w:p>
            <w:pPr>
              <w:spacing w:before="30" w:after="30"/>
            </w:pPr>
            <w:r>
              <w:rPr>
                <w:color w:val="333333"/>
                <w:sz w:val="18"/>
                <w:szCs w:val="18"/>
              </w:rPr>
              <w:t xml:space="preserve">• The compliance architecture described above represents a design intent, not a legal certification.</w:t>
            </w:r>
          </w:p>
          <w:p>
            <w:pPr>
              <w:spacing w:before="30" w:after="30"/>
            </w:pPr>
            <w:r>
              <w:rPr>
                <w:color w:val="333333"/>
                <w:sz w:val="18"/>
                <w:szCs w:val="18"/>
              </w:rPr>
              <w:t xml:space="preserve">• ElevenLabs does not provide legal advice. Enterprise customers are required to conduct independent legal review.</w:t>
            </w:r>
          </w:p>
          <w:p>
            <w:pPr>
              <w:spacing w:before="30" w:after="30"/>
            </w:pPr>
            <w:r>
              <w:rPr>
                <w:color w:val="333333"/>
                <w:sz w:val="18"/>
                <w:szCs w:val="18"/>
              </w:rPr>
              <w:t xml:space="preserve">• Specific EEOC and GDPR implications vary by jurisdiction, industry, and implementation context.</w:t>
            </w:r>
          </w:p>
          <w:p>
            <w:pPr>
              <w:spacing w:before="30" w:after="30"/>
            </w:pPr>
            <w:r>
              <w:rPr>
                <w:color w:val="333333"/>
                <w:sz w:val="18"/>
                <w:szCs w:val="18"/>
              </w:rPr>
              <w:t xml:space="preserve">• Customers are encouraged to involve employment law counsel during the procurement and implementation process.</w:t>
            </w:r>
          </w:p>
        </w:tc>
      </w:tr>
    </w:tbl>
    <w:p>
      <w:pPr>
        <w:spacing w:before="80" w:after="80"/>
      </w:pPr>
      <w:r>
        <w:t xml:space="preserve"/>
      </w:r>
    </w:p>
    <w:p>
      <w:pPr>
        <w:pStyle w:val="Heading2"/>
        <w:spacing w:before="280" w:after="120"/>
      </w:pPr>
      <w:r>
        <w:rPr>
          <w:b/>
          <w:bCs/>
          <w:color w:val="1B3A6B"/>
        </w:rPr>
        <w:t xml:space="preserve">Region-Specific Template Library</w:t>
      </w:r>
    </w:p>
    <w:p>
      <w:pPr>
        <w:spacing w:before="60" w:after="80"/>
      </w:pPr>
      <w:r>
        <w:rPr>
          <w:color w:val="333333"/>
          <w:sz w:val="20"/>
          <w:szCs w:val="20"/>
        </w:rPr>
        <w:t xml:space="preserve">A single global template set is insufficient for multinational enterprise buyers. Employment law governing candidate communications varies materially across jurisdictions — what is compliant in the US under EEOC guidance may require modification for EU works council requirements or APAC data localisation rules. The platform ships with three pre-approved regional template sets, each reviewed by employment counsel in that jurisdiction: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Region</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Primary Regulatory Framework</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Key Template Adaptations</w:t>
            </w:r>
          </w:p>
        </w:tc>
      </w:tr>
      <w:tr>
        <w:tc>
          <w:tcPr>
            <w:tcW w:type="dxa" w:w="18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vAlign w:val="top"/>
          </w:tcPr>
          <w:p>
            <w:r>
              <w:rPr>
                <w:color w:val="333333"/>
                <w:sz w:val="17"/>
                <w:szCs w:val="17"/>
              </w:rPr>
              <w:t xml:space="preserve">US / Canada</w:t>
            </w:r>
          </w:p>
        </w:tc>
        <w:tc>
          <w:tcPr>
            <w:tcW w:type="dxa" w:w="30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vAlign w:val="top"/>
          </w:tcPr>
          <w:p>
            <w:r>
              <w:rPr>
                <w:color w:val="333333"/>
                <w:sz w:val="17"/>
                <w:szCs w:val="17"/>
              </w:rPr>
              <w:t xml:space="preserve">EEOC Title VII; OFCCP (federal contractors); state-level equivalents (CA FEHA, NY Executive Law).</w:t>
            </w:r>
          </w:p>
        </w:tc>
        <w:tc>
          <w:tcPr>
            <w:tcW w:type="dxa" w:w="456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vAlign w:val="top"/>
          </w:tcPr>
          <w:p>
            <w:r>
              <w:rPr>
                <w:color w:val="333333"/>
                <w:sz w:val="17"/>
                <w:szCs w:val="17"/>
              </w:rPr>
              <w:t xml:space="preserve">Role-agnostic language strictly enforced. No reference to protected class attributes. Standardized across all candidates in a requisition cohort. Candidate complaint escalation path references EEOC charge process.</w:t>
            </w:r>
          </w:p>
        </w:tc>
      </w:tr>
      <w:tr>
        <w:tc>
          <w:tcPr>
            <w:tcW w:type="dxa" w:w="1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r>
              <w:rPr>
                <w:color w:val="333333"/>
                <w:sz w:val="17"/>
                <w:szCs w:val="17"/>
              </w:rPr>
              <w:t xml:space="preserve">EU / EEA / UK</w:t>
            </w:r>
          </w:p>
        </w:tc>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r>
              <w:rPr>
                <w:color w:val="333333"/>
                <w:sz w:val="17"/>
                <w:szCs w:val="17"/>
              </w:rPr>
              <w:t xml:space="preserve">GDPR Articles 13-14 (transparency); local employment law (works council notification requirements vary by country); UK Equality Act 2010.</w:t>
            </w:r>
          </w:p>
        </w:tc>
        <w:tc>
          <w:tcPr>
            <w:tcW w:type="dxa" w:w="4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r>
              <w:rPr>
                <w:color w:val="333333"/>
                <w:sz w:val="17"/>
                <w:szCs w:val="17"/>
              </w:rPr>
              <w:t xml:space="preserve">Explicit disclosure of automated processing at application stage. Data subject rights statement included in every interaction. Works council notification language included for DE, FR, NL deployments. UK templates reviewed post-Brexit for divergence from EU standard.</w:t>
            </w:r>
          </w:p>
        </w:tc>
      </w:tr>
      <w:tr>
        <w:tc>
          <w:tcPr>
            <w:tcW w:type="dxa" w:w="18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vAlign w:val="top"/>
          </w:tcPr>
          <w:p>
            <w:r>
              <w:rPr>
                <w:color w:val="333333"/>
                <w:sz w:val="17"/>
                <w:szCs w:val="17"/>
              </w:rPr>
              <w:t xml:space="preserve">APAC</w:t>
            </w:r>
          </w:p>
        </w:tc>
        <w:tc>
          <w:tcPr>
            <w:tcW w:type="dxa" w:w="30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vAlign w:val="top"/>
          </w:tcPr>
          <w:p>
            <w:r>
              <w:rPr>
                <w:color w:val="333333"/>
                <w:sz w:val="17"/>
                <w:szCs w:val="17"/>
              </w:rPr>
              <w:t xml:space="preserve">Australia Privacy Act / APPs; Singapore PDPA; Japan APPI; country-specific employment law varies significantly.</w:t>
            </w:r>
          </w:p>
        </w:tc>
        <w:tc>
          <w:tcPr>
            <w:tcW w:type="dxa" w:w="456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vAlign w:val="top"/>
          </w:tcPr>
          <w:p>
            <w:r>
              <w:rPr>
                <w:color w:val="333333"/>
                <w:sz w:val="17"/>
                <w:szCs w:val="17"/>
              </w:rPr>
              <w:t xml:space="preserve">Data localisation requirements reviewed per country. Consent language adapted to local opt-in standards (Australia opt-out vs. Singapore opt-in). Templates marked as 'requires local counsel review' for markets not yet fully mapped (India, Indonesia, Vietnam).</w:t>
            </w:r>
          </w:p>
        </w:tc>
      </w:tr>
    </w:tbl>
    <w:p>
      <w:pPr>
        <w:spacing w:before="80" w:after="80"/>
      </w:pPr>
      <w:r>
        <w:t xml:space="preserve"/>
      </w:r>
    </w:p>
    <w:p>
      <w:pPr>
        <w:spacing w:before="60" w:after="80"/>
      </w:pPr>
      <w:r>
        <w:rPr>
          <w:color w:val="333333"/>
          <w:sz w:val="20"/>
          <w:szCs w:val="20"/>
        </w:rPr>
        <w:t xml:space="preserve">Customers operating across multiple regions are assigned a regional template set per deployment geography. Custom templates — including those written by the customer's own legal team — are accepted subject to a one-time platform review confirming they do not conflict with the core compliance architecture. Mixed-region deployments (e.g., a US-headquartered company hiring in Germany) require explicit sign-off on which template set governs each candidate cohort.</w:t>
      </w:r>
    </w:p>
    <w:p>
      <w:pPr>
        <w:spacing w:before="80" w:after="80"/>
      </w:pPr>
      <w:r>
        <w:t xml:space="preserve"/>
      </w:r>
    </w:p>
    <w:p>
      <w:pPr>
        <w:spacing w:before="40" w:after="40"/>
      </w:pPr>
      <w:r>
        <w:rPr>
          <w:i/>
          <w:iCs/>
          <w:color w:val="888888"/>
          <w:sz w:val="16"/>
          <w:szCs w:val="16"/>
        </w:rPr>
        <w:t xml:space="preserve">Template library review cycles: US/Canada and EU/EEA/UK templates are reviewed annually and after any material regulatory change. APAC templates are reviewed semi-annually given the pace of regulatory development in the region. Version history is maintained in the admin console audit log.</w:t>
      </w:r>
    </w:p>
    <w:p>
      <w:r>
        <w:br w:type="page"/>
      </w:r>
    </w:p>
    <w:p>
      <w:pPr>
        <w:pStyle w:val="Heading1"/>
        <w:pBdr>
          <w:bottom w:val="single" w:color="2E75B6" w:sz="6" w:space="4"/>
        </w:pBdr>
        <w:spacing w:before="400" w:after="160"/>
      </w:pPr>
      <w:r>
        <w:rPr>
          <w:b/>
          <w:bCs/>
          <w:color w:val="1B3A6B"/>
        </w:rPr>
        <w:t xml:space="preserve">4. Pricing Strategy</w:t>
      </w:r>
    </w:p>
    <w:p>
      <w:pPr>
        <w:pStyle w:val="Heading2"/>
        <w:spacing w:before="280" w:after="120"/>
      </w:pPr>
      <w:r>
        <w:rPr>
          <w:b/>
          <w:bCs/>
          <w:color w:val="1B3A6B"/>
        </w:rPr>
        <w:t xml:space="preserve">Outcome-Aligned Enterprise Model</w:t>
      </w:r>
    </w:p>
    <w:p>
      <w:pPr>
        <w:spacing w:before="60" w:after="80"/>
      </w:pPr>
      <w:r>
        <w:rPr>
          <w:color w:val="333333"/>
          <w:sz w:val="20"/>
          <w:szCs w:val="20"/>
        </w:rPr>
        <w:t xml:space="preserve">Pricing is structured to align ElevenLabs' revenue with customer outcomes — predictable platform costs for budget certainty, usage-based scaling for volume flexibility, and an optional performance component for enterprise accounts willing to share outcome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4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b/>
                <w:bCs/>
                <w:color w:val="FFFFFF"/>
                <w:sz w:val="18"/>
                <w:szCs w:val="18"/>
              </w:rPr>
              <w:t xml:space="preserve">Billing Model</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b/>
                <w:bCs/>
                <w:color w:val="FFFFFF"/>
                <w:sz w:val="18"/>
                <w:szCs w:val="18"/>
              </w:rPr>
              <w:t xml:space="preserve">What's Included</w:t>
            </w:r>
          </w:p>
        </w:tc>
        <w:tc>
          <w:tcPr>
            <w:tcW w:type="dxa" w:w="24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b/>
                <w:bCs/>
                <w:color w:val="FFFFFF"/>
                <w:sz w:val="18"/>
                <w:szCs w:val="18"/>
              </w:rPr>
              <w:t xml:space="preserve">Pricing Detail</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b/>
                <w:bCs/>
                <w:color w:val="333333"/>
                <w:sz w:val="18"/>
                <w:szCs w:val="18"/>
              </w:rPr>
              <w:t xml:space="preserve">Platform License</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b w:val="false"/>
                <w:bCs w:val="false"/>
                <w:color w:val="333333"/>
                <w:sz w:val="18"/>
                <w:szCs w:val="18"/>
              </w:rPr>
              <w:t xml:space="preserve">Annual flat fee</w:t>
            </w:r>
          </w:p>
        </w:tc>
        <w:tc>
          <w:tcPr>
            <w:tcW w:type="dxa" w:w="2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b w:val="false"/>
                <w:bCs w:val="false"/>
                <w:color w:val="333333"/>
                <w:sz w:val="18"/>
                <w:szCs w:val="18"/>
              </w:rPr>
              <w:t xml:space="preserve">Core platform, ATS integrations, audit logs, admin dashboard, GDPR/SOC2 compliance</w:t>
            </w:r>
          </w:p>
        </w:tc>
        <w:tc>
          <w:tcPr>
            <w:tcW w:type="dxa" w:w="24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b w:val="false"/>
                <w:bCs w:val="false"/>
                <w:color w:val="333333"/>
                <w:sz w:val="18"/>
                <w:szCs w:val="18"/>
              </w:rPr>
              <w:t xml:space="preserve">Pricing on request — based on recruiter seat count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333333"/>
                <w:sz w:val="18"/>
                <w:szCs w:val="18"/>
              </w:rPr>
              <w:t xml:space="preserve">Upskill Session Add-On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333333"/>
                <w:sz w:val="18"/>
                <w:szCs w:val="18"/>
              </w:rPr>
              <w:t xml:space="preserve">Per-candidate usage fee</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333333"/>
                <w:sz w:val="18"/>
                <w:szCs w:val="18"/>
              </w:rPr>
              <w:t xml:space="preserve">Individual candidate coaching interaction (voice + text)</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333333"/>
                <w:sz w:val="18"/>
                <w:szCs w:val="18"/>
              </w:rPr>
              <w:t xml:space="preserve">Volume-tiered; discounts at 5K, 20K, 50K+ sessions/month</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333333"/>
                <w:sz w:val="18"/>
                <w:szCs w:val="18"/>
              </w:rPr>
              <w:t xml:space="preserve">Outcome Performance Bonus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333333"/>
                <w:sz w:val="18"/>
                <w:szCs w:val="18"/>
              </w:rPr>
              <w:t xml:space="preserve">Optional, milestone-triggered</w:t>
            </w:r>
          </w:p>
        </w:tc>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333333"/>
                <w:sz w:val="18"/>
                <w:szCs w:val="18"/>
              </w:rPr>
              <w:t xml:space="preserve">Payable when agreed KPIs are met (e.g., complaint reduction, re-engagement rate)</w:t>
            </w:r>
          </w:p>
        </w:tc>
        <w:tc>
          <w:tcPr>
            <w:tcW w:type="dxa" w:w="24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333333"/>
                <w:sz w:val="18"/>
                <w:szCs w:val="18"/>
              </w:rPr>
              <w:t xml:space="preserve">Capped at agreed % of contract value; verified by shared dashboard</w:t>
            </w:r>
          </w:p>
        </w:tc>
      </w:tr>
    </w:tbl>
    <w:p>
      <w:pPr>
        <w:spacing w:before="80" w:after="80"/>
      </w:pPr>
      <w:r>
        <w:t xml:space="preserve"/>
      </w:r>
    </w:p>
    <w:p>
      <w:pPr>
        <w:pStyle w:val="Heading2"/>
        <w:spacing w:before="280" w:after="120"/>
      </w:pPr>
      <w:r>
        <w:rPr>
          <w:b/>
          <w:bCs/>
          <w:color w:val="1B3A6B"/>
        </w:rPr>
        <w:t xml:space="preserve">ROI Framework</w:t>
      </w:r>
    </w:p>
    <w:p>
      <w:pPr>
        <w:spacing w:before="60" w:after="80"/>
      </w:pPr>
      <w:r>
        <w:rPr>
          <w:color w:val="333333"/>
          <w:sz w:val="20"/>
          <w:szCs w:val="20"/>
        </w:rPr>
        <w:t xml:space="preserve">The following metrics represent the financial case for the platform. Ranges marked 'Benchmark' are drawn from published industry data; ranges marked 'Prospective' are forward-looking estimates to be validated through Year 1 customer studies. Sales teams should not present prospective estimates as validated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18"/>
                <w:szCs w:val="18"/>
              </w:rPr>
              <w:t xml:space="preserve">Range</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18"/>
                <w:szCs w:val="18"/>
              </w:rPr>
              <w:t xml:space="preserve">Source / Status</w:t>
            </w:r>
          </w:p>
        </w:tc>
        <w:tc>
          <w:tcPr>
            <w:tcW w:type="dxa" w:w="18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18"/>
                <w:szCs w:val="18"/>
              </w:rPr>
              <w:t xml:space="preserve">Business Impact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18"/>
                <w:szCs w:val="18"/>
              </w:rPr>
              <w:t xml:space="preserve">Reduction in candidate complaints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18"/>
                <w:szCs w:val="18"/>
              </w:rPr>
              <w:t xml:space="preserve">20-30%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18"/>
                <w:szCs w:val="18"/>
              </w:rPr>
              <w:t xml:space="preserve">Industry benchmark data (Candidate Experience Awards, 2023 CandE Report)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18"/>
                <w:szCs w:val="18"/>
              </w:rPr>
              <w:t xml:space="preserve">Brand risk / Glassdoor protection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Silver medalist re-engagement lift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15-25%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Internal ElevenLabs pilot data — to be validated at customer scale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Reduced sourcing spend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18"/>
                <w:szCs w:val="18"/>
              </w:rPr>
              <w:t xml:space="preserve">Recruiter time saved on comms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18"/>
                <w:szCs w:val="18"/>
              </w:rPr>
              <w:t xml:space="preserve">10-20%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18"/>
                <w:szCs w:val="18"/>
              </w:rPr>
              <w:t xml:space="preserve">SHRM 2023 Recruiter Productivity Report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18"/>
                <w:szCs w:val="18"/>
              </w:rPr>
              <w:t xml:space="preserve">Headcount efficiency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Reduction in time-to-fill (reactivated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5-15%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To be validated; prospective metric for Year 1 customer studies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Pipeline velocity</w:t>
            </w:r>
          </w:p>
        </w:tc>
      </w:tr>
    </w:tbl>
    <w:p>
      <w:pPr>
        <w:spacing w:before="80" w:after="80"/>
      </w:pPr>
      <w:r>
        <w:t xml:space="preserve"/>
      </w:r>
    </w:p>
    <w:p>
      <w:pPr>
        <w:spacing w:before="40" w:after="40"/>
      </w:pPr>
      <w:r>
        <w:rPr>
          <w:i/>
          <w:iCs/>
          <w:color w:val="888888"/>
          <w:sz w:val="16"/>
          <w:szCs w:val="16"/>
        </w:rPr>
        <w:t xml:space="preserve">Sources: Candidate Experience Awards (CandE) 2023 Research Report; SHRM 2023 Recruiter Productivity Benchmarks. 'Internal pilot' figures are preliminary and subject to revision. Prospective estimates are illustrative only.</w:t>
      </w:r>
    </w:p>
    <w:p>
      <w:r>
        <w:br w:type="page"/>
      </w:r>
    </w:p>
    <w:p>
      <w:pPr>
        <w:pStyle w:val="Heading1"/>
        <w:pBdr>
          <w:bottom w:val="single" w:color="2E75B6" w:sz="6" w:space="4"/>
        </w:pBdr>
        <w:spacing w:before="400" w:after="160"/>
      </w:pPr>
      <w:r>
        <w:rPr>
          <w:b/>
          <w:bCs/>
          <w:color w:val="1B3A6B"/>
        </w:rPr>
        <w:t xml:space="preserve">5. Multi-Channel Distribution Motion</w:t>
      </w:r>
    </w:p>
    <w:p>
      <w:pPr>
        <w:pStyle w:val="Heading2"/>
        <w:spacing w:before="280" w:after="120"/>
      </w:pPr>
      <w:r>
        <w:rPr>
          <w:b/>
          <w:bCs/>
          <w:color w:val="1B3A6B"/>
        </w:rPr>
        <w:t xml:space="preserve">Phase 1 — Product-Led Growth: The 'Candidate Experience Audit' Tool</w:t>
      </w:r>
    </w:p>
    <w:p>
      <w:pPr>
        <w:spacing w:before="60" w:after="80"/>
      </w:pPr>
      <w:r>
        <w:rPr>
          <w:color w:val="333333"/>
          <w:sz w:val="20"/>
          <w:szCs w:val="20"/>
        </w:rPr>
        <w:t xml:space="preserve">A public benchmarking tool where TA leaders can input their organization's application volume, rejection rate, and current communication approach to receive:</w:t>
      </w:r>
    </w:p>
    <w:p>
      <w:pPr>
        <w:pStyle w:val="ListParagraph"/>
        <w:numPr>
          <w:ilvl w:val="0"/>
          <w:numId w:val="2"/>
        </w:numPr>
        <w:spacing w:before="40" w:after="40"/>
      </w:pPr>
      <w:r>
        <w:rPr>
          <w:color w:val="333333"/>
          <w:sz w:val="20"/>
          <w:szCs w:val="20"/>
        </w:rPr>
        <w:t xml:space="preserve">A 'Candidate Experience Score' benchmarked against industry peers (sourced from CandE data)</w:t>
      </w:r>
    </w:p>
    <w:p>
      <w:pPr>
        <w:pStyle w:val="ListParagraph"/>
        <w:numPr>
          <w:ilvl w:val="0"/>
          <w:numId w:val="2"/>
        </w:numPr>
        <w:spacing w:before="40" w:after="40"/>
      </w:pPr>
      <w:r>
        <w:rPr>
          <w:color w:val="333333"/>
          <w:sz w:val="20"/>
          <w:szCs w:val="20"/>
        </w:rPr>
        <w:t xml:space="preserve">A 'False Negative Tax Estimate' — the estimated cost of re-sourcing candidates who were qualified but disengaged by a poor rejection experience</w:t>
      </w:r>
    </w:p>
    <w:p>
      <w:pPr>
        <w:pStyle w:val="ListParagraph"/>
        <w:numPr>
          <w:ilvl w:val="0"/>
          <w:numId w:val="2"/>
        </w:numPr>
        <w:spacing w:before="40" w:after="40"/>
      </w:pPr>
      <w:r>
        <w:rPr>
          <w:color w:val="333333"/>
          <w:sz w:val="20"/>
          <w:szCs w:val="20"/>
        </w:rPr>
        <w:t xml:space="preserve">A 'Brand Risk Index' derived from their Glassdoor rating trajectory and industry rejection rate norms</w:t>
      </w:r>
    </w:p>
    <w:p>
      <w:pPr>
        <w:pStyle w:val="ListParagraph"/>
        <w:numPr>
          <w:ilvl w:val="0"/>
          <w:numId w:val="2"/>
        </w:numPr>
        <w:spacing w:before="40" w:after="40"/>
      </w:pPr>
      <w:r>
        <w:rPr>
          <w:color w:val="333333"/>
          <w:sz w:val="20"/>
          <w:szCs w:val="20"/>
        </w:rPr>
        <w:t xml:space="preserve">A personalized 'What Good Looks Like' report showing the gap between their current state and top-quartile candidate experience</w:t>
      </w:r>
    </w:p>
    <w:p>
      <w:pPr>
        <w:spacing w:before="80" w:after="80"/>
      </w:pPr>
      <w:r>
        <w:t xml:space="preserve"/>
      </w:r>
    </w:p>
    <w:p>
      <w:pPr>
        <w:spacing w:before="60" w:after="80"/>
      </w:pPr>
      <w:r>
        <w:rPr>
          <w:color w:val="333333"/>
          <w:sz w:val="20"/>
          <w:szCs w:val="20"/>
        </w:rPr>
        <w:t xml:space="preserve">This creates inbound pipeline from TA leaders who self-identify as having a candidate experience problem. It positions ElevenLabs as the authority on this topic before any commercial conversation begins.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20"/>
              <w:left w:type="dxa" w:w="180"/>
              <w:bottom w:type="dxa" w:w="120"/>
              <w:right w:type="dxa" w:w="180"/>
            </w:tcMar>
          </w:tcPr>
          <w:p>
            <w:pPr>
              <w:spacing w:before="60" w:after="80"/>
            </w:pPr>
            <w:r>
              <w:rPr>
                <w:b/>
                <w:bCs/>
                <w:color w:val="1B3A6B"/>
                <w:sz w:val="20"/>
                <w:szCs w:val="20"/>
              </w:rPr>
              <w:t xml:space="preserve">Data &amp; Privacy Note on the Audit Tool</w:t>
            </w:r>
          </w:p>
          <w:p>
            <w:pPr>
              <w:spacing w:before="30" w:after="30"/>
            </w:pPr>
            <w:r>
              <w:rPr>
                <w:color w:val="333333"/>
                <w:sz w:val="18"/>
                <w:szCs w:val="18"/>
              </w:rPr>
              <w:t xml:space="preserve">• The Audit Tool collects only aggregate, anonymized organizational data — never individual candidate information.</w:t>
            </w:r>
          </w:p>
          <w:p>
            <w:pPr>
              <w:spacing w:before="30" w:after="30"/>
            </w:pPr>
            <w:r>
              <w:rPr>
                <w:color w:val="333333"/>
                <w:sz w:val="18"/>
                <w:szCs w:val="18"/>
              </w:rPr>
              <w:t xml:space="preserve">• No PII is required to generate the benchmark report.</w:t>
            </w:r>
          </w:p>
          <w:p>
            <w:pPr>
              <w:spacing w:before="30" w:after="30"/>
            </w:pPr>
            <w:r>
              <w:rPr>
                <w:color w:val="333333"/>
                <w:sz w:val="18"/>
                <w:szCs w:val="18"/>
              </w:rPr>
              <w:t xml:space="preserve">• Users are informed clearly that submission of data constitutes agreement to Audit Tool terms of service.</w:t>
            </w:r>
          </w:p>
          <w:p>
            <w:pPr>
              <w:spacing w:before="30" w:after="30"/>
            </w:pPr>
            <w:r>
              <w:rPr>
                <w:color w:val="333333"/>
                <w:sz w:val="18"/>
                <w:szCs w:val="18"/>
              </w:rPr>
              <w:t xml:space="preserve">• Legal review of the Audit Tool's data collection and storage practices is required before public launch.</w:t>
            </w:r>
          </w:p>
        </w:tc>
      </w:tr>
    </w:tbl>
    <w:p>
      <w:pPr>
        <w:spacing w:before="80" w:after="80"/>
      </w:pPr>
      <w:r>
        <w:t xml:space="preserve"/>
      </w:r>
    </w:p>
    <w:p>
      <w:pPr>
        <w:pStyle w:val="Heading2"/>
        <w:spacing w:before="280" w:after="120"/>
      </w:pPr>
      <w:r>
        <w:rPr>
          <w:b/>
          <w:bCs/>
          <w:color w:val="1B3A6B"/>
        </w:rPr>
        <w:t xml:space="preserve">Phase 2 — ATS Channel Partnerships</w:t>
      </w:r>
    </w:p>
    <w:p>
      <w:pPr>
        <w:spacing w:before="60" w:after="80"/>
      </w:pPr>
      <w:r>
        <w:rPr>
          <w:color w:val="333333"/>
          <w:sz w:val="20"/>
          <w:szCs w:val="20"/>
        </w:rPr>
        <w:t xml:space="preserve">Native integrations embedded directly into the three leading ATS platforms used by enterprise accounts in our primary segments:</w:t>
      </w:r>
    </w:p>
    <w:p>
      <w:pPr>
        <w:pStyle w:val="ListParagraph"/>
        <w:numPr>
          <w:ilvl w:val="0"/>
          <w:numId w:val="2"/>
        </w:numPr>
        <w:spacing w:before="40" w:after="40"/>
      </w:pPr>
      <w:r>
        <w:rPr>
          <w:color w:val="333333"/>
          <w:sz w:val="20"/>
          <w:szCs w:val="20"/>
        </w:rPr>
        <w:t xml:space="preserve">Ashby — primary ATS for growth-stage technology companies</w:t>
      </w:r>
    </w:p>
    <w:p>
      <w:pPr>
        <w:pStyle w:val="ListParagraph"/>
        <w:numPr>
          <w:ilvl w:val="0"/>
          <w:numId w:val="2"/>
        </w:numPr>
        <w:spacing w:before="40" w:after="40"/>
      </w:pPr>
      <w:r>
        <w:rPr>
          <w:color w:val="333333"/>
          <w:sz w:val="20"/>
          <w:szCs w:val="20"/>
        </w:rPr>
        <w:t xml:space="preserve">Greenhouse — dominant in mid-market and enterprise technology</w:t>
      </w:r>
    </w:p>
    <w:p>
      <w:pPr>
        <w:pStyle w:val="ListParagraph"/>
        <w:numPr>
          <w:ilvl w:val="0"/>
          <w:numId w:val="2"/>
        </w:numPr>
        <w:spacing w:before="40" w:after="40"/>
      </w:pPr>
      <w:r>
        <w:rPr>
          <w:color w:val="333333"/>
          <w:sz w:val="20"/>
          <w:szCs w:val="20"/>
        </w:rPr>
        <w:t xml:space="preserve">Lever — significant penetration in regulated industries and financial services</w:t>
      </w:r>
    </w:p>
    <w:p>
      <w:pPr>
        <w:spacing w:before="80" w:after="80"/>
      </w:pPr>
      <w:r>
        <w:t xml:space="preserve"/>
      </w:r>
    </w:p>
    <w:p>
      <w:pPr>
        <w:spacing w:before="200" w:after="80"/>
      </w:pPr>
      <w:r>
        <w:rPr>
          <w:b/>
          <w:bCs/>
          <w:color w:val="2E75B6"/>
          <w:sz w:val="22"/>
          <w:szCs w:val="22"/>
        </w:rPr>
        <w:t xml:space="preserve">Workflow Integration Points</w:t>
      </w:r>
    </w:p>
    <w:p>
      <w:pPr>
        <w:pStyle w:val="ListParagraph"/>
        <w:numPr>
          <w:ilvl w:val="0"/>
          <w:numId w:val="2"/>
        </w:numPr>
        <w:spacing w:before="40" w:after="40"/>
      </w:pPr>
      <w:r>
        <w:rPr>
          <w:b/>
          <w:bCs/>
          <w:color w:val="333333"/>
          <w:sz w:val="20"/>
          <w:szCs w:val="20"/>
        </w:rPr>
        <w:t xml:space="preserve">Send Skill Guidance Button: </w:t>
      </w:r>
      <w:r>
        <w:rPr>
          <w:color w:val="333333"/>
          <w:sz w:val="20"/>
          <w:szCs w:val="20"/>
        </w:rPr>
        <w:t xml:space="preserve">Rejection Stage</w:t>
      </w:r>
    </w:p>
    <w:p>
      <w:pPr>
        <w:spacing w:before="60" w:after="80"/>
      </w:pPr>
      <w:r>
        <w:rPr>
          <w:color w:val="333333"/>
          <w:sz w:val="20"/>
          <w:szCs w:val="20"/>
        </w:rPr>
        <w:t xml:space="preserve">Recruiter clicks 'Send Voice Coaching' in the ATS rejection workflow. A pre-approved, role-agnostic guidance interaction is generated and delivered to the candidate within 24 hours. The recruiter sees a confirmation log.</w:t>
      </w:r>
    </w:p>
    <w:p>
      <w:pPr>
        <w:spacing w:before="80" w:after="80"/>
      </w:pPr>
      <w:r>
        <w:t xml:space="preserve"/>
      </w:r>
    </w:p>
    <w:p>
      <w:pPr>
        <w:pStyle w:val="ListParagraph"/>
        <w:numPr>
          <w:ilvl w:val="0"/>
          <w:numId w:val="2"/>
        </w:numPr>
        <w:spacing w:before="40" w:after="40"/>
      </w:pPr>
      <w:r>
        <w:rPr>
          <w:b/>
          <w:bCs/>
          <w:color w:val="333333"/>
          <w:sz w:val="20"/>
          <w:szCs w:val="20"/>
        </w:rPr>
        <w:t xml:space="preserve">Coaching Summary: </w:t>
      </w:r>
      <w:r>
        <w:rPr>
          <w:color w:val="333333"/>
          <w:sz w:val="20"/>
          <w:szCs w:val="20"/>
        </w:rPr>
        <w:t xml:space="preserve">Post-Interview Stage</w:t>
      </w:r>
    </w:p>
    <w:p>
      <w:pPr>
        <w:spacing w:before="60" w:after="80"/>
      </w:pPr>
      <w:r>
        <w:rPr>
          <w:color w:val="333333"/>
          <w:sz w:val="20"/>
          <w:szCs w:val="20"/>
        </w:rPr>
        <w:t xml:space="preserve">Candidates who complete a structured interview receive an automated 'General Development Areas' summary based on the role category — not the specific evaluation. This is delivered regardless of outcome and is framed as a professional development resource.</w:t>
      </w:r>
    </w:p>
    <w:p>
      <w:pPr>
        <w:spacing w:before="80" w:after="80"/>
      </w:pPr>
      <w:r>
        <w:t xml:space="preserve"/>
      </w:r>
    </w:p>
    <w:p>
      <w:pPr>
        <w:pStyle w:val="ListParagraph"/>
        <w:numPr>
          <w:ilvl w:val="0"/>
          <w:numId w:val="2"/>
        </w:numPr>
        <w:spacing w:before="40" w:after="40"/>
      </w:pPr>
      <w:r>
        <w:rPr>
          <w:b/>
          <w:bCs/>
          <w:color w:val="333333"/>
          <w:sz w:val="20"/>
          <w:szCs w:val="20"/>
        </w:rPr>
        <w:t xml:space="preserve">Automated Re-Engagement Sequence: </w:t>
      </w:r>
      <w:r>
        <w:rPr>
          <w:color w:val="333333"/>
          <w:sz w:val="20"/>
          <w:szCs w:val="20"/>
        </w:rPr>
        <w:t xml:space="preserve">Silver Medalist Nurture Track</w:t>
      </w:r>
    </w:p>
    <w:p>
      <w:pPr>
        <w:spacing w:before="60" w:after="80"/>
      </w:pPr>
      <w:r>
        <w:rPr>
          <w:color w:val="333333"/>
          <w:sz w:val="20"/>
          <w:szCs w:val="20"/>
        </w:rPr>
        <w:t xml:space="preserve">Candidates who meet a configurable 'quality threshold' (e.g., reached final round, scored above a skills baseline) are automatically enrolled in a GDPR-compliant nurture sequence. Frequency, content, and opt-out controls are fully configurable by the customer.</w:t>
      </w:r>
    </w:p>
    <w:p>
      <w:pPr>
        <w:spacing w:before="80" w:after="80"/>
      </w:pPr>
      <w:r>
        <w:t xml:space="preserve"/>
      </w:r>
    </w:p>
    <w:p>
      <w:pPr>
        <w:pStyle w:val="Heading2"/>
        <w:spacing w:before="280" w:after="120"/>
      </w:pPr>
      <w:r>
        <w:rPr>
          <w:b/>
          <w:bCs/>
          <w:color w:val="1B3A6B"/>
        </w:rPr>
        <w:t xml:space="preserve">Phase 3 — Executive Outbound</w:t>
      </w:r>
    </w:p>
    <w:p>
      <w:pPr>
        <w:spacing w:before="200" w:after="80"/>
      </w:pPr>
      <w:r>
        <w:rPr>
          <w:b/>
          <w:bCs/>
          <w:color w:val="2E75B6"/>
          <w:sz w:val="22"/>
          <w:szCs w:val="22"/>
        </w:rPr>
        <w:t xml:space="preserve">Core Message to CPOs</w:t>
      </w:r>
    </w:p>
    <w:p>
      <w:pPr>
        <w:spacing w:before="60" w:after="80"/>
      </w:pPr>
      <w:r>
        <w:rPr>
          <w:color w:val="333333"/>
          <w:sz w:val="20"/>
          <w:szCs w:val="20"/>
        </w:rPr>
        <w:t xml:space="preserve">Every time a qualified candidate is rejected without structured guidance, your organization pays a compounding cost: re-sourcing fees, reduced future pipeline depth, and brand erosion on Glassdoor. ElevenLabs eliminates that cost by converting every rejection into a brand moment that builds loyalty rather than resentment.</w:t>
      </w:r>
    </w:p>
    <w:p>
      <w:pPr>
        <w:spacing w:before="80" w:after="80"/>
      </w:pPr>
      <w:r>
        <w:t xml:space="preserve"/>
      </w:r>
    </w:p>
    <w:p>
      <w:pPr>
        <w:spacing w:before="200" w:after="80"/>
      </w:pPr>
      <w:r>
        <w:rPr>
          <w:b/>
          <w:bCs/>
          <w:color w:val="2E75B6"/>
          <w:sz w:val="22"/>
          <w:szCs w:val="22"/>
        </w:rPr>
        <w:t xml:space="preserve">Core Message to Heads of TA</w:t>
      </w:r>
    </w:p>
    <w:p>
      <w:pPr>
        <w:spacing w:before="60" w:after="80"/>
      </w:pPr>
      <w:r>
        <w:rPr>
          <w:color w:val="333333"/>
          <w:sz w:val="20"/>
          <w:szCs w:val="20"/>
        </w:rPr>
        <w:t xml:space="preserve">Your recruiters are spending 20-40% of their time on communication tasks that add no judgment value. We automate those tasks with a consistent, compliant, and personalized voice interaction — freeing your team to focus on the decisions that actually require human expertise.</w:t>
      </w:r>
    </w:p>
    <w:p>
      <w:pPr>
        <w:spacing w:before="80" w:after="80"/>
      </w:pPr>
      <w:r>
        <w:t xml:space="preserve"/>
      </w:r>
    </w:p>
    <w:p>
      <w:pPr>
        <w:spacing w:before="200" w:after="80"/>
      </w:pPr>
      <w:r>
        <w:rPr>
          <w:b/>
          <w:bCs/>
          <w:color w:val="2E75B6"/>
          <w:sz w:val="22"/>
          <w:szCs w:val="22"/>
        </w:rPr>
        <w:t xml:space="preserve">Channels</w:t>
      </w:r>
    </w:p>
    <w:p>
      <w:pPr>
        <w:pStyle w:val="ListParagraph"/>
        <w:numPr>
          <w:ilvl w:val="0"/>
          <w:numId w:val="2"/>
        </w:numPr>
        <w:spacing w:before="40" w:after="40"/>
      </w:pPr>
      <w:r>
        <w:rPr>
          <w:color w:val="333333"/>
          <w:sz w:val="20"/>
          <w:szCs w:val="20"/>
        </w:rPr>
        <w:t xml:space="preserve">LinkedIn Thought Leadership: Original research on the 'False Negative Tax' published quarterly</w:t>
      </w:r>
    </w:p>
    <w:p>
      <w:pPr>
        <w:pStyle w:val="ListParagraph"/>
        <w:numPr>
          <w:ilvl w:val="0"/>
          <w:numId w:val="2"/>
        </w:numPr>
        <w:spacing w:before="40" w:after="40"/>
      </w:pPr>
      <w:r>
        <w:rPr>
          <w:color w:val="333333"/>
          <w:sz w:val="20"/>
          <w:szCs w:val="20"/>
        </w:rPr>
        <w:t xml:space="preserve">Executive Roundtables: Hosted CPO dinners in New York, San Francisco, and London</w:t>
      </w:r>
    </w:p>
    <w:p>
      <w:pPr>
        <w:pStyle w:val="ListParagraph"/>
        <w:numPr>
          <w:ilvl w:val="0"/>
          <w:numId w:val="2"/>
        </w:numPr>
        <w:spacing w:before="40" w:after="40"/>
      </w:pPr>
      <w:r>
        <w:rPr>
          <w:color w:val="333333"/>
          <w:sz w:val="20"/>
          <w:szCs w:val="20"/>
        </w:rPr>
        <w:t xml:space="preserve">Industry Conferences: SHRM, LinkedIn Talent Connect, RecFest</w:t>
      </w:r>
    </w:p>
    <w:p>
      <w:pPr>
        <w:pStyle w:val="ListParagraph"/>
        <w:numPr>
          <w:ilvl w:val="0"/>
          <w:numId w:val="2"/>
        </w:numPr>
        <w:spacing w:before="40" w:after="40"/>
      </w:pPr>
      <w:r>
        <w:rPr>
          <w:color w:val="333333"/>
          <w:sz w:val="20"/>
          <w:szCs w:val="20"/>
        </w:rPr>
        <w:t xml:space="preserve">Targeted LinkedIn Ads: CPO and Head of TA titles at organizations with 500+ employees and 10K+ annual hires</w:t>
      </w:r>
    </w:p>
    <w:p>
      <w:r>
        <w:br w:type="page"/>
      </w:r>
    </w:p>
    <w:p>
      <w:pPr>
        <w:pStyle w:val="Heading1"/>
        <w:pBdr>
          <w:bottom w:val="single" w:color="2E75B6" w:sz="6" w:space="4"/>
        </w:pBdr>
        <w:spacing w:before="400" w:after="160"/>
      </w:pPr>
      <w:r>
        <w:rPr>
          <w:b/>
          <w:bCs/>
          <w:color w:val="1B3A6B"/>
        </w:rPr>
        <w:t xml:space="preserve">6. Measurement &amp; KPI Framework</w:t>
      </w:r>
    </w:p>
    <w:p>
      <w:pPr>
        <w:spacing w:before="60" w:after="80"/>
      </w:pPr>
      <w:r>
        <w:rPr>
          <w:color w:val="333333"/>
          <w:sz w:val="20"/>
          <w:szCs w:val="20"/>
        </w:rPr>
        <w:t xml:space="preserve">Enterprise deals live and die on measurement. This section defines the KPIs, data sources, calculation methods, and audit windows that govern both the 90-day pilot and ongoing contract performance. All KPIs must be defined and baselined before pilot start — not after.</w:t>
      </w:r>
    </w:p>
    <w:p>
      <w:pPr>
        <w:spacing w:before="80" w:after="80"/>
      </w:pPr>
      <w:r>
        <w:t xml:space="preserve"/>
      </w:r>
    </w:p>
    <w:p>
      <w:pPr>
        <w:pStyle w:val="Heading2"/>
        <w:spacing w:before="280" w:after="120"/>
      </w:pPr>
      <w:r>
        <w:rPr>
          <w:b/>
          <w:bCs/>
          <w:color w:val="1B3A6B"/>
        </w:rPr>
        <w:t xml:space="preserve">Primary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600"/>
        <w:gridCol w:w="24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KPI</w:t>
            </w:r>
          </w:p>
        </w:tc>
        <w:tc>
          <w:tcPr>
            <w:tcW w:type="dxa" w:w="21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Definition</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Data Source</w:t>
            </w:r>
          </w:p>
        </w:tc>
        <w:tc>
          <w:tcPr>
            <w:tcW w:type="dxa" w:w="246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Calculation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Candidate Experience NPS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Net Promoter Score from post-interaction survey sent 48hrs after coaching delivery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ElevenLabs platform survey module; optional ATS integration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(Promoters - Detractors) / Total respondents ×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Candidate Complaint Rate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Number of formal complaints or escalations per 1,000 applicants processed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ATS support ticket log; HR helpdesk system</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Complaints ÷ (Total applicants ÷ 1,000)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Silver Medalist Re-engagement Rate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 of nurture-track candidates who respond to a re-engagement message or re-apply within 6 months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ATS + CRM; ElevenLabs nurture dashboard</w:t>
            </w:r>
          </w:p>
        </w:tc>
        <w:tc>
          <w:tcPr>
            <w:tcW w:type="dxa" w:w="24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Engaged silver medalists ÷ Total enrolled ×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Recruiter Time Saved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Average hours per recruiter per week previously spent on manual candidate follow-up communication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Recruiter time-tracking or manager estimate at baseline; post-pilot resurvey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Baseline hrs/week − Post-pilot hrs/week</w:t>
            </w:r>
          </w:p>
        </w:tc>
      </w:tr>
    </w:tbl>
    <w:p>
      <w:pPr>
        <w:spacing w:before="80" w:after="80"/>
      </w:pPr>
      <w:r>
        <w:t xml:space="preserve"/>
      </w:r>
    </w:p>
    <w:p>
      <w:pPr>
        <w:pStyle w:val="Heading2"/>
        <w:spacing w:before="280" w:after="120"/>
      </w:pPr>
      <w:r>
        <w:rPr>
          <w:b/>
          <w:bCs/>
          <w:color w:val="1B3A6B"/>
        </w:rPr>
        <w:t xml:space="preserve">Pilot Structure: 30/90 Baseline-and-Measure Protocol</w:t>
      </w:r>
    </w:p>
    <w:p>
      <w:pPr>
        <w:spacing w:before="60" w:after="80"/>
      </w:pPr>
      <w:r>
        <w:rPr>
          <w:color w:val="333333"/>
          <w:sz w:val="20"/>
          <w:szCs w:val="20"/>
        </w:rPr>
        <w:t xml:space="preserve">All pilots follow a fixed two-phase structure. Deviations require written approval from both parties and must be documented in the pilot agreement.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30"/>
              <w:bottom w:type="dxa" w:w="100"/>
              <w:right w:type="dxa" w:w="130"/>
            </w:tcMar>
          </w:tcPr>
          <w:p>
            <w:r>
              <w:rPr>
                <w:b/>
                <w:bCs/>
                <w:color w:val="FFFFFF"/>
                <w:sz w:val="18"/>
                <w:szCs w:val="18"/>
              </w:rPr>
              <w:t xml:space="preserve">Phase</w:t>
            </w:r>
          </w:p>
        </w:tc>
        <w:tc>
          <w:tcPr>
            <w:tcW w:type="dxa" w:w="7560"/>
            <w:tcBorders>
              <w:top w:val="single" w:color="CCCCCC" w:sz="1"/>
              <w:left w:val="single" w:color="CCCCCC" w:sz="1"/>
              <w:bottom w:val="single" w:color="CCCCCC" w:sz="1"/>
              <w:right w:val="single" w:color="CCCCCC" w:sz="1"/>
            </w:tcBorders>
            <w:shd w:fill="2E75B6" w:val="clear"/>
            <w:tcMar>
              <w:top w:type="dxa" w:w="100"/>
              <w:left w:type="dxa" w:w="130"/>
              <w:bottom w:type="dxa" w:w="100"/>
              <w:right w:type="dxa" w:w="130"/>
            </w:tcMar>
          </w:tcPr>
          <w:p>
            <w:r>
              <w:rPr>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b/>
                <w:bCs/>
                <w:color w:val="1B3A6B"/>
                <w:sz w:val="17"/>
                <w:szCs w:val="17"/>
              </w:rPr>
              <w:t xml:space="preserve">Days 1-30
Baseline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No ElevenLabs interventions are active. All four primary KPIs are measured against the customer's existing process using the agreed data sources. Baseline figures are locked in writing and countersigned by both parties before Phase 2 begins. This prevents retroactive disputes about what 'before' looked like.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b/>
                <w:bCs/>
                <w:color w:val="1B3A6B"/>
                <w:sz w:val="17"/>
                <w:szCs w:val="17"/>
              </w:rPr>
              <w:t xml:space="preserve">Days 31-120
Pilot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ElevenLabs platform is live for the agreed candidate cohort (minimum: 500 candidates to ensure statistical significance). KPIs are tracked weekly via shared dashboard. Both parties have read access.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b/>
                <w:bCs/>
                <w:color w:val="1B3A6B"/>
                <w:sz w:val="17"/>
                <w:szCs w:val="17"/>
              </w:rPr>
              <w:t xml:space="preserve">Day 121
Review</w:t>
            </w:r>
          </w:p>
        </w:tc>
        <w:tc>
          <w:tcPr>
            <w:tcW w:type="dxa" w:w="7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Formal pilot review meeting. Results compared against baseline and against success criteria defined at contract signing. Commercial decision made based on agreed criteria — not retrospective negotiation.</w:t>
            </w:r>
          </w:p>
        </w:tc>
      </w:tr>
    </w:tbl>
    <w:p>
      <w:pPr>
        <w:spacing w:before="80" w:after="80"/>
      </w:pPr>
      <w:r>
        <w:t xml:space="preserve"/>
      </w:r>
    </w:p>
    <w:p>
      <w:pPr>
        <w:pStyle w:val="Heading2"/>
        <w:spacing w:before="280" w:after="120"/>
      </w:pPr>
      <w:r>
        <w:rPr>
          <w:b/>
          <w:bCs/>
          <w:color w:val="1B3A6B"/>
        </w:rPr>
        <w:t xml:space="preserve">Pilot Success Criteria (Pre-Agreed at Signing)</w:t>
      </w:r>
    </w:p>
    <w:p>
      <w:pPr>
        <w:spacing w:before="60" w:after="80"/>
      </w:pPr>
      <w:r>
        <w:rPr>
          <w:color w:val="333333"/>
          <w:sz w:val="20"/>
          <w:szCs w:val="20"/>
        </w:rPr>
        <w:t xml:space="preserve">Success criteria must be defined before the pilot starts. The following are recommended defaults — customers may negotiate different thresholds, but thresholds must be locked in the pilot agreement:</w:t>
      </w:r>
    </w:p>
    <w:p>
      <w:pPr>
        <w:pStyle w:val="ListParagraph"/>
        <w:numPr>
          <w:ilvl w:val="0"/>
          <w:numId w:val="2"/>
        </w:numPr>
        <w:spacing w:before="40" w:after="40"/>
      </w:pPr>
      <w:r>
        <w:rPr>
          <w:color w:val="333333"/>
          <w:sz w:val="20"/>
          <w:szCs w:val="20"/>
        </w:rPr>
        <w:t xml:space="preserve">Candidate Experience NPS: improvement of +10 points or more vs. baseline</w:t>
      </w:r>
    </w:p>
    <w:p>
      <w:pPr>
        <w:pStyle w:val="ListParagraph"/>
        <w:numPr>
          <w:ilvl w:val="0"/>
          <w:numId w:val="2"/>
        </w:numPr>
        <w:spacing w:before="40" w:after="40"/>
      </w:pPr>
      <w:r>
        <w:rPr>
          <w:color w:val="333333"/>
          <w:sz w:val="20"/>
          <w:szCs w:val="20"/>
        </w:rPr>
        <w:t xml:space="preserve">Candidate Complaint Rate: reduction of 15% or more vs. baseline</w:t>
      </w:r>
    </w:p>
    <w:p>
      <w:pPr>
        <w:pStyle w:val="ListParagraph"/>
        <w:numPr>
          <w:ilvl w:val="0"/>
          <w:numId w:val="2"/>
        </w:numPr>
        <w:spacing w:before="40" w:after="40"/>
      </w:pPr>
      <w:r>
        <w:rPr>
          <w:color w:val="333333"/>
          <w:sz w:val="20"/>
          <w:szCs w:val="20"/>
        </w:rPr>
        <w:t xml:space="preserve">Recruiter Time Saved: minimum 1.5 hours/recruiter/week</w:t>
      </w:r>
    </w:p>
    <w:p>
      <w:pPr>
        <w:pStyle w:val="ListParagraph"/>
        <w:numPr>
          <w:ilvl w:val="0"/>
          <w:numId w:val="2"/>
        </w:numPr>
        <w:spacing w:before="40" w:after="40"/>
      </w:pPr>
      <w:r>
        <w:rPr>
          <w:color w:val="333333"/>
          <w:sz w:val="20"/>
          <w:szCs w:val="20"/>
        </w:rPr>
        <w:t xml:space="preserve">Silver Medalist Re-engagement: minimum 10% response rate to first nurture message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20"/>
              <w:left w:type="dxa" w:w="180"/>
              <w:bottom w:type="dxa" w:w="120"/>
              <w:right w:type="dxa" w:w="180"/>
            </w:tcMar>
          </w:tcPr>
          <w:p>
            <w:pPr>
              <w:spacing w:before="60" w:after="80"/>
            </w:pPr>
            <w:r>
              <w:rPr>
                <w:b/>
                <w:bCs/>
                <w:color w:val="1B3A6B"/>
                <w:sz w:val="20"/>
                <w:szCs w:val="20"/>
              </w:rPr>
              <w:t xml:space="preserve">Dispute Prevention Note</w:t>
            </w:r>
          </w:p>
          <w:p>
            <w:pPr>
              <w:spacing w:before="30" w:after="30"/>
            </w:pPr>
            <w:r>
              <w:rPr>
                <w:color w:val="333333"/>
                <w:sz w:val="18"/>
                <w:szCs w:val="18"/>
              </w:rPr>
              <w:t xml:space="preserve">• The most common pilot failure mode is not technical — it is definitional. Customers and vendors disagree at Day 121 because success criteria were vague at Day 1.</w:t>
            </w:r>
          </w:p>
          <w:p>
            <w:pPr>
              <w:spacing w:before="30" w:after="30"/>
            </w:pPr>
            <w:r>
              <w:rPr>
                <w:color w:val="333333"/>
                <w:sz w:val="18"/>
                <w:szCs w:val="18"/>
              </w:rPr>
              <w:t xml:space="preserve">• This protocol requires countersigned baseline figures and locked success thresholds before the pilot goes live.</w:t>
            </w:r>
          </w:p>
          <w:p>
            <w:pPr>
              <w:spacing w:before="30" w:after="30"/>
            </w:pPr>
            <w:r>
              <w:rPr>
                <w:color w:val="333333"/>
                <w:sz w:val="18"/>
                <w:szCs w:val="18"/>
              </w:rPr>
              <w:t xml:space="preserve">• If a customer is unwilling to agree to measurement criteria upfront, that is a commercial risk signal — not a product problem.</w:t>
            </w:r>
          </w:p>
          <w:p>
            <w:pPr>
              <w:spacing w:before="30" w:after="30"/>
            </w:pPr>
            <w:r>
              <w:rPr>
                <w:color w:val="333333"/>
                <w:sz w:val="18"/>
                <w:szCs w:val="18"/>
              </w:rPr>
              <w:t xml:space="preserve">• Outcome bonus clauses (Section 4) are only available to customers who complete the full 30-day baseline phase.</w:t>
            </w:r>
          </w:p>
        </w:tc>
      </w:tr>
    </w:tbl>
    <w:p>
      <w:r>
        <w:br w:type="page"/>
      </w:r>
    </w:p>
    <w:p>
      <w:pPr>
        <w:pStyle w:val="Heading1"/>
        <w:pBdr>
          <w:bottom w:val="single" w:color="2E75B6" w:sz="6" w:space="4"/>
        </w:pBdr>
        <w:spacing w:before="400" w:after="160"/>
      </w:pPr>
      <w:r>
        <w:rPr>
          <w:b/>
          <w:bCs/>
          <w:color w:val="1B3A6B"/>
        </w:rPr>
        <w:t xml:space="preserve">7. Integration &amp; Operations Playbook</w:t>
      </w:r>
    </w:p>
    <w:p>
      <w:pPr>
        <w:spacing w:before="60" w:after="80"/>
      </w:pPr>
      <w:r>
        <w:rPr>
          <w:color w:val="333333"/>
          <w:sz w:val="20"/>
          <w:szCs w:val="20"/>
        </w:rPr>
        <w:t xml:space="preserve">Integration risk is the most common reason enterprise TA buyers delay or kill a purchase. This section defines the technical architecture, admin tooling, and prebuilt workflow configurations that reduce integration lift to a single-sprint deployment for most customers.</w:t>
      </w:r>
    </w:p>
    <w:p>
      <w:pPr>
        <w:spacing w:before="80" w:after="80"/>
      </w:pPr>
      <w:r>
        <w:t xml:space="preserve"/>
      </w:r>
    </w:p>
    <w:p>
      <w:pPr>
        <w:pStyle w:val="Heading2"/>
        <w:spacing w:before="280" w:after="120"/>
      </w:pPr>
      <w:r>
        <w:rPr>
          <w:b/>
          <w:bCs/>
          <w:color w:val="1B3A6B"/>
        </w:rPr>
        <w:t xml:space="preserve">ATS Connector Architecture</w:t>
      </w:r>
    </w:p>
    <w:p>
      <w:pPr>
        <w:spacing w:before="60" w:after="80"/>
      </w:pPr>
      <w:r>
        <w:rPr>
          <w:color w:val="333333"/>
          <w:sz w:val="20"/>
          <w:szCs w:val="20"/>
        </w:rPr>
        <w:t xml:space="preserve">Phase 1 connectors ship for Greenhouse, Lever, and Ashby — the three platforms covering the majority of our primary segment's ATS landscape. Each connector uses the same underlying webhook architecture:</w:t>
      </w:r>
    </w:p>
    <w:p>
      <w:pPr>
        <w:pStyle w:val="ListParagraph"/>
        <w:numPr>
          <w:ilvl w:val="0"/>
          <w:numId w:val="2"/>
        </w:numPr>
        <w:spacing w:before="40" w:after="40"/>
      </w:pPr>
      <w:r>
        <w:rPr>
          <w:color w:val="333333"/>
          <w:sz w:val="20"/>
          <w:szCs w:val="20"/>
        </w:rPr>
        <w:t xml:space="preserve">Webhooks listen for candidate status change events in the ATS (e.g., 'moved to Rejected', 'interview marked complete', 'candidate tagged as silver medalist').</w:t>
      </w:r>
    </w:p>
    <w:p>
      <w:pPr>
        <w:pStyle w:val="ListParagraph"/>
        <w:numPr>
          <w:ilvl w:val="0"/>
          <w:numId w:val="2"/>
        </w:numPr>
        <w:spacing w:before="40" w:after="40"/>
      </w:pPr>
      <w:r>
        <w:rPr>
          <w:color w:val="333333"/>
          <w:sz w:val="20"/>
          <w:szCs w:val="20"/>
        </w:rPr>
        <w:t xml:space="preserve">A single 'Send Coaching' API call triggers the appropriate template based on the event type and the role category configured by the admin.</w:t>
      </w:r>
    </w:p>
    <w:p>
      <w:pPr>
        <w:pStyle w:val="ListParagraph"/>
        <w:numPr>
          <w:ilvl w:val="0"/>
          <w:numId w:val="2"/>
        </w:numPr>
        <w:spacing w:before="40" w:after="40"/>
      </w:pPr>
      <w:r>
        <w:rPr>
          <w:color w:val="333333"/>
          <w:sz w:val="20"/>
          <w:szCs w:val="20"/>
        </w:rPr>
        <w:t xml:space="preserve">Delivery status (sent, opened, completed) is written back to the ATS candidate record as a note, maintaining a unified candidate timeline.</w:t>
      </w:r>
    </w:p>
    <w:p>
      <w:pPr>
        <w:pStyle w:val="ListParagraph"/>
        <w:numPr>
          <w:ilvl w:val="0"/>
          <w:numId w:val="2"/>
        </w:numPr>
        <w:spacing w:before="40" w:after="40"/>
      </w:pPr>
      <w:r>
        <w:rPr>
          <w:color w:val="333333"/>
          <w:sz w:val="20"/>
          <w:szCs w:val="20"/>
        </w:rPr>
        <w:t xml:space="preserve">No candidate PII leaves the customer's ATS environment — the API call passes only a pseudonymized candidate ID, role category, and event type.</w:t>
      </w:r>
    </w:p>
    <w:p>
      <w:pPr>
        <w:spacing w:before="80" w:after="80"/>
      </w:pPr>
      <w:r>
        <w:t xml:space="preserve"/>
      </w:r>
    </w:p>
    <w:p>
      <w:pPr>
        <w:pStyle w:val="Heading2"/>
        <w:spacing w:before="280" w:after="120"/>
      </w:pPr>
      <w:r>
        <w:rPr>
          <w:b/>
          <w:bCs/>
          <w:color w:val="1B3A6B"/>
        </w:rPr>
        <w:t xml:space="preserve">Low-Code Admin Console</w:t>
      </w:r>
    </w:p>
    <w:p>
      <w:pPr>
        <w:spacing w:before="60" w:after="80"/>
      </w:pPr>
      <w:r>
        <w:rPr>
          <w:color w:val="333333"/>
          <w:sz w:val="20"/>
          <w:szCs w:val="20"/>
        </w:rPr>
        <w:t xml:space="preserve">Recruiting Ops teams can configure the full workflow without engineering involvement. The admin console provides:</w:t>
      </w:r>
    </w:p>
    <w:p>
      <w:pPr>
        <w:pStyle w:val="ListParagraph"/>
        <w:numPr>
          <w:ilvl w:val="0"/>
          <w:numId w:val="2"/>
        </w:numPr>
        <w:spacing w:before="40" w:after="40"/>
      </w:pPr>
      <w:r>
        <w:rPr>
          <w:color w:val="333333"/>
          <w:sz w:val="20"/>
          <w:szCs w:val="20"/>
        </w:rPr>
        <w:t xml:space="preserve">Trigger Mapping: a visual interface to map ATS status changes to coaching templates — no code required.</w:t>
      </w:r>
    </w:p>
    <w:p>
      <w:pPr>
        <w:pStyle w:val="ListParagraph"/>
        <w:numPr>
          <w:ilvl w:val="0"/>
          <w:numId w:val="2"/>
        </w:numPr>
        <w:spacing w:before="40" w:after="40"/>
      </w:pPr>
      <w:r>
        <w:rPr>
          <w:color w:val="333333"/>
          <w:sz w:val="20"/>
          <w:szCs w:val="20"/>
        </w:rPr>
        <w:t xml:space="preserve">Template Library: pre-approved, EEOC-reviewed templates organized by role category (Technical, Operations, Sales, Corporate). Customers can add custom templates subject to a one-time legal review workflow built into the console.</w:t>
      </w:r>
    </w:p>
    <w:p>
      <w:pPr>
        <w:pStyle w:val="ListParagraph"/>
        <w:numPr>
          <w:ilvl w:val="0"/>
          <w:numId w:val="2"/>
        </w:numPr>
        <w:spacing w:before="40" w:after="40"/>
      </w:pPr>
      <w:r>
        <w:rPr>
          <w:color w:val="333333"/>
          <w:sz w:val="20"/>
          <w:szCs w:val="20"/>
        </w:rPr>
        <w:t xml:space="preserve">Cohort Controls: configurable rules for which candidates receive coaching (e.g., 'all rejected after phone screen', 'candidates who scored above 70% on skills assessment only').</w:t>
      </w:r>
    </w:p>
    <w:p>
      <w:pPr>
        <w:pStyle w:val="ListParagraph"/>
        <w:numPr>
          <w:ilvl w:val="0"/>
          <w:numId w:val="2"/>
        </w:numPr>
        <w:spacing w:before="40" w:after="40"/>
      </w:pPr>
      <w:r>
        <w:rPr>
          <w:color w:val="333333"/>
          <w:sz w:val="20"/>
          <w:szCs w:val="20"/>
        </w:rPr>
        <w:t xml:space="preserve">Dashboard: real-time view of coaching delivery rates, NPS scores, and complaint tickets — the same view used for KPI reporting.</w:t>
      </w:r>
    </w:p>
    <w:p>
      <w:pPr>
        <w:spacing w:before="80" w:after="80"/>
      </w:pPr>
      <w:r>
        <w:t xml:space="preserve"/>
      </w:r>
    </w:p>
    <w:p>
      <w:pPr>
        <w:pStyle w:val="Heading2"/>
        <w:spacing w:before="280" w:after="120"/>
      </w:pPr>
      <w:r>
        <w:rPr>
          <w:b/>
          <w:bCs/>
          <w:color w:val="1B3A6B"/>
        </w:rPr>
        <w:t xml:space="preserve">Prebuilt Event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Flow</w:t>
            </w:r>
          </w:p>
        </w:tc>
        <w:tc>
          <w:tcPr>
            <w:tcW w:type="dxa" w:w="316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Trigger</w:t>
            </w:r>
          </w:p>
        </w:tc>
        <w:tc>
          <w:tcPr>
            <w:tcW w:type="dxa" w:w="38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Output &amp; Controls</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Flow 1: Rejection → Coaching</w:t>
            </w:r>
          </w:p>
        </w:tc>
        <w:tc>
          <w:tcPr>
            <w:tcW w:type="dxa" w:w="3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ATS status change: candidate moved to 'Rejected' at any stage after phone screen.</w:t>
            </w:r>
          </w:p>
        </w:tc>
        <w:tc>
          <w:tcPr>
            <w:tcW w:type="dxa" w:w="3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Candidate receives a role-agnostic voice coaching session within 24 hours. Template selected by role category. Recruiter sees delivery confirmation in ATS. Opt-out honored immediately.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color w:val="333333"/>
                <w:sz w:val="17"/>
                <w:szCs w:val="17"/>
              </w:rPr>
              <w:t xml:space="preserve">Flow 2: Post-Interview → Coaching Summary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color w:val="333333"/>
                <w:sz w:val="17"/>
                <w:szCs w:val="17"/>
              </w:rPr>
              <w:t xml:space="preserve">ATS status change: interview marked 'Complete' regardless of outcome.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color w:val="333333"/>
                <w:sz w:val="17"/>
                <w:szCs w:val="17"/>
              </w:rPr>
              <w:t xml:space="preserve">Candidate receives a 'General Development Areas' summary based on role category. Framed as professional development, not evaluation feedback. Delivered to all interviewed candidates — not just rejections — to reinforce brand equity.</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Flow 3: Silver Medalist → Nurture Track</w:t>
            </w:r>
          </w:p>
        </w:tc>
        <w:tc>
          <w:tcPr>
            <w:tcW w:type="dxa" w:w="3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Candidate tagged as 'Silver Medalist' in ATS (manual or rule-based), or automatically when they meet a configurable quality threshold.</w:t>
            </w:r>
          </w:p>
        </w:tc>
        <w:tc>
          <w:tcPr>
            <w:tcW w:type="dxa" w:w="3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Candidate enters a GDPR-compliant nurture sequence: Month 1 check-in, Month 3 relevant role alert, Month 6 re-engagement. Frequency and content fully configurable. Unsubscribe honored within 24 hours.</w:t>
            </w:r>
          </w:p>
        </w:tc>
      </w:tr>
    </w:tbl>
    <w:p>
      <w:pPr>
        <w:spacing w:before="80" w:after="80"/>
      </w:pPr>
      <w:r>
        <w:t xml:space="preserve"/>
      </w:r>
    </w:p>
    <w:p>
      <w:pPr>
        <w:pStyle w:val="Heading2"/>
        <w:spacing w:before="280" w:after="120"/>
      </w:pPr>
      <w:r>
        <w:rPr>
          <w:b/>
          <w:bCs/>
          <w:color w:val="1B3A6B"/>
        </w:rPr>
        <w:t xml:space="preserve">Deployment Timeline</w:t>
      </w:r>
    </w:p>
    <w:p>
      <w:pPr>
        <w:pStyle w:val="ListParagraph"/>
        <w:numPr>
          <w:ilvl w:val="0"/>
          <w:numId w:val="2"/>
        </w:numPr>
        <w:spacing w:before="40" w:after="40"/>
      </w:pPr>
      <w:r>
        <w:rPr>
          <w:color w:val="333333"/>
          <w:sz w:val="20"/>
          <w:szCs w:val="20"/>
        </w:rPr>
        <w:t xml:space="preserve">Week 1-2: ATS connector configuration, admin console setup, template selection and legal sign-off.</w:t>
      </w:r>
    </w:p>
    <w:p>
      <w:pPr>
        <w:pStyle w:val="ListParagraph"/>
        <w:numPr>
          <w:ilvl w:val="0"/>
          <w:numId w:val="2"/>
        </w:numPr>
        <w:spacing w:before="40" w:after="40"/>
      </w:pPr>
      <w:r>
        <w:rPr>
          <w:color w:val="333333"/>
          <w:sz w:val="20"/>
          <w:szCs w:val="20"/>
        </w:rPr>
        <w:t xml:space="preserve">Week 3: Baseline KPI measurement begins (30-day baseline phase). Platform is configured but not yet live.</w:t>
      </w:r>
    </w:p>
    <w:p>
      <w:pPr>
        <w:pStyle w:val="ListParagraph"/>
        <w:numPr>
          <w:ilvl w:val="0"/>
          <w:numId w:val="2"/>
        </w:numPr>
        <w:spacing w:before="40" w:after="40"/>
      </w:pPr>
      <w:r>
        <w:rPr>
          <w:color w:val="333333"/>
          <w:sz w:val="20"/>
          <w:szCs w:val="20"/>
        </w:rPr>
        <w:t xml:space="preserve">Week 7: Baseline locked, countersigned. Platform goes live for pilot cohort.</w:t>
      </w:r>
    </w:p>
    <w:p>
      <w:pPr>
        <w:pStyle w:val="ListParagraph"/>
        <w:numPr>
          <w:ilvl w:val="0"/>
          <w:numId w:val="2"/>
        </w:numPr>
        <w:spacing w:before="40" w:after="40"/>
      </w:pPr>
      <w:r>
        <w:rPr>
          <w:color w:val="333333"/>
          <w:sz w:val="20"/>
          <w:szCs w:val="20"/>
        </w:rPr>
        <w:t xml:space="preserve">Week 7-19: Active pilot. Weekly KPI reporting via shared dashboard.</w:t>
      </w:r>
    </w:p>
    <w:p>
      <w:pPr>
        <w:pStyle w:val="ListParagraph"/>
        <w:numPr>
          <w:ilvl w:val="0"/>
          <w:numId w:val="2"/>
        </w:numPr>
        <w:spacing w:before="40" w:after="40"/>
      </w:pPr>
      <w:r>
        <w:rPr>
          <w:color w:val="333333"/>
          <w:sz w:val="20"/>
          <w:szCs w:val="20"/>
        </w:rPr>
        <w:t xml:space="preserve">Week 20: Pilot review meeting. Commercial decision based on pre-agreed success criteria.</w:t>
      </w:r>
    </w:p>
    <w:p>
      <w:pPr>
        <w:spacing w:before="80" w:after="80"/>
      </w:pPr>
      <w:r>
        <w:t xml:space="preserve"/>
      </w:r>
    </w:p>
    <w:p>
      <w:pPr>
        <w:spacing w:before="40" w:after="40"/>
      </w:pPr>
      <w:r>
        <w:rPr>
          <w:i/>
          <w:iCs/>
          <w:color w:val="888888"/>
          <w:sz w:val="16"/>
          <w:szCs w:val="16"/>
        </w:rPr>
        <w:t xml:space="preserve">Note: Timeline assumes customer ATS admin access is provided in Week 1 and legal template review is completed within 5 business days. Delays in either will extend the deployment timeline.</w:t>
      </w:r>
    </w:p>
    <w:p>
      <w:pPr>
        <w:spacing w:before="80" w:after="80"/>
      </w:pPr>
      <w:r>
        <w:t xml:space="preserve"/>
      </w:r>
    </w:p>
    <w:p>
      <w:pPr>
        <w:pStyle w:val="Heading2"/>
        <w:spacing w:before="280" w:after="120"/>
      </w:pPr>
      <w:r>
        <w:rPr>
          <w:b/>
          <w:bCs/>
          <w:color w:val="1B3A6B"/>
        </w:rPr>
        <w:t xml:space="preserve">Error Handling &amp; Reliability Spec</w:t>
      </w:r>
    </w:p>
    <w:p>
      <w:pPr>
        <w:spacing w:before="60" w:after="80"/>
      </w:pPr>
      <w:r>
        <w:rPr>
          <w:color w:val="333333"/>
          <w:sz w:val="20"/>
          <w:szCs w:val="20"/>
        </w:rPr>
        <w:t xml:space="preserve">The integration playbook is only complete if it specifies what happens when things go wrong. Each ATS vendor has different rate limits, webhook reliability, and field mapping quirks. The following spec governs all three connector implementations: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Failure Scenario</w:t>
            </w:r>
          </w:p>
        </w:tc>
        <w:tc>
          <w:tcPr>
            <w:tcW w:type="dxa" w:w="696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Handling Specification</w:t>
            </w:r>
          </w:p>
        </w:tc>
      </w:tr>
      <w:tr>
        <w:tc>
          <w:tcPr>
            <w:tcW w:type="dxa" w:w="24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color w:val="333333"/>
                <w:sz w:val="17"/>
                <w:szCs w:val="17"/>
              </w:rPr>
              <w:t xml:space="preserve">Webhook delivery failure</w:t>
            </w:r>
          </w:p>
        </w:tc>
        <w:tc>
          <w:tcPr>
            <w:tcW w:type="dxa" w:w="696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color w:val="333333"/>
                <w:sz w:val="17"/>
                <w:szCs w:val="17"/>
              </w:rPr>
              <w:t xml:space="preserve">Automatic retry: 3 attempts at 5-minute intervals. If all fail, event is written to a dead-letter queue (DLQ) with full payload. Recruiting Ops receives an alert within 15 minutes of first failure. DLQ is reviewed and replayed manually or automatically within 24 hours.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color w:val="333333"/>
                <w:sz w:val="17"/>
                <w:szCs w:val="17"/>
              </w:rPr>
              <w:t xml:space="preserve">Duplicate webhook events (idempotency)</w:t>
            </w:r>
          </w:p>
        </w:tc>
        <w:tc>
          <w:tcPr>
            <w:tcW w:type="dxa" w:w="69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color w:val="333333"/>
                <w:sz w:val="17"/>
                <w:szCs w:val="17"/>
              </w:rPr>
              <w:t xml:space="preserve">Every coaching send is keyed on a unique event ID composed of: candidate pseudonym + ATS event type + requisition ID + timestamp window (1-hour bucket). If the same event ID is received more than once — due to ATS retry behaviour or network duplication — the second and subsequent sends are deduplicated and discarded. The audit log records the duplicate receipt and the deduplication action. A candidate will never receive the same coaching interaction twice from a single trigger event.</w:t>
            </w:r>
          </w:p>
        </w:tc>
      </w:tr>
      <w:tr>
        <w:tc>
          <w:tcPr>
            <w:tcW w:type="dxa" w:w="24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color w:val="333333"/>
                <w:sz w:val="17"/>
                <w:szCs w:val="17"/>
              </w:rPr>
              <w:t xml:space="preserve">ATS rate limit exceeded</w:t>
            </w:r>
          </w:p>
        </w:tc>
        <w:tc>
          <w:tcPr>
            <w:tcW w:type="dxa" w:w="696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color w:val="333333"/>
                <w:sz w:val="17"/>
                <w:szCs w:val="17"/>
              </w:rPr>
              <w:t xml:space="preserve">Exponential backoff: 30s, 2min, 8min. Coaching sends are queued and processed in FIFO order once the rate window resets. Candidate receives coaching within the agreed SLA window (default: 24 hours) even if delivery is delayed.</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color w:val="333333"/>
                <w:sz w:val="17"/>
                <w:szCs w:val="17"/>
              </w:rPr>
              <w:t xml:space="preserve">Template not found / misconfigured</w:t>
            </w:r>
          </w:p>
        </w:tc>
        <w:tc>
          <w:tcPr>
            <w:tcW w:type="dxa" w:w="69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color w:val="333333"/>
                <w:sz w:val="17"/>
                <w:szCs w:val="17"/>
              </w:rPr>
              <w:t xml:space="preserve">Coaching send is halted for the affected candidate. Event is flagged in the admin console with the specific error. No fallback to an unapproved template — silence is preferable to non-compliant content. Ops receives an alert within 5 minutes.</w:t>
            </w:r>
          </w:p>
        </w:tc>
      </w:tr>
      <w:tr>
        <w:tc>
          <w:tcPr>
            <w:tcW w:type="dxa" w:w="24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color w:val="333333"/>
                <w:sz w:val="17"/>
                <w:szCs w:val="17"/>
              </w:rPr>
              <w:t xml:space="preserve">Candidate opt-out received mid-sequence</w:t>
            </w:r>
          </w:p>
        </w:tc>
        <w:tc>
          <w:tcPr>
            <w:tcW w:type="dxa" w:w="696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color w:val="333333"/>
                <w:sz w:val="17"/>
                <w:szCs w:val="17"/>
              </w:rPr>
              <w:t xml:space="preserve">Opt-out is honored within 1 hour. All pending sends for that candidate are cancelled from the queue. Opt-out status is written back to the ATS candidate record. Reversal requires explicit candidate re-opt-in — not recruiter override.</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color w:val="333333"/>
                <w:sz w:val="17"/>
                <w:szCs w:val="17"/>
              </w:rPr>
              <w:t xml:space="preserve">ATS field mapping mismatch</w:t>
            </w:r>
          </w:p>
        </w:tc>
        <w:tc>
          <w:tcPr>
            <w:tcW w:type="dxa" w:w="69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color w:val="333333"/>
                <w:sz w:val="17"/>
                <w:szCs w:val="17"/>
              </w:rPr>
              <w:t xml:space="preserve">Connector logs the unmapped field and continues processing with available fields. Admin console surfaces unmapped fields in a weekly 'Field Mapping Health' report. Does not halt delivery unless a required compliance field (template ID, cohort) is missing.</w:t>
            </w:r>
          </w:p>
        </w:tc>
      </w:tr>
      <w:tr>
        <w:tc>
          <w:tcPr>
            <w:tcW w:type="dxa" w:w="24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color w:val="333333"/>
                <w:sz w:val="17"/>
                <w:szCs w:val="17"/>
              </w:rPr>
              <w:t xml:space="preserve">Delivery confirmation not received</w:t>
            </w:r>
          </w:p>
        </w:tc>
        <w:tc>
          <w:tcPr>
            <w:tcW w:type="dxa" w:w="696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color w:val="333333"/>
                <w:sz w:val="17"/>
                <w:szCs w:val="17"/>
              </w:rPr>
              <w:t xml:space="preserve">If delivery receipt is not received within 2 hours, the system marks the send as 'unconfirmed' (not 'failed'). Unconfirmed sends are excluded from NPS survey triggers. Audit log records the unconfirmed status — never assumes successful delivery.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20"/>
              <w:left w:type="dxa" w:w="180"/>
              <w:bottom w:type="dxa" w:w="120"/>
              <w:right w:type="dxa" w:w="180"/>
            </w:tcMar>
          </w:tcPr>
          <w:p>
            <w:pPr>
              <w:spacing w:before="60" w:after="80"/>
            </w:pPr>
            <w:r>
              <w:rPr>
                <w:b/>
                <w:bCs/>
                <w:color w:val="1B3A6B"/>
                <w:sz w:val="20"/>
                <w:szCs w:val="20"/>
              </w:rPr>
              <w:t xml:space="preserve">Implementation Go-Live Checklist</w:t>
            </w:r>
          </w:p>
          <w:p>
            <w:pPr>
              <w:spacing w:before="30" w:after="30"/>
            </w:pPr>
            <w:r>
              <w:rPr>
                <w:color w:val="333333"/>
                <w:sz w:val="18"/>
                <w:szCs w:val="18"/>
              </w:rPr>
              <w:t xml:space="preserve">• API keys provisioned and scoped to minimum required permissions.</w:t>
            </w:r>
          </w:p>
          <w:p>
            <w:pPr>
              <w:spacing w:before="30" w:after="30"/>
            </w:pPr>
            <w:r>
              <w:rPr>
                <w:color w:val="333333"/>
                <w:sz w:val="18"/>
                <w:szCs w:val="18"/>
              </w:rPr>
              <w:t xml:space="preserve">• Field mapping sheet completed and reviewed by Recruiting Ops lead.</w:t>
            </w:r>
          </w:p>
          <w:p>
            <w:pPr>
              <w:spacing w:before="30" w:after="30"/>
            </w:pPr>
            <w:r>
              <w:rPr>
                <w:color w:val="333333"/>
                <w:sz w:val="18"/>
                <w:szCs w:val="18"/>
              </w:rPr>
              <w:t xml:space="preserve">• Test candidate dataset (minimum 10 records) processed successfully in sandbox mode.</w:t>
            </w:r>
          </w:p>
          <w:p>
            <w:pPr>
              <w:spacing w:before="30" w:after="30"/>
            </w:pPr>
            <w:r>
              <w:rPr>
                <w:color w:val="333333"/>
                <w:sz w:val="18"/>
                <w:szCs w:val="18"/>
              </w:rPr>
              <w:t xml:space="preserve">• All three prebuilt flows tested end-to-end in sandbox; delivery confirmations received.</w:t>
            </w:r>
          </w:p>
          <w:p>
            <w:pPr>
              <w:spacing w:before="30" w:after="30"/>
            </w:pPr>
            <w:r>
              <w:rPr>
                <w:color w:val="333333"/>
                <w:sz w:val="18"/>
                <w:szCs w:val="18"/>
              </w:rPr>
              <w:t xml:space="preserve">• Dead-letter queue alerting configured and tested (confirm Ops receives alert).</w:t>
            </w:r>
          </w:p>
          <w:p>
            <w:pPr>
              <w:spacing w:before="30" w:after="30"/>
            </w:pPr>
            <w:r>
              <w:rPr>
                <w:color w:val="333333"/>
                <w:sz w:val="18"/>
                <w:szCs w:val="18"/>
              </w:rPr>
              <w:t xml:space="preserve">• Opt-out flow tested: confirm ATS write-back occurs within 1 hour.</w:t>
            </w:r>
          </w:p>
          <w:p>
            <w:pPr>
              <w:spacing w:before="30" w:after="30"/>
            </w:pPr>
            <w:r>
              <w:rPr>
                <w:color w:val="333333"/>
                <w:sz w:val="18"/>
                <w:szCs w:val="18"/>
              </w:rPr>
              <w:t xml:space="preserve">• Compliance templates selected, legal sign-off documented in admin console.</w:t>
            </w:r>
          </w:p>
          <w:p>
            <w:pPr>
              <w:spacing w:before="30" w:after="30"/>
            </w:pPr>
            <w:r>
              <w:rPr>
                <w:color w:val="333333"/>
                <w:sz w:val="18"/>
                <w:szCs w:val="18"/>
              </w:rPr>
              <w:t xml:space="preserve">• Go-live checklist countersigned by Recruiting Ops lead and ElevenLabs Implementation Manager.</w:t>
            </w:r>
          </w:p>
        </w:tc>
      </w:tr>
    </w:tbl>
    <w:p>
      <w:r>
        <w:br w:type="page"/>
      </w:r>
    </w:p>
    <w:p>
      <w:pPr>
        <w:pStyle w:val="Heading1"/>
        <w:pBdr>
          <w:bottom w:val="single" w:color="2E75B6" w:sz="6" w:space="4"/>
        </w:pBdr>
        <w:spacing w:before="400" w:after="160"/>
      </w:pPr>
      <w:r>
        <w:rPr>
          <w:b/>
          <w:bCs/>
          <w:color w:val="1B3A6B"/>
        </w:rPr>
        <w:t xml:space="preserve">8. PLG Live Audit — Enterprise Conversion Path</w:t>
      </w:r>
    </w:p>
    <w:p>
      <w:pPr>
        <w:spacing w:before="60" w:after="80"/>
      </w:pPr>
      <w:r>
        <w:rPr>
          <w:color w:val="333333"/>
          <w:sz w:val="20"/>
          <w:szCs w:val="20"/>
        </w:rPr>
        <w:t xml:space="preserve">The Live Audit tool is the top-of-funnel PLG motion. Its value is not just lead generation — it is qualification. A TA leader who completes the audit has self-identified as having a candidate experience problem, understands their specific gap, and has received a quantified cost estimate. That is a fundamentally warmer lead than any outbound sequence can produce.</w:t>
      </w:r>
    </w:p>
    <w:p>
      <w:pPr>
        <w:spacing w:before="80" w:after="80"/>
      </w:pPr>
      <w:r>
        <w:t xml:space="preserve"/>
      </w:r>
    </w:p>
    <w:p>
      <w:pPr>
        <w:pStyle w:val="Heading2"/>
        <w:spacing w:before="280" w:after="120"/>
      </w:pPr>
      <w:r>
        <w:rPr>
          <w:b/>
          <w:bCs/>
          <w:color w:val="1B3A6B"/>
        </w:rPr>
        <w:t xml:space="preserve">Terminology: Audience-Calibrated Language</w:t>
      </w:r>
    </w:p>
    <w:p>
      <w:pPr>
        <w:spacing w:before="60" w:after="80"/>
      </w:pPr>
      <w:r>
        <w:rPr>
          <w:color w:val="333333"/>
          <w:sz w:val="20"/>
          <w:szCs w:val="20"/>
        </w:rPr>
        <w:t xml:space="preserve">'False Negative Tax' and 'Pipeline Recovery Opportunity' describe the same underlying calculation. Each term is optimised for a different audience — sales teams must know which to deploy and when: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Term</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Use In</w:t>
            </w:r>
          </w:p>
        </w:tc>
        <w:tc>
          <w:tcPr>
            <w:tcW w:type="dxa" w:w="396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Rationale</w:t>
            </w:r>
          </w:p>
        </w:tc>
      </w:tr>
      <w:tr>
        <w:tc>
          <w:tcPr>
            <w:tcW w:type="dxa" w:w="26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color w:val="333333"/>
                <w:sz w:val="17"/>
                <w:szCs w:val="17"/>
              </w:rPr>
              <w:t xml:space="preserve">False Negative Tax</w:t>
            </w:r>
          </w:p>
        </w:tc>
        <w:tc>
          <w:tcPr>
            <w:tcW w:type="dxa" w:w="28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color w:val="333333"/>
                <w:sz w:val="17"/>
                <w:szCs w:val="17"/>
              </w:rPr>
              <w:t xml:space="preserve">Thought leadership, CPO roundtables, LinkedIn content, Live Audit tool output, executive narrative.</w:t>
            </w:r>
          </w:p>
        </w:tc>
        <w:tc>
          <w:tcPr>
            <w:tcW w:type="dxa" w:w="396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color w:val="333333"/>
                <w:sz w:val="17"/>
                <w:szCs w:val="17"/>
              </w:rPr>
              <w:t xml:space="preserve">Emotionally resonant framing. 'Tax' implies a cost the organization is unknowingly paying — creates urgency. Effective in narrative contexts where the goal is to shift mental models.</w:t>
            </w:r>
          </w:p>
        </w:tc>
      </w:tr>
      <w:tr>
        <w:tc>
          <w:tcPr>
            <w:tcW w:type="dxa" w:w="2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color w:val="333333"/>
                <w:sz w:val="17"/>
                <w:szCs w:val="17"/>
              </w:rPr>
              <w:t xml:space="preserve">Pipeline Recovery Opportunity</w:t>
            </w:r>
          </w:p>
        </w:tc>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color w:val="333333"/>
                <w:sz w:val="17"/>
                <w:szCs w:val="17"/>
              </w:rPr>
              <w:t xml:space="preserve">SOW, procurement contracts, pilot agreements, finance presentations, ROI calculator.</w:t>
            </w:r>
          </w:p>
        </w:tc>
        <w:tc>
          <w:tcPr>
            <w:tcW w:type="dxa" w:w="39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color w:val="333333"/>
                <w:sz w:val="17"/>
                <w:szCs w:val="17"/>
              </w:rPr>
              <w:t xml:space="preserve">Procurement-neutral language. Finance teams respond to 'opportunity' framing rather than 'tax' framing. Removes the risk of the term sounding like invented jargon in a legal document.</w:t>
            </w:r>
          </w:p>
        </w:tc>
      </w:tr>
    </w:tbl>
    <w:p>
      <w:pPr>
        <w:spacing w:before="80" w:after="80"/>
      </w:pPr>
      <w:r>
        <w:t xml:space="preserve"/>
      </w:r>
    </w:p>
    <w:p>
      <w:pPr>
        <w:spacing w:before="60" w:after="80"/>
      </w:pPr>
      <w:r>
        <w:rPr>
          <w:color w:val="333333"/>
          <w:sz w:val="20"/>
          <w:szCs w:val="20"/>
        </w:rPr>
        <w:t xml:space="preserve">Both terms must always be accompanied by a dollarised example. Abstract percentages do not move procurement decisions — a specific, credible dollar figure does. Example: 'Based on your application volume of 15,000/month, your estimated Pipeline Recovery Opportunity is $2.3M annually in re-sourcing cost avoidance and reduced offer decline rates.'</w:t>
      </w:r>
    </w:p>
    <w:p>
      <w:pPr>
        <w:spacing w:before="80" w:after="80"/>
      </w:pPr>
      <w:r>
        <w:t xml:space="preserve"/>
      </w:r>
    </w:p>
    <w:p>
      <w:pPr>
        <w:spacing w:before="60" w:after="80"/>
      </w:pPr>
      <w:r>
        <w:rPr>
          <w:color w:val="333333"/>
          <w:sz w:val="20"/>
          <w:szCs w:val="20"/>
        </w:rPr>
        <w:t xml:space="preserve">The audit tool must produce a credible, enterprise-shareable report — not a marketing quiz. The output includes:</w:t>
      </w:r>
    </w:p>
    <w:p>
      <w:pPr>
        <w:pStyle w:val="ListParagraph"/>
        <w:numPr>
          <w:ilvl w:val="0"/>
          <w:numId w:val="2"/>
        </w:numPr>
        <w:spacing w:before="40" w:after="40"/>
      </w:pPr>
      <w:r>
        <w:rPr>
          <w:color w:val="333333"/>
          <w:sz w:val="20"/>
          <w:szCs w:val="20"/>
        </w:rPr>
        <w:t xml:space="preserve">Candidate Experience Score: a composite score benchmarked against industry peers, derived from the CandE 2023 dataset and updated annually. Methodology appendix included in the downloadable report.</w:t>
      </w:r>
    </w:p>
    <w:p>
      <w:pPr>
        <w:pStyle w:val="ListParagraph"/>
        <w:numPr>
          <w:ilvl w:val="0"/>
          <w:numId w:val="2"/>
        </w:numPr>
        <w:spacing w:before="40" w:after="40"/>
      </w:pPr>
      <w:r>
        <w:rPr>
          <w:color w:val="333333"/>
          <w:sz w:val="20"/>
          <w:szCs w:val="20"/>
        </w:rPr>
        <w:t xml:space="preserve">False Negative Tax Estimate: a quantified estimate of the annual cost of poor candidate communication, calculated from the organization's self-reported application volume, rejection rate, and average cost-per-hire. Formula is disclosed in the methodology appendix.</w:t>
      </w:r>
    </w:p>
    <w:p>
      <w:pPr>
        <w:pStyle w:val="ListParagraph"/>
        <w:numPr>
          <w:ilvl w:val="0"/>
          <w:numId w:val="2"/>
        </w:numPr>
        <w:spacing w:before="40" w:after="40"/>
      </w:pPr>
      <w:r>
        <w:rPr>
          <w:color w:val="333333"/>
          <w:sz w:val="20"/>
          <w:szCs w:val="20"/>
        </w:rPr>
        <w:t xml:space="preserve">Brand Risk Index: a relative risk score based on Glassdoor rating trajectory norms for their industry and company size cohort.</w:t>
      </w:r>
    </w:p>
    <w:p>
      <w:pPr>
        <w:pStyle w:val="ListParagraph"/>
        <w:numPr>
          <w:ilvl w:val="0"/>
          <w:numId w:val="2"/>
        </w:numPr>
        <w:spacing w:before="40" w:after="40"/>
      </w:pPr>
      <w:r>
        <w:rPr>
          <w:color w:val="333333"/>
          <w:sz w:val="20"/>
          <w:szCs w:val="20"/>
        </w:rPr>
        <w:t xml:space="preserve">Gap-to-Top-Quartile Report: a one-page summary showing the delta between their current score and top-quartile performance, with three specific, actionable improvement areas.</w:t>
      </w:r>
    </w:p>
    <w:p>
      <w:pPr>
        <w:spacing w:before="80" w:after="80"/>
      </w:pPr>
      <w:r>
        <w:t xml:space="preserve"/>
      </w:r>
    </w:p>
    <w:p>
      <w:pPr>
        <w:pStyle w:val="Heading2"/>
        <w:spacing w:before="280" w:after="120"/>
      </w:pPr>
      <w:r>
        <w:rPr>
          <w:b/>
          <w:bCs/>
          <w:color w:val="1B3A6B"/>
        </w:rPr>
        <w:t xml:space="preserve">False Negative Tax: Calculation Methodology</w:t>
      </w:r>
    </w:p>
    <w:p>
      <w:pPr>
        <w:spacing w:before="60" w:after="80"/>
      </w:pPr>
      <w:r>
        <w:rPr>
          <w:color w:val="333333"/>
          <w:sz w:val="20"/>
          <w:szCs w:val="20"/>
        </w:rPr>
        <w:t xml:space="preserve">The False Negative Tax is the headline number in the audit output and the most important number in the sales narrative. It must be defensible: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30"/>
              <w:bottom w:type="dxa" w:w="100"/>
              <w:right w:type="dxa" w:w="130"/>
            </w:tcMar>
          </w:tcPr>
          <w:p>
            <w:r>
              <w:rPr>
                <w:b/>
                <w:bCs/>
                <w:color w:val="FFFFFF"/>
                <w:sz w:val="18"/>
                <w:szCs w:val="18"/>
              </w:rPr>
              <w:t xml:space="preserve">Input Variable</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30"/>
              <w:bottom w:type="dxa" w:w="100"/>
              <w:right w:type="dxa" w:w="130"/>
            </w:tcMar>
          </w:tcPr>
          <w:p>
            <w:r>
              <w:rPr>
                <w:b/>
                <w:bCs/>
                <w:color w:val="FFFFFF"/>
                <w:sz w:val="18"/>
                <w:szCs w:val="18"/>
              </w:rPr>
              <w:t xml:space="preserve">Definition &amp; Source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Annual Rejections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Self-reported by TA leader in audit form. Cross-checked against stated application volume and hire rate for reasonableness.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Silver Medalist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 of rejections estimated as 'qualified but not selected this cycle'. Default: 15% (CandE benchmark). Adjustable by user.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Re-engagement Opportunity Cost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Average cost-per-hire × estimated % of silver medalists who could be reactivated without re-sourcing. Default re-activation rate: 20% (prospective; labeled as such in report).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Brand Erosion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color w:val="333333"/>
                <w:sz w:val="17"/>
                <w:szCs w:val="17"/>
              </w:rPr>
              <w:t xml:space="preserve">Estimated Glassdoor impact: each 0.1-point rating decline correlates with a 2-3% increase in offer decline rates (SHRM 2022). Applied to complaint rate delta.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Recruiter Bandwidth Cost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color w:val="333333"/>
                <w:sz w:val="17"/>
                <w:szCs w:val="17"/>
              </w:rPr>
              <w:t xml:space="preserve">Hours lost to manual follow-up × average fully-loaded recruiter cost. Default: $85/hr fully-loaded (SHRM benchmark). Adjustable.</w:t>
            </w:r>
          </w:p>
        </w:tc>
      </w:tr>
    </w:tbl>
    <w:p>
      <w:pPr>
        <w:spacing w:before="80" w:after="80"/>
      </w:pPr>
      <w:r>
        <w:t xml:space="preserve"/>
      </w:r>
    </w:p>
    <w:p>
      <w:pPr>
        <w:spacing w:before="40" w:after="40"/>
      </w:pPr>
      <w:r>
        <w:rPr>
          <w:i/>
          <w:iCs/>
          <w:color w:val="888888"/>
          <w:sz w:val="16"/>
          <w:szCs w:val="16"/>
        </w:rPr>
        <w:t xml:space="preserve">Methodology appendix must be included in every audit report download. Prospective estimates are clearly labeled. Legal review of the calculation methodology is required before public launch.</w:t>
      </w:r>
    </w:p>
    <w:p>
      <w:pPr>
        <w:spacing w:before="80" w:after="80"/>
      </w:pPr>
      <w:r>
        <w:t xml:space="preserve"/>
      </w:r>
    </w:p>
    <w:p>
      <w:pPr>
        <w:pStyle w:val="Heading2"/>
        <w:spacing w:before="280" w:after="120"/>
      </w:pPr>
      <w:r>
        <w:rPr>
          <w:b/>
          <w:bCs/>
          <w:color w:val="1B3A6B"/>
        </w:rPr>
        <w:t xml:space="preserve">Lead Qualification &amp; SDR Conversion Logic</w:t>
      </w:r>
    </w:p>
    <w:p>
      <w:pPr>
        <w:spacing w:before="60" w:after="80"/>
      </w:pPr>
      <w:r>
        <w:rPr>
          <w:color w:val="333333"/>
          <w:sz w:val="20"/>
          <w:szCs w:val="20"/>
        </w:rPr>
        <w:t xml:space="preserve">The audit tool is only valuable if it generates qualified pipeline — not just traffic. Score thresholds trigger differentiated follow-up sequences: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Score Band</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Qualification Signal</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Follow-Up Action</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0-40 (High Risk)</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Strong candidate experience problem; likely high complaint rate and poor Glassdoor trajectory.</w:t>
            </w:r>
          </w:p>
        </w:tc>
        <w:tc>
          <w:tcPr>
            <w:tcW w:type="dxa" w:w="5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Immediate SDR outreach within 24 hours. Focus: compliance risk and brand protection. Offer a 30-minute 'Risk Audit' call with a Solutions Engineer and a legal/compliance specialist.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color w:val="333333"/>
                <w:sz w:val="17"/>
                <w:szCs w:val="17"/>
              </w:rPr>
              <w:t xml:space="preserve">41-70 (Moderate)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color w:val="333333"/>
                <w:sz w:val="17"/>
                <w:szCs w:val="17"/>
              </w:rPr>
              <w:t xml:space="preserve">Recognized problem but no active solution in place. Typical enterprise buyer in evaluation mode.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color w:val="333333"/>
                <w:sz w:val="17"/>
                <w:szCs w:val="17"/>
              </w:rPr>
              <w:t xml:space="preserve">Automated nurture sequence with two SDR touchpoints at Day 3 and Day 10. Content: ROI calculator and a relevant customer case study. Offer an ops-focused demo.</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71-100 (Strong)</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Good baseline but clear upside available. Likely already investing in candidate experience.</w:t>
            </w:r>
          </w:p>
        </w:tc>
        <w:tc>
          <w:tcPr>
            <w:tcW w:type="dxa" w:w="5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color w:val="333333"/>
                <w:sz w:val="17"/>
                <w:szCs w:val="17"/>
              </w:rPr>
              <w:t xml:space="preserve">Content-first nurture: send the Gap-to-Top-Quartile Report with a benchmark comparison. SDR touchpoint at Day 14 only. Offer a peer roundtable invitation.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20"/>
              <w:left w:type="dxa" w:w="180"/>
              <w:bottom w:type="dxa" w:w="120"/>
              <w:right w:type="dxa" w:w="180"/>
            </w:tcMar>
          </w:tcPr>
          <w:p>
            <w:pPr>
              <w:spacing w:before="60" w:after="80"/>
            </w:pPr>
            <w:r>
              <w:rPr>
                <w:b/>
                <w:bCs/>
                <w:color w:val="1B3A6B"/>
                <w:sz w:val="20"/>
                <w:szCs w:val="20"/>
              </w:rPr>
              <w:t xml:space="preserve">Demo Focus by Buyer Role</w:t>
            </w:r>
          </w:p>
          <w:p>
            <w:pPr>
              <w:spacing w:before="30" w:after="30"/>
            </w:pPr>
            <w:r>
              <w:rPr>
                <w:color w:val="333333"/>
                <w:sz w:val="18"/>
                <w:szCs w:val="18"/>
              </w:rPr>
              <w:t xml:space="preserve">• CPO / Economic Buyer: Open with the False Negative Tax estimate from their audit. Lead with brand protection and compliance risk reduction. End with ROI summary.</w:t>
            </w:r>
          </w:p>
          <w:p>
            <w:pPr>
              <w:spacing w:before="30" w:after="30"/>
            </w:pPr>
            <w:r>
              <w:rPr>
                <w:color w:val="333333"/>
                <w:sz w:val="18"/>
                <w:szCs w:val="18"/>
              </w:rPr>
              <w:t xml:space="preserve">• Head of TA / Champion: Lead with the integration demo. Show the three prebuilt flows live in a sandbox ATS environment. Focus on pilot structure and success criteria.</w:t>
            </w:r>
          </w:p>
          <w:p>
            <w:pPr>
              <w:spacing w:before="30" w:after="30"/>
            </w:pPr>
            <w:r>
              <w:rPr>
                <w:color w:val="333333"/>
                <w:sz w:val="18"/>
                <w:szCs w:val="18"/>
              </w:rPr>
              <w:t xml:space="preserve">• Recruiting Ops / Influencer: Deep-dive on the admin console. Show trigger mapping, template library, and the ATS write-back. Address data residency and audit log questions.</w:t>
            </w:r>
          </w:p>
          <w:p>
            <w:pPr>
              <w:spacing w:before="30" w:after="30"/>
            </w:pPr>
            <w:r>
              <w:rPr>
                <w:color w:val="333333"/>
                <w:sz w:val="18"/>
                <w:szCs w:val="18"/>
              </w:rPr>
              <w:t xml:space="preserve">• Legal / Compliance: Prepare the compliance architecture one-pager and the DPA template in advance. Do not present this live — send it 48 hours before the meeting.</w:t>
            </w:r>
          </w:p>
        </w:tc>
      </w:tr>
    </w:tbl>
    <w:p>
      <w:r>
        <w:br w:type="page"/>
      </w:r>
    </w:p>
    <w:p>
      <w:pPr>
        <w:pStyle w:val="Heading1"/>
        <w:pBdr>
          <w:bottom w:val="single" w:color="2E75B6" w:sz="6" w:space="4"/>
        </w:pBdr>
        <w:spacing w:before="400" w:after="160"/>
      </w:pPr>
      <w:r>
        <w:rPr>
          <w:b/>
          <w:bCs/>
          <w:color w:val="1B3A6B"/>
        </w:rPr>
        <w:t xml:space="preserve">9. Data Governance &amp; Trust Framework</w:t>
      </w:r>
    </w:p>
    <w:p>
      <w:pPr>
        <w:pStyle w:val="Heading2"/>
        <w:spacing w:before="280" w:after="120"/>
      </w:pPr>
      <w:r>
        <w:rPr>
          <w:b/>
          <w:bCs/>
          <w:color w:val="1B3A6B"/>
        </w:rPr>
        <w:t xml:space="preserve">Enterprise Data Policies</w:t>
      </w:r>
    </w:p>
    <w:p>
      <w:pPr>
        <w:pStyle w:val="ListParagraph"/>
        <w:numPr>
          <w:ilvl w:val="0"/>
          <w:numId w:val="2"/>
        </w:numPr>
        <w:spacing w:before="40" w:after="40"/>
      </w:pPr>
      <w:r>
        <w:rPr>
          <w:color w:val="333333"/>
          <w:sz w:val="20"/>
          <w:szCs w:val="20"/>
        </w:rPr>
        <w:t xml:space="preserve">Candidate data is never used to train ElevenLabs' public or commercial models without explicit, granular opt-in consent — not bundled consent buried in terms of service.</w:t>
      </w:r>
    </w:p>
    <w:p>
      <w:pPr>
        <w:pStyle w:val="ListParagraph"/>
        <w:numPr>
          <w:ilvl w:val="0"/>
          <w:numId w:val="2"/>
        </w:numPr>
        <w:spacing w:before="40" w:after="40"/>
      </w:pPr>
      <w:r>
        <w:rPr>
          <w:color w:val="333333"/>
          <w:sz w:val="20"/>
          <w:szCs w:val="20"/>
        </w:rPr>
        <w:t xml:space="preserve">Model improvements derived from customer deployments are opt-in, based exclusively on anonymized and aggregated interaction signals, and governed by a Data Processing Agreement (DPA) executed at contract signing.</w:t>
      </w:r>
    </w:p>
    <w:p>
      <w:pPr>
        <w:pStyle w:val="ListParagraph"/>
        <w:numPr>
          <w:ilvl w:val="0"/>
          <w:numId w:val="2"/>
        </w:numPr>
        <w:spacing w:before="40" w:after="40"/>
      </w:pPr>
      <w:r>
        <w:rPr>
          <w:color w:val="333333"/>
          <w:sz w:val="20"/>
          <w:szCs w:val="20"/>
        </w:rPr>
        <w:t xml:space="preserve">SOC 2 Type II certification is in progress [INSERT CURRENT STATUS]. Current security posture documentation is available under NDA for enterprise procurement review.</w:t>
      </w:r>
    </w:p>
    <w:p>
      <w:pPr>
        <w:pStyle w:val="ListParagraph"/>
        <w:numPr>
          <w:ilvl w:val="0"/>
          <w:numId w:val="2"/>
        </w:numPr>
        <w:spacing w:before="40" w:after="40"/>
      </w:pPr>
      <w:r>
        <w:rPr>
          <w:color w:val="333333"/>
          <w:sz w:val="20"/>
          <w:szCs w:val="20"/>
        </w:rPr>
        <w:t xml:space="preserve">GDPR compliance architecture includes data residency controls (EU deployment available), DPA templates aligned with Standard Contractual Clauses, and Article 17 deletion workflows.</w:t>
      </w:r>
    </w:p>
    <w:p>
      <w:pPr>
        <w:pStyle w:val="ListParagraph"/>
        <w:numPr>
          <w:ilvl w:val="0"/>
          <w:numId w:val="2"/>
        </w:numPr>
        <w:spacing w:before="40" w:after="40"/>
      </w:pPr>
      <w:r>
        <w:rPr>
          <w:color w:val="333333"/>
          <w:sz w:val="20"/>
          <w:szCs w:val="20"/>
        </w:rPr>
        <w:t xml:space="preserve">Every automated message is logged with a full audit trail: timestamp, template version, delivery status, and candidate pseudonym. Logs are retained per contractually agreed retention schedules.</w:t>
      </w:r>
    </w:p>
    <w:p>
      <w:pPr>
        <w:pStyle w:val="ListParagraph"/>
        <w:numPr>
          <w:ilvl w:val="0"/>
          <w:numId w:val="2"/>
        </w:numPr>
        <w:spacing w:before="40" w:after="40"/>
      </w:pPr>
      <w:r>
        <w:rPr>
          <w:color w:val="333333"/>
          <w:sz w:val="20"/>
          <w:szCs w:val="20"/>
        </w:rPr>
        <w:t xml:space="preserve">Data retention defaults: candidate data is purged after 24 months unless the customer configures a different retention period within platform controls.</w:t>
      </w:r>
    </w:p>
    <w:p>
      <w:pPr>
        <w:spacing w:before="80" w:after="80"/>
      </w:pPr>
      <w:r>
        <w:t xml:space="preserve"/>
      </w:r>
    </w:p>
    <w:p>
      <w:pPr>
        <w:spacing w:before="40" w:after="40"/>
      </w:pPr>
      <w:r>
        <w:rPr>
          <w:i/>
          <w:iCs/>
          <w:color w:val="888888"/>
          <w:sz w:val="16"/>
          <w:szCs w:val="16"/>
        </w:rPr>
        <w:t xml:space="preserve">Note: SOC 2 Type II status and specific certifications should be verified by the Sales team against current compliance documentation before citing in customer conversations.</w:t>
      </w:r>
    </w:p>
    <w:p>
      <w:r>
        <w:br w:type="page"/>
      </w:r>
    </w:p>
    <w:p>
      <w:pPr>
        <w:pStyle w:val="Heading1"/>
        <w:pBdr>
          <w:bottom w:val="single" w:color="2E75B6" w:sz="6" w:space="4"/>
        </w:pBdr>
        <w:spacing w:before="400" w:after="160"/>
      </w:pPr>
      <w:r>
        <w:rPr>
          <w:b/>
          <w:bCs/>
          <w:color w:val="1B3A6B"/>
        </w:rPr>
        <w:t xml:space="preserve">10. Growth Flywheel</w:t>
      </w:r>
    </w:p>
    <w:p>
      <w:pPr>
        <w:spacing w:before="60" w:after="80"/>
      </w:pPr>
      <w:r>
        <w:rPr>
          <w:color w:val="333333"/>
          <w:sz w:val="20"/>
          <w:szCs w:val="20"/>
        </w:rPr>
        <w:t xml:space="preserve">The platform's long-term competitive moat is built through a reinforcing feedback loop: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b/>
                <w:bCs/>
                <w:color w:val="1B3A6B"/>
                <w:sz w:val="20"/>
                <w:szCs w:val="20"/>
              </w:rPr>
              <w:t xml:space="preserve">Step 1: </w:t>
            </w:r>
            <w:r>
              <w:rPr>
                <w:color w:val="333333"/>
                <w:sz w:val="20"/>
                <w:szCs w:val="20"/>
              </w:rPr>
              <w:t xml:space="preserve">More candidates receive structured, high-quality voice guidance at scale.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b/>
                <w:bCs/>
                <w:color w:val="1B3A6B"/>
                <w:sz w:val="20"/>
                <w:szCs w:val="20"/>
              </w:rPr>
              <w:t xml:space="preserve">Step 2: </w:t>
            </w:r>
            <w:r>
              <w:rPr>
                <w:color w:val="333333"/>
                <w:sz w:val="20"/>
                <w:szCs w:val="20"/>
              </w:rPr>
              <w:t xml:space="preserve">Anonymized interaction signals — with customer consent — improve the guidance model's ability to identify skill gap patterns across role categories and industries.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b/>
                <w:bCs/>
                <w:color w:val="1B3A6B"/>
                <w:sz w:val="20"/>
                <w:szCs w:val="20"/>
              </w:rPr>
              <w:t xml:space="preserve">Step 3: </w:t>
            </w:r>
            <w:r>
              <w:rPr>
                <w:color w:val="333333"/>
                <w:sz w:val="20"/>
                <w:szCs w:val="20"/>
              </w:rPr>
              <w:t xml:space="preserve">Coaching accuracy and personalization improve, increasing candidate satisfaction scores.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b/>
                <w:bCs/>
                <w:color w:val="1B3A6B"/>
                <w:sz w:val="20"/>
                <w:szCs w:val="20"/>
              </w:rPr>
              <w:t xml:space="preserve">Step 4: </w:t>
            </w:r>
            <w:r>
              <w:rPr>
                <w:color w:val="333333"/>
                <w:sz w:val="20"/>
                <w:szCs w:val="20"/>
              </w:rPr>
              <w:t xml:space="preserve">Improved satisfaction reduces negative brand exposure and generates organic advocacy from candidates who received genuine value.</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b/>
                <w:bCs/>
                <w:color w:val="1B3A6B"/>
                <w:sz w:val="20"/>
                <w:szCs w:val="20"/>
              </w:rPr>
              <w:t xml:space="preserve">Step 5: </w:t>
            </w:r>
            <w:r>
              <w:rPr>
                <w:color w:val="333333"/>
                <w:sz w:val="20"/>
                <w:szCs w:val="20"/>
              </w:rPr>
              <w:t xml:space="preserve">Enterprise adoption accelerates as proof points accumulate across reference customers.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b/>
                <w:bCs/>
                <w:color w:val="1B3A6B"/>
                <w:sz w:val="20"/>
                <w:szCs w:val="20"/>
              </w:rPr>
              <w:t xml:space="preserve">Step 6: </w:t>
            </w:r>
            <w:r>
              <w:rPr>
                <w:color w:val="333333"/>
                <w:sz w:val="20"/>
                <w:szCs w:val="20"/>
              </w:rPr>
              <w:t xml:space="preserve">The dataset compounds, deepening the technical and data moat against point solutions and ATS-native features.</w:t>
            </w:r>
          </w:p>
        </w:tc>
      </w:tr>
    </w:tbl>
    <w:p>
      <w:pPr>
        <w:spacing w:before="80" w:after="80"/>
      </w:pPr>
      <w:r>
        <w:t xml:space="preserve"/>
      </w:r>
    </w:p>
    <w:p>
      <w:pPr>
        <w:spacing w:before="60" w:after="80"/>
      </w:pPr>
      <w:r>
        <w:rPr>
          <w:color w:val="333333"/>
          <w:sz w:val="20"/>
          <w:szCs w:val="20"/>
        </w:rPr>
        <w:t xml:space="preserve">Data collection for model improvement is opt-in and governed by the DPA — it is not an automatic consequence of platform use.</w:t>
      </w:r>
    </w:p>
    <w:p>
      <w:r>
        <w:br w:type="page"/>
      </w:r>
    </w:p>
    <w:p>
      <w:pPr>
        <w:pStyle w:val="Heading1"/>
        <w:pBdr>
          <w:bottom w:val="single" w:color="2E75B6" w:sz="6" w:space="4"/>
        </w:pBdr>
        <w:spacing w:before="400" w:after="160"/>
      </w:pPr>
      <w:r>
        <w:rPr>
          <w:b/>
          <w:bCs/>
          <w:color w:val="1B3A6B"/>
        </w:rPr>
        <w:t xml:space="preserve">11. Commercial Roadmap: 90 / 180 / 365</w:t>
      </w:r>
    </w:p>
    <w:p>
      <w:pPr>
        <w:spacing w:before="60" w:after="80"/>
      </w:pPr>
      <w:r>
        <w:rPr>
          <w:color w:val="333333"/>
          <w:sz w:val="20"/>
          <w:szCs w:val="20"/>
        </w:rPr>
        <w:t xml:space="preserve">The GTM motion does not end at pilot sign-off. Each milestone in the first 12 months has a specific commercial objective, a set of success criteria, and a defined next action. This roadmap gives the sales and CS teams a shared language for managing account expansion.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Milestone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Commercial Objective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Success Criteria</w:t>
            </w:r>
          </w:p>
        </w:tc>
        <w:tc>
          <w:tcPr>
            <w:tcW w:type="dxa" w:w="3160"/>
            <w:tcBorders>
              <w:top w:val="single" w:color="CCCCCC" w:sz="1"/>
              <w:left w:val="single" w:color="CCCCCC" w:sz="1"/>
              <w:bottom w:val="single" w:color="CCCCCC" w:sz="1"/>
              <w:right w:val="single" w:color="CCCCCC" w:sz="1"/>
            </w:tcBorders>
            <w:shd w:fill="1B3A6B" w:val="clear"/>
            <w:tcMar>
              <w:top w:type="dxa" w:w="100"/>
              <w:left w:type="dxa" w:w="130"/>
              <w:bottom w:type="dxa" w:w="100"/>
              <w:right w:type="dxa" w:w="130"/>
            </w:tcMar>
          </w:tcPr>
          <w:p>
            <w:r>
              <w:rPr>
                <w:b/>
                <w:bCs/>
                <w:color w:val="FFFFFF"/>
                <w:sz w:val="18"/>
                <w:szCs w:val="18"/>
              </w:rPr>
              <w:t xml:space="preserve">Next Action Trigger</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r>
              <w:rPr>
                <w:color w:val="333333"/>
                <w:sz w:val="17"/>
                <w:szCs w:val="17"/>
              </w:rPr>
              <w:t xml:space="preserve">Day 90
Pilot Review</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r>
              <w:rPr>
                <w:color w:val="333333"/>
                <w:sz w:val="17"/>
                <w:szCs w:val="17"/>
              </w:rPr>
              <w:t xml:space="preserve">Convert pilot to full enterprise contract. Establish first reference customer.</w:t>
            </w:r>
          </w:p>
        </w:tc>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r>
              <w:rPr>
                <w:color w:val="333333"/>
                <w:sz w:val="17"/>
                <w:szCs w:val="17"/>
              </w:rPr>
              <w:t xml:space="preserve">Complaint rate down &gt;=20% vs. baseline. Re-engagement rate &gt;=10%. At least one KPI above pre-agreed threshold.</w:t>
            </w:r>
          </w:p>
        </w:tc>
        <w:tc>
          <w:tcPr>
            <w:tcW w:type="dxa" w:w="3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r>
              <w:rPr>
                <w:color w:val="333333"/>
                <w:sz w:val="17"/>
                <w:szCs w:val="17"/>
              </w:rPr>
              <w:t xml:space="preserve">If success criteria met: present full contract with outcome-tiered pricing. If partial: agree a 30-day extension with one focused remediation action. If failed: structured exit with data deletion and no-fault termination.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Day 180
Expansion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Expand platform to a second business unit or geographic region within the same enterprise account.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NPS stable or improving. No open compliance incidents. Recruiting Ops lead has signed off on integration health.</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CS presents expansion business case using anonymized pilot data. Buyer introduces CS to second BU head. New pilot agreement scoped within 2 weeks.</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r>
              <w:rPr>
                <w:color w:val="333333"/>
                <w:sz w:val="17"/>
                <w:szCs w:val="17"/>
              </w:rPr>
              <w:t xml:space="preserve">Day 180
Case Study</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r>
              <w:rPr>
                <w:color w:val="333333"/>
                <w:sz w:val="17"/>
                <w:szCs w:val="17"/>
              </w:rPr>
              <w:t xml:space="preserve">Publish an anonymized case study with real metrics to support broader enterprise sales motion.</w:t>
            </w:r>
          </w:p>
        </w:tc>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r>
              <w:rPr>
                <w:color w:val="333333"/>
                <w:sz w:val="17"/>
                <w:szCs w:val="17"/>
              </w:rPr>
              <w:t xml:space="preserve">Customer approves anonymized metrics for external use. At least two of the four primary KPIs show measurable improvement.</w:t>
            </w:r>
          </w:p>
        </w:tc>
        <w:tc>
          <w:tcPr>
            <w:tcW w:type="dxa" w:w="3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r>
              <w:rPr>
                <w:color w:val="333333"/>
                <w:sz w:val="17"/>
                <w:szCs w:val="17"/>
              </w:rPr>
              <w:t xml:space="preserve">CS drafts case study from pilot data. Legal reviews for confidentiality. Published to ElevenLabs website and used in SDR outreach within 30 days of approval.</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Day 365
Strategic Embed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Embed platform into ATS partner program. Shift account from 'customer' to 'reference partner'. Launch outcome-tiered enterprise plan.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Customer actively refers at least one peer to ElevenLabs. Platform in use across &gt;=2 business units. Customer willing to participate in a CPO roundtable or conference session.</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ATS partner program application submitted. Account moves to Named Enterprise tier with a dedicated CSM. Outcome-tiered contract renewal presented 60 days before anniversary.</w:t>
            </w:r>
          </w:p>
        </w:tc>
      </w:tr>
    </w:tbl>
    <w:p>
      <w:pPr>
        <w:spacing w:before="80" w:after="80"/>
      </w:pPr>
      <w:r>
        <w:t xml:space="preserve"/>
      </w:r>
    </w:p>
    <w:p>
      <w:pPr>
        <w:pStyle w:val="Heading2"/>
        <w:spacing w:before="280" w:after="120"/>
      </w:pPr>
      <w:r>
        <w:rPr>
          <w:b/>
          <w:bCs/>
          <w:color w:val="1B3A6B"/>
        </w:rPr>
        <w:t xml:space="preserve">What 'Success' Looks Like at 365 Days</w:t>
      </w:r>
    </w:p>
    <w:p>
      <w:pPr>
        <w:spacing w:before="60" w:after="80"/>
      </w:pPr>
      <w:r>
        <w:rPr>
          <w:color w:val="333333"/>
          <w:sz w:val="20"/>
          <w:szCs w:val="20"/>
        </w:rPr>
        <w:t xml:space="preserve">A customer who reaches Day 365 in good standing should exhibit all of the following. If any are missing, the account is at expansion risk and CS should flag it to leadership:</w:t>
      </w:r>
    </w:p>
    <w:p>
      <w:pPr>
        <w:pStyle w:val="ListParagraph"/>
        <w:numPr>
          <w:ilvl w:val="0"/>
          <w:numId w:val="2"/>
        </w:numPr>
        <w:spacing w:before="40" w:after="40"/>
      </w:pPr>
      <w:r>
        <w:rPr>
          <w:color w:val="333333"/>
          <w:sz w:val="20"/>
          <w:szCs w:val="20"/>
        </w:rPr>
        <w:t xml:space="preserve">Platform live across at least two business units or 1,000+ candidate interactions processed in the trailing 90 days.</w:t>
      </w:r>
    </w:p>
    <w:p>
      <w:pPr>
        <w:pStyle w:val="ListParagraph"/>
        <w:numPr>
          <w:ilvl w:val="0"/>
          <w:numId w:val="2"/>
        </w:numPr>
        <w:spacing w:before="40" w:after="40"/>
      </w:pPr>
      <w:r>
        <w:rPr>
          <w:color w:val="333333"/>
          <w:sz w:val="20"/>
          <w:szCs w:val="20"/>
        </w:rPr>
        <w:t xml:space="preserve">All four primary KPIs measured, trending positively, and reported in the shared dashboard.</w:t>
      </w:r>
    </w:p>
    <w:p>
      <w:pPr>
        <w:pStyle w:val="ListParagraph"/>
        <w:numPr>
          <w:ilvl w:val="0"/>
          <w:numId w:val="2"/>
        </w:numPr>
        <w:spacing w:before="40" w:after="40"/>
      </w:pPr>
      <w:r>
        <w:rPr>
          <w:color w:val="333333"/>
          <w:sz w:val="20"/>
          <w:szCs w:val="20"/>
        </w:rPr>
        <w:t xml:space="preserve">No open compliance incidents, no unresolved candidate disputes, and no outstanding audit log gaps.</w:t>
      </w:r>
    </w:p>
    <w:p>
      <w:pPr>
        <w:pStyle w:val="ListParagraph"/>
        <w:numPr>
          <w:ilvl w:val="0"/>
          <w:numId w:val="2"/>
        </w:numPr>
        <w:spacing w:before="40" w:after="40"/>
      </w:pPr>
      <w:r>
        <w:rPr>
          <w:color w:val="333333"/>
          <w:sz w:val="20"/>
          <w:szCs w:val="20"/>
        </w:rPr>
        <w:t xml:space="preserve">Customer legal and procurement teams have both signed off on the DPA and data governance review.</w:t>
      </w:r>
    </w:p>
    <w:p>
      <w:pPr>
        <w:pStyle w:val="ListParagraph"/>
        <w:numPr>
          <w:ilvl w:val="0"/>
          <w:numId w:val="2"/>
        </w:numPr>
        <w:spacing w:before="40" w:after="40"/>
      </w:pPr>
      <w:r>
        <w:rPr>
          <w:color w:val="333333"/>
          <w:sz w:val="20"/>
          <w:szCs w:val="20"/>
        </w:rPr>
        <w:t xml:space="preserve">At least one internal champion — Head of TA or Recruiting Ops lead — has presented the platform's results to a senior stakeholder (CPO or equivalent).</w:t>
      </w:r>
    </w:p>
    <w:p>
      <w:pPr>
        <w:pStyle w:val="ListParagraph"/>
        <w:numPr>
          <w:ilvl w:val="0"/>
          <w:numId w:val="2"/>
        </w:numPr>
        <w:spacing w:before="40" w:after="40"/>
      </w:pPr>
      <w:r>
        <w:rPr>
          <w:color w:val="333333"/>
          <w:sz w:val="20"/>
          <w:szCs w:val="20"/>
        </w:rPr>
        <w:t xml:space="preserve">Customer has been introduced to the ATS partner program and has at least one active ATS connector in production.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20"/>
              <w:left w:type="dxa" w:w="180"/>
              <w:bottom w:type="dxa" w:w="120"/>
              <w:right w:type="dxa" w:w="180"/>
            </w:tcMar>
          </w:tcPr>
          <w:p>
            <w:pPr>
              <w:spacing w:before="60" w:after="80"/>
            </w:pPr>
            <w:r>
              <w:rPr>
                <w:b/>
                <w:bCs/>
                <w:color w:val="1B3A6B"/>
                <w:sz w:val="20"/>
                <w:szCs w:val="20"/>
              </w:rPr>
              <w:t xml:space="preserve">Risk Signal: Early Warning Indicators</w:t>
            </w:r>
          </w:p>
          <w:p>
            <w:pPr>
              <w:spacing w:before="30" w:after="30"/>
            </w:pPr>
            <w:r>
              <w:rPr>
                <w:color w:val="333333"/>
                <w:sz w:val="18"/>
                <w:szCs w:val="18"/>
              </w:rPr>
              <w:t xml:space="preserve">• NPS declining two consecutive measurement periods — flag to CS and investigate template quality.</w:t>
            </w:r>
          </w:p>
          <w:p>
            <w:pPr>
              <w:spacing w:before="30" w:after="30"/>
            </w:pPr>
            <w:r>
              <w:rPr>
                <w:color w:val="333333"/>
                <w:sz w:val="18"/>
                <w:szCs w:val="18"/>
              </w:rPr>
              <w:t xml:space="preserve">• Pilot complaint rate not improving after 45 days — escalate to Solutions Engineering for workflow review.</w:t>
            </w:r>
          </w:p>
          <w:p>
            <w:pPr>
              <w:spacing w:before="30" w:after="30"/>
            </w:pPr>
            <w:r>
              <w:rPr>
                <w:color w:val="333333"/>
                <w:sz w:val="18"/>
                <w:szCs w:val="18"/>
              </w:rPr>
              <w:t xml:space="preserve">• Recruiting Ops lead disengaged or replaced — re-establish champion relationship before Day 60.</w:t>
            </w:r>
          </w:p>
          <w:p>
            <w:pPr>
              <w:spacing w:before="30" w:after="30"/>
            </w:pPr>
            <w:r>
              <w:rPr>
                <w:color w:val="333333"/>
                <w:sz w:val="18"/>
                <w:szCs w:val="18"/>
              </w:rPr>
              <w:t xml:space="preserve">• Legal review not completed by Day 30 of pilot — halt go-live until resolved; do not proceed with unreviewed templates.</w:t>
            </w:r>
          </w:p>
          <w:p>
            <w:pPr>
              <w:spacing w:before="30" w:after="30"/>
            </w:pPr>
            <w:r>
              <w:rPr>
                <w:color w:val="333333"/>
                <w:sz w:val="18"/>
                <w:szCs w:val="18"/>
              </w:rPr>
              <w:t xml:space="preserve">• ATS field mapping errors appearing in weekly health report — resolve before they accumulate into audit log gaps.</w:t>
            </w:r>
          </w:p>
        </w:tc>
      </w:tr>
    </w:tbl>
    <w:p>
      <w:r>
        <w:br w:type="page"/>
      </w:r>
    </w:p>
    <w:p>
      <w:pPr>
        <w:pStyle w:val="Heading1"/>
        <w:pBdr>
          <w:bottom w:val="single" w:color="2E75B6" w:sz="6" w:space="4"/>
        </w:pBdr>
        <w:spacing w:before="400" w:after="160"/>
      </w:pPr>
      <w:r>
        <w:rPr>
          <w:b/>
          <w:bCs/>
          <w:color w:val="1B3A6B"/>
        </w:rPr>
        <w:t xml:space="preserve">12. Narrative Summary</w:t>
      </w:r>
    </w:p>
    <w:p>
      <w:pPr>
        <w:spacing w:before="80" w:after="160"/>
      </w:pPr>
      <w:r>
        <w:rPr>
          <w:color w:val="333333"/>
          <w:sz w:val="22"/>
          <w:szCs w:val="22"/>
        </w:rPr>
        <w:t xml:space="preserve">ElevenLabs transforms Talent Acquisition from a volume-processing function into a growth engine. By applying voice AI to the candidate experience layer of the hiring funnel, enterprises reduce brand risk, improve pipeline quality, and eliminate the compounding cost of poor candidate communication — what we call the False Negative Tax.</w:t>
      </w:r>
    </w:p>
    <w:p>
      <w:pPr>
        <w:spacing w:before="80" w:after="160"/>
      </w:pPr>
      <w:r>
        <w:rPr>
          <w:color w:val="333333"/>
          <w:sz w:val="22"/>
          <w:szCs w:val="22"/>
        </w:rPr>
        <w:t xml:space="preserve">The result is a scalable, consistent, and defensibly compliant candidate experience that converts rejected applicants into brand advocates, silver medalists into future hires, and recruiter bandwidth into offer-stage focus.</w:t>
      </w:r>
    </w:p>
    <w:p>
      <w:pPr>
        <w:spacing w:before="80" w:after="160"/>
      </w:pPr>
      <w:r>
        <w:rPr>
          <w:color w:val="333333"/>
          <w:sz w:val="22"/>
          <w:szCs w:val="22"/>
        </w:rPr>
        <w:t xml:space="preserve">ElevenLabs' core technical differentiator — dynamic, context-aware voice generation at zero marginal cost per interaction — makes this application uniquely defensible. No ATS-native feature and no text-based solution can replicate the psychological impact of a warm, articulate, personalized voice interaction at scale.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20"/>
              <w:left w:type="dxa" w:w="180"/>
              <w:bottom w:type="dxa" w:w="120"/>
              <w:right w:type="dxa" w:w="180"/>
            </w:tcMar>
          </w:tcPr>
          <w:p>
            <w:pPr>
              <w:spacing w:before="60" w:after="80"/>
            </w:pPr>
            <w:r>
              <w:rPr>
                <w:b/>
                <w:bCs/>
                <w:color w:val="1B3A6B"/>
                <w:sz w:val="20"/>
                <w:szCs w:val="20"/>
              </w:rPr>
              <w:t xml:space="preserve">Recommended Next Steps</w:t>
            </w:r>
          </w:p>
          <w:p>
            <w:pPr>
              <w:spacing w:before="30" w:after="30"/>
            </w:pPr>
            <w:r>
              <w:rPr>
                <w:color w:val="333333"/>
                <w:sz w:val="18"/>
                <w:szCs w:val="18"/>
              </w:rPr>
              <w:t xml:space="preserve">• Legal review of compliance architecture against EEOC and GDPR requirements — before any enterprise sales conversation.</w:t>
            </w:r>
          </w:p>
          <w:p>
            <w:pPr>
              <w:spacing w:before="30" w:after="30"/>
            </w:pPr>
            <w:r>
              <w:rPr>
                <w:color w:val="333333"/>
                <w:sz w:val="18"/>
                <w:szCs w:val="18"/>
              </w:rPr>
              <w:t xml:space="preserve">• SOC 2 Type II timeline confirmation — required for regulated industry procurement.</w:t>
            </w:r>
          </w:p>
          <w:p>
            <w:pPr>
              <w:spacing w:before="30" w:after="30"/>
            </w:pPr>
            <w:r>
              <w:rPr>
                <w:color w:val="333333"/>
                <w:sz w:val="18"/>
                <w:szCs w:val="18"/>
              </w:rPr>
              <w:t xml:space="preserve">• KPI definition doc: produce the one-page KPI definitions document and embed it in the pilot agreement template.</w:t>
            </w:r>
          </w:p>
          <w:p>
            <w:pPr>
              <w:spacing w:before="30" w:after="30"/>
            </w:pPr>
            <w:r>
              <w:rPr>
                <w:color w:val="333333"/>
                <w:sz w:val="18"/>
                <w:szCs w:val="18"/>
              </w:rPr>
              <w:t xml:space="preserve">• Pilot agreement template: draft the standard 30/90 pilot agreement with pre-agreed success criteria fields.</w:t>
            </w:r>
          </w:p>
          <w:p>
            <w:pPr>
              <w:spacing w:before="30" w:after="30"/>
            </w:pPr>
            <w:r>
              <w:rPr>
                <w:color w:val="333333"/>
                <w:sz w:val="18"/>
                <w:szCs w:val="18"/>
              </w:rPr>
              <w:t xml:space="preserve">• Year 1 customer study design — to generate validated ROI data within 6 months of first enterprise deployment.</w:t>
            </w:r>
          </w:p>
          <w:p>
            <w:pPr>
              <w:spacing w:before="30" w:after="30"/>
            </w:pPr>
            <w:r>
              <w:rPr>
                <w:color w:val="333333"/>
                <w:sz w:val="18"/>
                <w:szCs w:val="18"/>
              </w:rPr>
              <w:t xml:space="preserve">• ATS partnership term sheets with Ashby, Greenhouse, and Lever — critical path for Phase 2 distribution.</w:t>
            </w:r>
          </w:p>
          <w:p>
            <w:pPr>
              <w:spacing w:before="30" w:after="30"/>
            </w:pPr>
            <w:r>
              <w:rPr>
                <w:color w:val="333333"/>
                <w:sz w:val="18"/>
                <w:szCs w:val="18"/>
              </w:rPr>
              <w:t xml:space="preserve">• Audit Tool legal review — calculation methodology, data collection terms, and methodology appendix must be reviewed before public launch.</w:t>
            </w:r>
          </w:p>
          <w:p>
            <w:pPr>
              <w:spacing w:before="30" w:after="30"/>
            </w:pPr>
            <w:r>
              <w:rPr>
                <w:color w:val="333333"/>
                <w:sz w:val="18"/>
                <w:szCs w:val="18"/>
              </w:rPr>
              <w:t xml:space="preserve">• False Negative Tax methodology peer review — have an independent HR research firm validate the calculation inputs before the tool goes live.</w:t>
            </w:r>
          </w:p>
        </w:tc>
      </w:tr>
    </w:tbl>
    <w:p>
      <w:pPr>
        <w:spacing w:before="80" w:after="80"/>
      </w:pPr>
      <w:r>
        <w:t xml:space="preserve"/>
      </w:r>
    </w:p>
    <w:p>
      <w:pPr>
        <w:spacing w:before="200"/>
        <w:jc w:val="center"/>
      </w:pPr>
      <w:r>
        <w:rPr>
          <w:i/>
          <w:iCs/>
          <w:color w:val="999999"/>
          <w:sz w:val="16"/>
          <w:szCs w:val="16"/>
        </w:rPr>
        <w:t xml:space="preserve">Confidential  ·  ElevenLabs Internal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i/>
        <w:iCs/>
        <w:color w:val="666666"/>
        <w:sz w:val="16"/>
        <w:szCs w:val="16"/>
      </w:rPr>
      <w:t xml:space="preserve">Confidential  ·  ElevenLabs Internal   </w:t>
    </w:r>
    <w:r>
      <w:rPr>
        <w:color w:val="666666"/>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b/>
        <w:bCs/>
        <w:color w:val="1B3A6B"/>
        <w:sz w:val="18"/>
        <w:szCs w:val="18"/>
      </w:rPr>
      <w:t xml:space="preserve">ElevenLabs Voice Platform</w:t>
    </w:r>
    <w:r>
      <w:rPr>
        <w:color w:val="666666"/>
        <w:sz w:val="18"/>
        <w:szCs w:val="18"/>
      </w:rPr>
      <w:t xml:space="preserve">   |   GTM Campaign: From Gatekeeper to Growth Partner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2026-03-01T09:28:30.616Z</dcterms:created>
  <dcterms:modified xsi:type="dcterms:W3CDTF">2026-03-01T09:28:30.617Z</dcterms:modified>
</cp:coreProperties>
</file>

<file path=docProps/custom.xml><?xml version="1.0" encoding="utf-8"?>
<Properties xmlns="http://schemas.openxmlformats.org/officeDocument/2006/custom-properties" xmlns:vt="http://schemas.openxmlformats.org/officeDocument/2006/docPropsVTypes"/>
</file>