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b/>
          <w:bCs/>
          <w:color w:val="1F3864"/>
          <w:sz w:val="52"/>
          <w:szCs w:val="52"/>
        </w:rPr>
        <w:t xml:space="preserve">Nestlé SCM Media Monitor</w:t>
      </w:r>
    </w:p>
    <w:p>
      <w:pPr>
        <w:spacing w:after="60" w:before="100"/>
        <w:jc w:val="center"/>
      </w:pPr>
      <w:r>
        <w:rPr>
          <w:color w:val="2E5496"/>
          <w:sz w:val="34"/>
          <w:szCs w:val="34"/>
        </w:rPr>
        <w:t xml:space="preserve">System Architecture</w:t>
      </w:r>
    </w:p>
    <w:p>
      <w:pPr>
        <w:spacing w:after="900" w:before="40"/>
        <w:jc w:val="center"/>
      </w:pPr>
      <w:r>
        <w:rPr>
          <w:i/>
          <w:iCs/>
          <w:color w:val="595959"/>
          <w:sz w:val="22"/>
          <w:szCs w:val="22"/>
        </w:rPr>
        <w:t xml:space="preserve">Ocean freight media intelligence platform</w:t>
      </w:r>
    </w:p>
    <w:p>
      <w:pPr>
        <w:spacing w:after="120" w:line="276"/>
        <w:jc w:val="center"/>
      </w:pPr>
      <w:r>
        <w:rPr>
          <w:rFonts w:ascii="Consolas" w:cs="Consolas" w:eastAsia="Consolas" w:hAnsi="Consolas"/>
          <w:sz w:val="19"/>
          <w:szCs w:val="19"/>
        </w:rPr>
        <w:t xml:space="preserve">Repository:  pressatlasnestle/nestle-scm</w:t>
      </w:r>
    </w:p>
    <w:p>
      <w:pPr>
        <w:spacing w:after="120" w:line="276"/>
        <w:jc w:val="center"/>
      </w:pPr>
      <w:r>
        <w:rPr>
          <w:rFonts w:ascii="Consolas" w:cs="Consolas" w:eastAsia="Consolas" w:hAnsi="Consolas"/>
          <w:sz w:val="19"/>
          <w:szCs w:val="19"/>
        </w:rPr>
        <w:t xml:space="preserve">Database:  Supabase project wbxxtreznqdawzhzbstk</w:t>
      </w:r>
    </w:p>
    <w:p>
      <w:pPr>
        <w:spacing w:after="120" w:line="276"/>
        <w:jc w:val="center"/>
      </w:pPr>
      <w:r>
        <w:rPr>
          <w:rFonts w:ascii="Consolas" w:cs="Consolas" w:eastAsia="Consolas" w:hAnsi="Consolas"/>
          <w:sz w:val="19"/>
          <w:szCs w:val="19"/>
        </w:rPr>
        <w:t xml:space="preserve">Deployment:  https://nestle-scm.vercel.app</w:t>
      </w:r>
    </w:p>
    <w:p>
      <w:pPr>
        <w:spacing w:after="600" w:line="276"/>
        <w:jc w:val="center"/>
      </w:pPr>
      <w:r>
        <w:rPr>
          <w:i/>
          <w:iCs/>
          <w:sz w:val="18"/>
          <w:szCs w:val="18"/>
        </w:rPr>
        <w:t xml:space="preserve">Document generated 16 August 2026 · repository state at commit 2d2af6c</w:t>
      </w:r>
    </w:p>
    <w:p>
      <w:pPr>
        <w:spacing w:after="120" w:line="276"/>
        <w:jc w:val="center"/>
      </w:pPr>
      <w:r>
        <w:rPr>
          <w:b/>
          <w:bCs/>
          <w:sz w:val="19"/>
          <w:szCs w:val="19"/>
        </w:rPr>
        <w:t xml:space="preserve">Prepared by numiVeda Solutions (OPC) Pvt Ltd</w:t>
      </w:r>
    </w:p>
    <w:p>
      <w:r>
        <w:br w:type="page"/>
      </w:r>
    </w:p>
    <w:p>
      <w:pPr>
        <w:pStyle w:val="Heading1"/>
        <w:spacing w:after="130" w:before="260"/>
      </w:pPr>
      <w:r>
        <w:rPr>
          <w:b/>
          <w:bCs/>
          <w:color w:val="1F3864"/>
        </w:rPr>
        <w:t xml:space="preserve">Sources and method</w:t>
      </w:r>
    </w:p>
    <w:p>
      <w:pPr>
        <w:spacing w:after="120" w:line="276"/>
      </w:pPr>
      <w:r>
        <w:rPr>
          <w:sz w:val="21"/>
          <w:szCs w:val="21"/>
        </w:rPr>
        <w:t xml:space="preserve">Every statement in this document is taken from one of two places: the live database, queried directly, or the repository source at commit 2d2af6c. Nothing is reconstructed from commit messages, changelogs or recollection.</w:t>
      </w:r>
    </w:p>
    <w:p>
      <w:pPr>
        <w:spacing w:after="90" w:line="276"/>
      </w:pPr>
      <w:r>
        <w:rPr>
          <w:sz w:val="21"/>
          <w:szCs w:val="21"/>
        </w:rPr>
        <w:t xml:space="preserve">Schema facts — tables, columns, types, constraints, indexes, row-level security policies, functions, triggers and scheduled jobs — were read from the PostgreSQL catalogue of the live Supabase project.</w:t>
      </w:r>
    </w:p>
    <w:p>
      <w:pPr>
        <w:spacing w:after="90" w:line="276"/>
      </w:pPr>
      <w:r>
        <w:rPr>
          <w:sz w:val="21"/>
          <w:szCs w:val="21"/>
        </w:rPr>
        <w:t xml:space="preserve">The following source files were read in full and are described here at algorithm level:</w:t>
      </w:r>
    </w:p>
    <w:p>
      <w:pPr>
        <w:pStyle w:val="ListParagraph"/>
        <w:numPr>
          <w:ilvl w:val="0"/>
          <w:numId w:val="2"/>
        </w:numPr>
        <w:spacing w:after="70" w:line="268"/>
      </w:pPr>
      <w:r>
        <w:rPr>
          <w:sz w:val="21"/>
          <w:szCs w:val="21"/>
        </w:rPr>
        <w:t xml:space="preserve">src/lib/ingestion/match.ts — two-gate keyword matching and exclusion suppression</w:t>
      </w:r>
    </w:p>
    <w:p>
      <w:pPr>
        <w:pStyle w:val="ListParagraph"/>
        <w:numPr>
          <w:ilvl w:val="0"/>
          <w:numId w:val="2"/>
        </w:numPr>
        <w:spacing w:after="70" w:line="268"/>
      </w:pPr>
      <w:r>
        <w:rPr>
          <w:sz w:val="21"/>
          <w:szCs w:val="21"/>
        </w:rPr>
        <w:t xml:space="preserve">src/lib/ingestion/dedup.ts — fingerprinting, channel priority, supersede rules</w:t>
      </w:r>
    </w:p>
    <w:p>
      <w:pPr>
        <w:pStyle w:val="ListParagraph"/>
        <w:numPr>
          <w:ilvl w:val="0"/>
          <w:numId w:val="2"/>
        </w:numPr>
        <w:spacing w:after="70" w:line="268"/>
      </w:pPr>
      <w:r>
        <w:rPr>
          <w:sz w:val="21"/>
          <w:szCs w:val="21"/>
        </w:rPr>
        <w:t xml:space="preserve">src/lib/analysis/sorting.ts — Stage 1 relevance screening</w:t>
      </w:r>
    </w:p>
    <w:p>
      <w:pPr>
        <w:pStyle w:val="ListParagraph"/>
        <w:numPr>
          <w:ilvl w:val="0"/>
          <w:numId w:val="2"/>
        </w:numPr>
        <w:spacing w:after="70" w:line="268"/>
      </w:pPr>
      <w:r>
        <w:rPr>
          <w:sz w:val="21"/>
          <w:szCs w:val="21"/>
        </w:rPr>
        <w:t xml:space="preserve">src/lib/analysis/coding.ts — Stage 2 favourability, relevance and theme coding</w:t>
      </w:r>
    </w:p>
    <w:p>
      <w:pPr>
        <w:spacing w:after="200" w:line="276"/>
      </w:pPr>
      <w:r>
        <w:rPr>
          <w:sz w:val="21"/>
          <w:szCs w:val="21"/>
        </w:rPr>
        <w:t xml:space="preserve">Other modules are named and situated in the architecture from the file inventory and from the database objects they read and write. Where this document describes such a component, it describes only what those two sources establish. Sections 9 and 10 mark the boundary explicitly.</w:t>
      </w:r>
    </w:p>
    <w:p>
      <w:pPr>
        <w:pStyle w:val="Heading1"/>
        <w:spacing w:after="130" w:before="260"/>
      </w:pPr>
      <w:r>
        <w:rPr>
          <w:b/>
          <w:bCs/>
          <w:color w:val="1F3864"/>
        </w:rPr>
        <w:t xml:space="preserve">1. Purpose</w:t>
      </w:r>
    </w:p>
    <w:p>
      <w:pPr>
        <w:spacing w:after="120" w:line="276"/>
      </w:pPr>
      <w:r>
        <w:rPr>
          <w:sz w:val="21"/>
          <w:szCs w:val="21"/>
        </w:rPr>
        <w:t xml:space="preserve">The Nestlé SCM Media Monitor is a media intelligence platform for container and liner ocean freight. It replaces a manually compiled operational update that ran from April 2025 to March 2026 and then lapsed.</w:t>
      </w:r>
    </w:p>
    <w:p>
      <w:pPr>
        <w:spacing w:after="120" w:line="276"/>
      </w:pPr>
      <w:r>
        <w:rPr>
          <w:sz w:val="21"/>
          <w:szCs w:val="21"/>
        </w:rPr>
        <w:t xml:space="preserve">The system performs four functions:</w:t>
      </w:r>
    </w:p>
    <w:p>
      <w:pPr>
        <w:pStyle w:val="ListParagraph"/>
        <w:numPr>
          <w:ilvl w:val="0"/>
          <w:numId w:val="2"/>
        </w:numPr>
        <w:spacing w:after="70" w:line="268"/>
      </w:pPr>
      <w:r>
        <w:rPr>
          <w:sz w:val="21"/>
          <w:szCs w:val="21"/>
        </w:rPr>
        <w:t xml:space="preserve">Continuous capture of ocean freight news from RSS feeds, Google Alerts, Google News and a news aggregator API</w:t>
      </w:r>
    </w:p>
    <w:p>
      <w:pPr>
        <w:pStyle w:val="ListParagraph"/>
        <w:numPr>
          <w:ilvl w:val="0"/>
          <w:numId w:val="2"/>
        </w:numPr>
        <w:spacing w:after="70" w:line="268"/>
      </w:pPr>
      <w:r>
        <w:rPr>
          <w:sz w:val="21"/>
          <w:szCs w:val="21"/>
        </w:rPr>
        <w:t xml:space="preserve">Automated screening and analytical coding of every captured article against Nestlé's supply chain interests in Asia, Oceania and Africa</w:t>
      </w:r>
    </w:p>
    <w:p>
      <w:pPr>
        <w:pStyle w:val="ListParagraph"/>
        <w:numPr>
          <w:ilvl w:val="0"/>
          <w:numId w:val="2"/>
        </w:numPr>
        <w:spacing w:after="70" w:line="268"/>
      </w:pPr>
      <w:r>
        <w:rPr>
          <w:sz w:val="21"/>
          <w:szCs w:val="21"/>
        </w:rPr>
        <w:t xml:space="preserve">Manual capture of operational market indicators transcribed from commercial dashboards</w:t>
      </w:r>
    </w:p>
    <w:p>
      <w:pPr>
        <w:pStyle w:val="ListParagraph"/>
        <w:numPr>
          <w:ilvl w:val="0"/>
          <w:numId w:val="2"/>
        </w:numPr>
        <w:spacing w:after="70" w:line="268"/>
      </w:pPr>
      <w:r>
        <w:rPr>
          <w:sz w:val="21"/>
          <w:szCs w:val="21"/>
        </w:rPr>
        <w:t xml:space="preserve">Assembly and export of a weekly newsletter combining both halves</w:t>
      </w:r>
    </w:p>
    <w:p>
      <w:pPr>
        <w:spacing w:after="180" w:line="276"/>
      </w:pPr>
      <w:r>
        <w:rPr>
          <w:sz w:val="21"/>
          <w:szCs w:val="21"/>
        </w:rPr>
        <w:t xml:space="preserve">The analytical subject is stated once, in code, and everything downstream is measured against it: whether an event makes Nestlé's movement of its own containers through Asia, Oceania and Africa harder, slower, less predictable or more expensive — or the reverse.</w:t>
      </w:r>
    </w:p>
    <w:p>
      <w:pPr>
        <w:pStyle w:val="Heading1"/>
        <w:spacing w:after="130" w:before="260"/>
      </w:pPr>
      <w:r>
        <w:rPr>
          <w:b/>
          <w:bCs/>
          <w:color w:val="1F3864"/>
        </w:rPr>
        <w:t xml:space="preserve">2. Technology stack and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4260"/>
      </w:tblGrid>
      <w:tr>
        <w:trPr>
          <w:tblHeader/>
        </w:trPr>
        <w:tc>
          <w:tcPr>
            <w:tcW w:type="dxa" w:w="1900"/>
            <w:shd w:fill="D9E2F3" w:val="clear"/>
            <w:tcMar>
              <w:top w:type="dxa" w:w="60"/>
              <w:left w:type="dxa" w:w="90"/>
              <w:bottom w:type="dxa" w:w="60"/>
              <w:right w:type="dxa" w:w="90"/>
            </w:tcMar>
          </w:tcPr>
          <w:p>
            <w:pPr>
              <w:spacing w:after="0" w:line="250"/>
            </w:pPr>
            <w:r>
              <w:rPr>
                <w:b/>
                <w:bCs/>
                <w:sz w:val="18"/>
                <w:szCs w:val="18"/>
              </w:rPr>
              <w:t xml:space="preserve">Layer</w:t>
            </w:r>
          </w:p>
        </w:tc>
        <w:tc>
          <w:tcPr>
            <w:tcW w:type="dxa" w:w="3200"/>
            <w:shd w:fill="D9E2F3" w:val="clear"/>
            <w:tcMar>
              <w:top w:type="dxa" w:w="60"/>
              <w:left w:type="dxa" w:w="90"/>
              <w:bottom w:type="dxa" w:w="60"/>
              <w:right w:type="dxa" w:w="90"/>
            </w:tcMar>
          </w:tcPr>
          <w:p>
            <w:pPr>
              <w:spacing w:after="0" w:line="250"/>
            </w:pPr>
            <w:r>
              <w:rPr>
                <w:b/>
                <w:bCs/>
                <w:sz w:val="18"/>
                <w:szCs w:val="18"/>
              </w:rPr>
              <w:t xml:space="preserve">Technology</w:t>
            </w:r>
          </w:p>
        </w:tc>
        <w:tc>
          <w:tcPr>
            <w:tcW w:type="dxa" w:w="4260"/>
            <w:shd w:fill="D9E2F3" w:val="clear"/>
            <w:tcMar>
              <w:top w:type="dxa" w:w="60"/>
              <w:left w:type="dxa" w:w="90"/>
              <w:bottom w:type="dxa" w:w="60"/>
              <w:right w:type="dxa" w:w="90"/>
            </w:tcMar>
          </w:tcPr>
          <w:p>
            <w:pPr>
              <w:spacing w:after="0" w:line="250"/>
            </w:pPr>
            <w:r>
              <w:rPr>
                <w:b/>
                <w:bCs/>
                <w:sz w:val="18"/>
                <w:szCs w:val="18"/>
              </w:rPr>
              <w:t xml:space="preserve">Notes</w:t>
            </w:r>
          </w:p>
        </w:tc>
      </w:tr>
      <w:tr>
        <w:tc>
          <w:tcPr>
            <w:tcW w:type="dxa" w:w="1900"/>
            <w:tcMar>
              <w:top w:type="dxa" w:w="60"/>
              <w:left w:type="dxa" w:w="90"/>
              <w:bottom w:type="dxa" w:w="60"/>
              <w:right w:type="dxa" w:w="90"/>
            </w:tcMar>
          </w:tcPr>
          <w:p>
            <w:pPr>
              <w:spacing w:after="0" w:line="250"/>
            </w:pPr>
            <w:r>
              <w:rPr>
                <w:rFonts w:ascii="Consolas" w:cs="Consolas" w:eastAsia="Consolas" w:hAnsi="Consolas"/>
                <w:sz w:val="16"/>
                <w:szCs w:val="16"/>
              </w:rPr>
              <w:t xml:space="preserve">Application</w:t>
            </w:r>
          </w:p>
        </w:tc>
        <w:tc>
          <w:tcPr>
            <w:tcW w:type="dxa" w:w="3200"/>
            <w:tcMar>
              <w:top w:type="dxa" w:w="60"/>
              <w:left w:type="dxa" w:w="90"/>
              <w:bottom w:type="dxa" w:w="60"/>
              <w:right w:type="dxa" w:w="90"/>
            </w:tcMar>
          </w:tcPr>
          <w:p>
            <w:pPr>
              <w:spacing w:after="0" w:line="250"/>
            </w:pPr>
            <w:r>
              <w:rPr>
                <w:sz w:val="18"/>
                <w:szCs w:val="18"/>
              </w:rPr>
              <w:t xml:space="preserve">Next.js 15, App Router, TypeScript</w:t>
            </w:r>
          </w:p>
        </w:tc>
        <w:tc>
          <w:tcPr>
            <w:tcW w:type="dxa" w:w="4260"/>
            <w:tcMar>
              <w:top w:type="dxa" w:w="60"/>
              <w:left w:type="dxa" w:w="90"/>
              <w:bottom w:type="dxa" w:w="60"/>
              <w:right w:type="dxa" w:w="90"/>
            </w:tcMar>
          </w:tcPr>
          <w:p>
            <w:pPr>
              <w:spacing w:after="0" w:line="250"/>
            </w:pPr>
            <w:r>
              <w:rPr>
                <w:sz w:val="18"/>
                <w:szCs w:val="18"/>
              </w:rPr>
              <w:t xml:space="preserve">Server actions for all mutations</w:t>
            </w:r>
          </w:p>
        </w:tc>
      </w:tr>
      <w:tr>
        <w:tc>
          <w:tcPr>
            <w:tcW w:type="dxa" w:w="1900"/>
            <w:tcMar>
              <w:top w:type="dxa" w:w="60"/>
              <w:left w:type="dxa" w:w="90"/>
              <w:bottom w:type="dxa" w:w="60"/>
              <w:right w:type="dxa" w:w="90"/>
            </w:tcMar>
          </w:tcPr>
          <w:p>
            <w:pPr>
              <w:spacing w:after="0" w:line="250"/>
            </w:pPr>
            <w:r>
              <w:rPr>
                <w:rFonts w:ascii="Consolas" w:cs="Consolas" w:eastAsia="Consolas" w:hAnsi="Consolas"/>
                <w:sz w:val="16"/>
                <w:szCs w:val="16"/>
              </w:rPr>
              <w:t xml:space="preserve">Hosting</w:t>
            </w:r>
          </w:p>
        </w:tc>
        <w:tc>
          <w:tcPr>
            <w:tcW w:type="dxa" w:w="3200"/>
            <w:tcMar>
              <w:top w:type="dxa" w:w="60"/>
              <w:left w:type="dxa" w:w="90"/>
              <w:bottom w:type="dxa" w:w="60"/>
              <w:right w:type="dxa" w:w="90"/>
            </w:tcMar>
          </w:tcPr>
          <w:p>
            <w:pPr>
              <w:spacing w:after="0" w:line="250"/>
            </w:pPr>
            <w:r>
              <w:rPr>
                <w:sz w:val="18"/>
                <w:szCs w:val="18"/>
              </w:rPr>
              <w:t xml:space="preserve">Vercel</w:t>
            </w:r>
          </w:p>
        </w:tc>
        <w:tc>
          <w:tcPr>
            <w:tcW w:type="dxa" w:w="4260"/>
            <w:tcMar>
              <w:top w:type="dxa" w:w="60"/>
              <w:left w:type="dxa" w:w="90"/>
              <w:bottom w:type="dxa" w:w="60"/>
              <w:right w:type="dxa" w:w="90"/>
            </w:tcMar>
          </w:tcPr>
          <w:p>
            <w:pPr>
              <w:spacing w:after="0" w:line="250"/>
            </w:pPr>
            <w:r>
              <w:rPr>
                <w:sz w:val="18"/>
                <w:szCs w:val="18"/>
              </w:rPr>
              <w:t xml:space="preserve">Serverless functions, 60s maxDuration</w:t>
            </w:r>
          </w:p>
        </w:tc>
      </w:tr>
      <w:tr>
        <w:tc>
          <w:tcPr>
            <w:tcW w:type="dxa" w:w="1900"/>
            <w:tcMar>
              <w:top w:type="dxa" w:w="60"/>
              <w:left w:type="dxa" w:w="90"/>
              <w:bottom w:type="dxa" w:w="60"/>
              <w:right w:type="dxa" w:w="90"/>
            </w:tcMar>
          </w:tcPr>
          <w:p>
            <w:pPr>
              <w:spacing w:after="0" w:line="250"/>
            </w:pPr>
            <w:r>
              <w:rPr>
                <w:rFonts w:ascii="Consolas" w:cs="Consolas" w:eastAsia="Consolas" w:hAnsi="Consolas"/>
                <w:sz w:val="16"/>
                <w:szCs w:val="16"/>
              </w:rPr>
              <w:t xml:space="preserve">Database</w:t>
            </w:r>
          </w:p>
        </w:tc>
        <w:tc>
          <w:tcPr>
            <w:tcW w:type="dxa" w:w="3200"/>
            <w:tcMar>
              <w:top w:type="dxa" w:w="60"/>
              <w:left w:type="dxa" w:w="90"/>
              <w:bottom w:type="dxa" w:w="60"/>
              <w:right w:type="dxa" w:w="90"/>
            </w:tcMar>
          </w:tcPr>
          <w:p>
            <w:pPr>
              <w:spacing w:after="0" w:line="250"/>
            </w:pPr>
            <w:r>
              <w:rPr>
                <w:sz w:val="18"/>
                <w:szCs w:val="18"/>
              </w:rPr>
              <w:t xml:space="preserve">Supabase PostgreSQL</w:t>
            </w:r>
          </w:p>
        </w:tc>
        <w:tc>
          <w:tcPr>
            <w:tcW w:type="dxa" w:w="4260"/>
            <w:tcMar>
              <w:top w:type="dxa" w:w="60"/>
              <w:left w:type="dxa" w:w="90"/>
              <w:bottom w:type="dxa" w:w="60"/>
              <w:right w:type="dxa" w:w="90"/>
            </w:tcMar>
          </w:tcPr>
          <w:p>
            <w:pPr>
              <w:spacing w:after="0" w:line="250"/>
            </w:pPr>
            <w:r>
              <w:rPr>
                <w:sz w:val="18"/>
                <w:szCs w:val="18"/>
              </w:rPr>
              <w:t xml:space="preserve">Project wbxxtreznqdawzhzbstk</w:t>
            </w:r>
          </w:p>
        </w:tc>
      </w:tr>
      <w:tr>
        <w:tc>
          <w:tcPr>
            <w:tcW w:type="dxa" w:w="1900"/>
            <w:tcMar>
              <w:top w:type="dxa" w:w="60"/>
              <w:left w:type="dxa" w:w="90"/>
              <w:bottom w:type="dxa" w:w="60"/>
              <w:right w:type="dxa" w:w="90"/>
            </w:tcMar>
          </w:tcPr>
          <w:p>
            <w:pPr>
              <w:spacing w:after="0" w:line="250"/>
            </w:pPr>
            <w:r>
              <w:rPr>
                <w:rFonts w:ascii="Consolas" w:cs="Consolas" w:eastAsia="Consolas" w:hAnsi="Consolas"/>
                <w:sz w:val="16"/>
                <w:szCs w:val="16"/>
              </w:rPr>
              <w:t xml:space="preserve">Auth</w:t>
            </w:r>
          </w:p>
        </w:tc>
        <w:tc>
          <w:tcPr>
            <w:tcW w:type="dxa" w:w="3200"/>
            <w:tcMar>
              <w:top w:type="dxa" w:w="60"/>
              <w:left w:type="dxa" w:w="90"/>
              <w:bottom w:type="dxa" w:w="60"/>
              <w:right w:type="dxa" w:w="90"/>
            </w:tcMar>
          </w:tcPr>
          <w:p>
            <w:pPr>
              <w:spacing w:after="0" w:line="250"/>
            </w:pPr>
            <w:r>
              <w:rPr>
                <w:sz w:val="18"/>
                <w:szCs w:val="18"/>
              </w:rPr>
              <w:t xml:space="preserve">Supabase Auth</w:t>
            </w:r>
          </w:p>
        </w:tc>
        <w:tc>
          <w:tcPr>
            <w:tcW w:type="dxa" w:w="4260"/>
            <w:tcMar>
              <w:top w:type="dxa" w:w="60"/>
              <w:left w:type="dxa" w:w="90"/>
              <w:bottom w:type="dxa" w:w="60"/>
              <w:right w:type="dxa" w:w="90"/>
            </w:tcMar>
          </w:tcPr>
          <w:p>
            <w:pPr>
              <w:spacing w:after="0" w:line="250"/>
            </w:pPr>
            <w:r>
              <w:rPr>
                <w:sz w:val="18"/>
                <w:szCs w:val="18"/>
              </w:rPr>
              <w:t xml:space="preserve">Rows in public.profiles keyed to auth.users</w:t>
            </w:r>
          </w:p>
        </w:tc>
      </w:tr>
      <w:tr>
        <w:tc>
          <w:tcPr>
            <w:tcW w:type="dxa" w:w="1900"/>
            <w:tcMar>
              <w:top w:type="dxa" w:w="60"/>
              <w:left w:type="dxa" w:w="90"/>
              <w:bottom w:type="dxa" w:w="60"/>
              <w:right w:type="dxa" w:w="90"/>
            </w:tcMar>
          </w:tcPr>
          <w:p>
            <w:pPr>
              <w:spacing w:after="0" w:line="250"/>
            </w:pPr>
            <w:r>
              <w:rPr>
                <w:rFonts w:ascii="Consolas" w:cs="Consolas" w:eastAsia="Consolas" w:hAnsi="Consolas"/>
                <w:sz w:val="16"/>
                <w:szCs w:val="16"/>
              </w:rPr>
              <w:t xml:space="preserve">Scheduling</w:t>
            </w:r>
          </w:p>
        </w:tc>
        <w:tc>
          <w:tcPr>
            <w:tcW w:type="dxa" w:w="3200"/>
            <w:tcMar>
              <w:top w:type="dxa" w:w="60"/>
              <w:left w:type="dxa" w:w="90"/>
              <w:bottom w:type="dxa" w:w="60"/>
              <w:right w:type="dxa" w:w="90"/>
            </w:tcMar>
          </w:tcPr>
          <w:p>
            <w:pPr>
              <w:spacing w:after="0" w:line="250"/>
            </w:pPr>
            <w:r>
              <w:rPr>
                <w:sz w:val="18"/>
                <w:szCs w:val="18"/>
              </w:rPr>
              <w:t xml:space="preserve">pg_cron in-database</w:t>
            </w:r>
          </w:p>
        </w:tc>
        <w:tc>
          <w:tcPr>
            <w:tcW w:type="dxa" w:w="4260"/>
            <w:tcMar>
              <w:top w:type="dxa" w:w="60"/>
              <w:left w:type="dxa" w:w="90"/>
              <w:bottom w:type="dxa" w:w="60"/>
              <w:right w:type="dxa" w:w="90"/>
            </w:tcMar>
          </w:tcPr>
          <w:p>
            <w:pPr>
              <w:spacing w:after="0" w:line="250"/>
            </w:pPr>
            <w:r>
              <w:rPr>
                <w:sz w:val="18"/>
                <w:szCs w:val="18"/>
              </w:rPr>
              <w:t xml:space="preserve">Two active jobs; see section 8</w:t>
            </w:r>
          </w:p>
        </w:tc>
      </w:tr>
      <w:tr>
        <w:tc>
          <w:tcPr>
            <w:tcW w:type="dxa" w:w="1900"/>
            <w:tcMar>
              <w:top w:type="dxa" w:w="60"/>
              <w:left w:type="dxa" w:w="90"/>
              <w:bottom w:type="dxa" w:w="60"/>
              <w:right w:type="dxa" w:w="90"/>
            </w:tcMar>
          </w:tcPr>
          <w:p>
            <w:pPr>
              <w:spacing w:after="0" w:line="250"/>
            </w:pPr>
            <w:r>
              <w:rPr>
                <w:rFonts w:ascii="Consolas" w:cs="Consolas" w:eastAsia="Consolas" w:hAnsi="Consolas"/>
                <w:sz w:val="16"/>
                <w:szCs w:val="16"/>
              </w:rPr>
              <w:t xml:space="preserve">Outbound HTTP</w:t>
            </w:r>
          </w:p>
        </w:tc>
        <w:tc>
          <w:tcPr>
            <w:tcW w:type="dxa" w:w="3200"/>
            <w:tcMar>
              <w:top w:type="dxa" w:w="60"/>
              <w:left w:type="dxa" w:w="90"/>
              <w:bottom w:type="dxa" w:w="60"/>
              <w:right w:type="dxa" w:w="90"/>
            </w:tcMar>
          </w:tcPr>
          <w:p>
            <w:pPr>
              <w:spacing w:after="0" w:line="250"/>
            </w:pPr>
            <w:r>
              <w:rPr>
                <w:sz w:val="18"/>
                <w:szCs w:val="18"/>
              </w:rPr>
              <w:t xml:space="preserve">pg_net from cron functions</w:t>
            </w:r>
          </w:p>
        </w:tc>
        <w:tc>
          <w:tcPr>
            <w:tcW w:type="dxa" w:w="4260"/>
            <w:tcMar>
              <w:top w:type="dxa" w:w="60"/>
              <w:left w:type="dxa" w:w="90"/>
              <w:bottom w:type="dxa" w:w="60"/>
              <w:right w:type="dxa" w:w="90"/>
            </w:tcMar>
          </w:tcPr>
          <w:p>
            <w:pPr>
              <w:spacing w:after="0" w:line="250"/>
            </w:pPr>
            <w:r>
              <w:rPr>
                <w:sz w:val="18"/>
                <w:szCs w:val="18"/>
              </w:rPr>
              <w:t xml:space="preserve">Database calls application routes</w:t>
            </w:r>
          </w:p>
        </w:tc>
      </w:tr>
      <w:tr>
        <w:tc>
          <w:tcPr>
            <w:tcW w:type="dxa" w:w="1900"/>
            <w:tcMar>
              <w:top w:type="dxa" w:w="60"/>
              <w:left w:type="dxa" w:w="90"/>
              <w:bottom w:type="dxa" w:w="60"/>
              <w:right w:type="dxa" w:w="90"/>
            </w:tcMar>
          </w:tcPr>
          <w:p>
            <w:pPr>
              <w:spacing w:after="0" w:line="250"/>
            </w:pPr>
            <w:r>
              <w:rPr>
                <w:rFonts w:ascii="Consolas" w:cs="Consolas" w:eastAsia="Consolas" w:hAnsi="Consolas"/>
                <w:sz w:val="16"/>
                <w:szCs w:val="16"/>
              </w:rPr>
              <w:t xml:space="preserve">Secret storage</w:t>
            </w:r>
          </w:p>
        </w:tc>
        <w:tc>
          <w:tcPr>
            <w:tcW w:type="dxa" w:w="3200"/>
            <w:tcMar>
              <w:top w:type="dxa" w:w="60"/>
              <w:left w:type="dxa" w:w="90"/>
              <w:bottom w:type="dxa" w:w="60"/>
              <w:right w:type="dxa" w:w="90"/>
            </w:tcMar>
          </w:tcPr>
          <w:p>
            <w:pPr>
              <w:spacing w:after="0" w:line="250"/>
            </w:pPr>
            <w:r>
              <w:rPr>
                <w:sz w:val="18"/>
                <w:szCs w:val="18"/>
              </w:rPr>
              <w:t xml:space="preserve">Supabase Vault</w:t>
            </w:r>
          </w:p>
        </w:tc>
        <w:tc>
          <w:tcPr>
            <w:tcW w:type="dxa" w:w="4260"/>
            <w:tcMar>
              <w:top w:type="dxa" w:w="60"/>
              <w:left w:type="dxa" w:w="90"/>
              <w:bottom w:type="dxa" w:w="60"/>
              <w:right w:type="dxa" w:w="90"/>
            </w:tcMar>
          </w:tcPr>
          <w:p>
            <w:pPr>
              <w:spacing w:after="0" w:line="250"/>
            </w:pPr>
            <w:r>
              <w:rPr>
                <w:sz w:val="18"/>
                <w:szCs w:val="18"/>
              </w:rPr>
              <w:t xml:space="preserve">Via public.integration_secrets</w:t>
            </w:r>
          </w:p>
        </w:tc>
      </w:tr>
      <w:tr>
        <w:tc>
          <w:tcPr>
            <w:tcW w:type="dxa" w:w="1900"/>
            <w:tcMar>
              <w:top w:type="dxa" w:w="60"/>
              <w:left w:type="dxa" w:w="90"/>
              <w:bottom w:type="dxa" w:w="60"/>
              <w:right w:type="dxa" w:w="90"/>
            </w:tcMar>
          </w:tcPr>
          <w:p>
            <w:pPr>
              <w:spacing w:after="0" w:line="250"/>
            </w:pPr>
            <w:r>
              <w:rPr>
                <w:rFonts w:ascii="Consolas" w:cs="Consolas" w:eastAsia="Consolas" w:hAnsi="Consolas"/>
                <w:sz w:val="16"/>
                <w:szCs w:val="16"/>
              </w:rPr>
              <w:t xml:space="preserve">LLM</w:t>
            </w:r>
          </w:p>
        </w:tc>
        <w:tc>
          <w:tcPr>
            <w:tcW w:type="dxa" w:w="3200"/>
            <w:tcMar>
              <w:top w:type="dxa" w:w="60"/>
              <w:left w:type="dxa" w:w="90"/>
              <w:bottom w:type="dxa" w:w="60"/>
              <w:right w:type="dxa" w:w="90"/>
            </w:tcMar>
          </w:tcPr>
          <w:p>
            <w:pPr>
              <w:spacing w:after="0" w:line="250"/>
            </w:pPr>
            <w:r>
              <w:rPr>
                <w:sz w:val="18"/>
                <w:szCs w:val="18"/>
              </w:rPr>
              <w:t xml:space="preserve">Google Gemini</w:t>
            </w:r>
          </w:p>
        </w:tc>
        <w:tc>
          <w:tcPr>
            <w:tcW w:type="dxa" w:w="4260"/>
            <w:tcMar>
              <w:top w:type="dxa" w:w="60"/>
              <w:left w:type="dxa" w:w="90"/>
              <w:bottom w:type="dxa" w:w="60"/>
              <w:right w:type="dxa" w:w="90"/>
            </w:tcMar>
          </w:tcPr>
          <w:p>
            <w:pPr>
              <w:spacing w:after="0" w:line="250"/>
            </w:pPr>
            <w:r>
              <w:rPr>
                <w:sz w:val="18"/>
                <w:szCs w:val="18"/>
              </w:rPr>
              <w:t xml:space="preserve">Two stages, separately configured models</w:t>
            </w:r>
          </w:p>
        </w:tc>
      </w:tr>
    </w:tbl>
    <w:p>
      <w:pPr>
        <w:spacing w:after="120" w:line="276"/>
      </w:pPr>
      <w:r>
        <w:rPr>
          <w:sz w:val="21"/>
          <w:szCs w:val="21"/>
        </w:rPr>
        <w:t xml:space="preserve"/>
      </w:r>
    </w:p>
    <w:p>
      <w:pPr>
        <w:spacing w:after="180" w:line="276"/>
      </w:pPr>
      <w:r>
        <w:rPr>
          <w:sz w:val="21"/>
          <w:szCs w:val="21"/>
        </w:rPr>
        <w:t xml:space="preserve">The database is the scheduler. Two pg_cron jobs invoke SECURITY DEFINER functions which read the application base URL from app_settings and a shared secret from Vault, then issue an HTTP POST to the application. The application does not schedule itself.</w:t>
      </w:r>
    </w:p>
    <w:p>
      <w:pPr>
        <w:pStyle w:val="Heading1"/>
        <w:spacing w:after="130" w:before="260"/>
      </w:pPr>
      <w:r>
        <w:rPr>
          <w:b/>
          <w:bCs/>
          <w:color w:val="1F3864"/>
        </w:rPr>
        <w:t xml:space="preserve">3. Processing pipeline</w:t>
      </w:r>
    </w:p>
    <w:p>
      <w:pPr>
        <w:spacing w:after="120" w:line="276"/>
      </w:pPr>
      <w:r>
        <w:rPr>
          <w:sz w:val="21"/>
          <w:szCs w:val="21"/>
        </w:rPr>
        <w:t xml:space="preserve">An article passes through five stages. Each stage is separately triggered and independently resumable; no stage depends on another completing in the same process.</w:t>
      </w:r>
    </w:p>
    <w:p>
      <w:pPr>
        <w:pBdr>
          <w:left w:val="single" w:color="1F3864" w:sz="12" w:space="6"/>
        </w:pBdr>
        <w:shd w:fill="F2F2F2" w:val="clear"/>
        <w:spacing w:after="140" w:before="60"/>
      </w:pPr>
      <w:r>
        <w:rPr>
          <w:rFonts w:ascii="Consolas" w:cs="Consolas" w:eastAsia="Consolas" w:hAnsi="Consolas"/>
          <w:sz w:val="17"/>
          <w:szCs w:val="17"/>
        </w:rPr>
        <w:t xml:space="preserve">  ┌─────────────┐</w:t>
      </w:r>
      <w:r>
        <w:br/>
      </w:r>
      <w:r>
        <w:rPr>
          <w:rFonts w:ascii="Consolas" w:cs="Consolas" w:eastAsia="Consolas" w:hAnsi="Consolas"/>
          <w:sz w:val="17"/>
          <w:szCs w:val="17"/>
        </w:rPr>
        <w:t xml:space="preserve">  │  1  FETCH   │  4 channels → feed items</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  2  MATCH   │  two-gate keyword test + exclusion</w:t>
      </w:r>
      <w:r>
        <w:br/>
      </w:r>
      <w:r>
        <w:rPr>
          <w:rFonts w:ascii="Consolas" w:cs="Consolas" w:eastAsia="Consolas" w:hAnsi="Consolas"/>
          <w:sz w:val="17"/>
          <w:szCs w:val="17"/>
        </w:rPr>
        <w:t xml:space="preserve">  └──────┬──────┘  fails → discarded, never stored</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  3  DEDUP   │  sha256 fingerprint → insert / supersede / discard</w:t>
      </w:r>
      <w:r>
        <w:br/>
      </w:r>
      <w:r>
        <w:rPr>
          <w:rFonts w:ascii="Consolas" w:cs="Consolas" w:eastAsia="Consolas" w:hAnsi="Consolas"/>
          <w:sz w:val="17"/>
          <w:szCs w:val="17"/>
        </w:rPr>
        <w:t xml:space="preserve">  └──────┬──────┘  writes articles row, ai_sorting_status='pending'</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  4  SORTING │  LLM relevance screen → ai_sorting_flagged</w:t>
      </w:r>
      <w:r>
        <w:br/>
      </w:r>
      <w:r>
        <w:rPr>
          <w:rFonts w:ascii="Consolas" w:cs="Consolas" w:eastAsia="Consolas" w:hAnsi="Consolas"/>
          <w:sz w:val="17"/>
          <w:szCs w:val="17"/>
        </w:rPr>
        <w:t xml:space="preserve">  └──────┬──────┘  hourly cron, selects on status='pending'</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w:t>
      </w:r>
      <w:r>
        <w:br/>
      </w:r>
      <w:r>
        <w:rPr>
          <w:rFonts w:ascii="Consolas" w:cs="Consolas" w:eastAsia="Consolas" w:hAnsi="Consolas"/>
          <w:sz w:val="17"/>
          <w:szCs w:val="17"/>
        </w:rPr>
        <w:t xml:space="preserve">  │  5  CODING  │  LLM impact grading → favourability, relevance,</w:t>
      </w:r>
      <w:r>
        <w:br/>
      </w:r>
      <w:r>
        <w:rPr>
          <w:rFonts w:ascii="Consolas" w:cs="Consolas" w:eastAsia="Consolas" w:hAnsi="Consolas"/>
          <w:sz w:val="17"/>
          <w:szCs w:val="17"/>
        </w:rPr>
        <w:t xml:space="preserve">  └─────────────┘  themes, summary. Manual trigger only.</w:t>
      </w:r>
    </w:p>
    <w:p>
      <w:pPr>
        <w:spacing w:after="180" w:line="276"/>
      </w:pPr>
      <w:r>
        <w:rPr>
          <w:sz w:val="21"/>
          <w:szCs w:val="21"/>
        </w:rPr>
        <w:t xml:space="preserve">Stages 1 to 3 run inside one ingestion request. Stages 4 and 5 are separate: sorting on its own hourly schedule, coding only when a human starts it.</w:t>
      </w:r>
    </w:p>
    <w:p>
      <w:pPr>
        <w:pStyle w:val="Heading1"/>
        <w:spacing w:after="130" w:before="260"/>
      </w:pPr>
      <w:r>
        <w:rPr>
          <w:b/>
          <w:bCs/>
          <w:color w:val="1F3864"/>
        </w:rPr>
        <w:t xml:space="preserve">4. Stage 1–3: capture</w:t>
      </w:r>
    </w:p>
    <w:p>
      <w:pPr>
        <w:pStyle w:val="Heading2"/>
        <w:spacing w:after="130" w:before="260"/>
      </w:pPr>
      <w:r>
        <w:rPr>
          <w:b/>
          <w:bCs/>
          <w:color w:val="1F3864"/>
        </w:rPr>
        <w:t xml:space="preserve">4.1 Source channels</w:t>
      </w:r>
    </w:p>
    <w:p>
      <w:pPr>
        <w:spacing w:after="120" w:line="276"/>
      </w:pPr>
      <w:r>
        <w:rPr>
          <w:sz w:val="21"/>
          <w:szCs w:val="21"/>
        </w:rPr>
        <w:t xml:space="preserve">Four fetch channels write articles. The channel is recorded on every row in articles.source_channel and is used to arbitrate duplicates. Current corpus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6460"/>
      </w:tblGrid>
      <w:tr>
        <w:trPr>
          <w:tblHeader/>
        </w:trPr>
        <w:tc>
          <w:tcPr>
            <w:tcW w:type="dxa" w:w="2000"/>
            <w:shd w:fill="D9E2F3" w:val="clear"/>
            <w:tcMar>
              <w:top w:type="dxa" w:w="60"/>
              <w:left w:type="dxa" w:w="90"/>
              <w:bottom w:type="dxa" w:w="60"/>
              <w:right w:type="dxa" w:w="90"/>
            </w:tcMar>
          </w:tcPr>
          <w:p>
            <w:pPr>
              <w:spacing w:after="0" w:line="250"/>
            </w:pPr>
            <w:r>
              <w:rPr>
                <w:b/>
                <w:bCs/>
                <w:sz w:val="18"/>
                <w:szCs w:val="18"/>
              </w:rPr>
              <w:t xml:space="preserve">Channel</w:t>
            </w:r>
          </w:p>
        </w:tc>
        <w:tc>
          <w:tcPr>
            <w:tcW w:type="dxa" w:w="900"/>
            <w:shd w:fill="D9E2F3" w:val="clear"/>
            <w:tcMar>
              <w:top w:type="dxa" w:w="60"/>
              <w:left w:type="dxa" w:w="90"/>
              <w:bottom w:type="dxa" w:w="60"/>
              <w:right w:type="dxa" w:w="90"/>
            </w:tcMar>
          </w:tcPr>
          <w:p>
            <w:pPr>
              <w:spacing w:after="0" w:line="250"/>
            </w:pPr>
            <w:r>
              <w:rPr>
                <w:b/>
                <w:bCs/>
                <w:sz w:val="18"/>
                <w:szCs w:val="18"/>
              </w:rPr>
              <w:t xml:space="preserve">Rows</w:t>
            </w:r>
          </w:p>
        </w:tc>
        <w:tc>
          <w:tcPr>
            <w:tcW w:type="dxa" w:w="6460"/>
            <w:shd w:fill="D9E2F3" w:val="clear"/>
            <w:tcMar>
              <w:top w:type="dxa" w:w="60"/>
              <w:left w:type="dxa" w:w="90"/>
              <w:bottom w:type="dxa" w:w="60"/>
              <w:right w:type="dxa" w:w="90"/>
            </w:tcMar>
          </w:tcPr>
          <w:p>
            <w:pPr>
              <w:spacing w:after="0" w:line="250"/>
            </w:pPr>
            <w:r>
              <w:rPr>
                <w:b/>
                <w:bCs/>
                <w:sz w:val="18"/>
                <w:szCs w:val="18"/>
              </w:rPr>
              <w:t xml:space="preserve">Description</w:t>
            </w:r>
          </w:p>
        </w:tc>
      </w:tr>
      <w:tr>
        <w:tc>
          <w:tcPr>
            <w:tcW w:type="dxa" w:w="2000"/>
            <w:tcMar>
              <w:top w:type="dxa" w:w="60"/>
              <w:left w:type="dxa" w:w="90"/>
              <w:bottom w:type="dxa" w:w="60"/>
              <w:right w:type="dxa" w:w="90"/>
            </w:tcMar>
          </w:tcPr>
          <w:p>
            <w:pPr>
              <w:spacing w:after="0" w:line="250"/>
            </w:pPr>
            <w:r>
              <w:rPr>
                <w:rFonts w:ascii="Consolas" w:cs="Consolas" w:eastAsia="Consolas" w:hAnsi="Consolas"/>
                <w:sz w:val="16"/>
                <w:szCs w:val="16"/>
              </w:rPr>
              <w:t xml:space="preserve">media_rss</w:t>
            </w:r>
          </w:p>
        </w:tc>
        <w:tc>
          <w:tcPr>
            <w:tcW w:type="dxa" w:w="900"/>
            <w:tcMar>
              <w:top w:type="dxa" w:w="60"/>
              <w:left w:type="dxa" w:w="90"/>
              <w:bottom w:type="dxa" w:w="60"/>
              <w:right w:type="dxa" w:w="90"/>
            </w:tcMar>
          </w:tcPr>
          <w:p>
            <w:pPr>
              <w:spacing w:after="0" w:line="250"/>
            </w:pPr>
            <w:r>
              <w:rPr>
                <w:sz w:val="18"/>
                <w:szCs w:val="18"/>
              </w:rPr>
              <w:t xml:space="preserve">95</w:t>
            </w:r>
          </w:p>
        </w:tc>
        <w:tc>
          <w:tcPr>
            <w:tcW w:type="dxa" w:w="6460"/>
            <w:tcMar>
              <w:top w:type="dxa" w:w="60"/>
              <w:left w:type="dxa" w:w="90"/>
              <w:bottom w:type="dxa" w:w="60"/>
              <w:right w:type="dxa" w:w="90"/>
            </w:tcMar>
          </w:tcPr>
          <w:p>
            <w:pPr>
              <w:spacing w:after="0" w:line="250"/>
            </w:pPr>
            <w:r>
              <w:rPr>
                <w:sz w:val="18"/>
                <w:szCs w:val="18"/>
              </w:rPr>
              <w:t xml:space="preserve">A publisher's own RSS feed — canonical URL, real byline</w:t>
            </w:r>
          </w:p>
        </w:tc>
      </w:tr>
      <w:tr>
        <w:tc>
          <w:tcPr>
            <w:tcW w:type="dxa" w:w="2000"/>
            <w:tcMar>
              <w:top w:type="dxa" w:w="60"/>
              <w:left w:type="dxa" w:w="90"/>
              <w:bottom w:type="dxa" w:w="60"/>
              <w:right w:type="dxa" w:w="90"/>
            </w:tcMar>
          </w:tcPr>
          <w:p>
            <w:pPr>
              <w:spacing w:after="0" w:line="250"/>
            </w:pPr>
            <w:r>
              <w:rPr>
                <w:rFonts w:ascii="Consolas" w:cs="Consolas" w:eastAsia="Consolas" w:hAnsi="Consolas"/>
                <w:sz w:val="16"/>
                <w:szCs w:val="16"/>
              </w:rPr>
              <w:t xml:space="preserve">google_alerts</w:t>
            </w:r>
          </w:p>
        </w:tc>
        <w:tc>
          <w:tcPr>
            <w:tcW w:type="dxa" w:w="900"/>
            <w:tcMar>
              <w:top w:type="dxa" w:w="60"/>
              <w:left w:type="dxa" w:w="90"/>
              <w:bottom w:type="dxa" w:w="60"/>
              <w:right w:type="dxa" w:w="90"/>
            </w:tcMar>
          </w:tcPr>
          <w:p>
            <w:pPr>
              <w:spacing w:after="0" w:line="250"/>
            </w:pPr>
            <w:r>
              <w:rPr>
                <w:sz w:val="18"/>
                <w:szCs w:val="18"/>
              </w:rPr>
              <w:t xml:space="preserve">162</w:t>
            </w:r>
          </w:p>
        </w:tc>
        <w:tc>
          <w:tcPr>
            <w:tcW w:type="dxa" w:w="6460"/>
            <w:tcMar>
              <w:top w:type="dxa" w:w="60"/>
              <w:left w:type="dxa" w:w="90"/>
              <w:bottom w:type="dxa" w:w="60"/>
              <w:right w:type="dxa" w:w="90"/>
            </w:tcMar>
          </w:tcPr>
          <w:p>
            <w:pPr>
              <w:spacing w:after="0" w:line="250"/>
            </w:pPr>
            <w:r>
              <w:rPr>
                <w:sz w:val="18"/>
                <w:szCs w:val="18"/>
              </w:rPr>
              <w:t xml:space="preserve">Standing Google Alerts search on a curated term</w:t>
            </w:r>
          </w:p>
        </w:tc>
      </w:tr>
      <w:tr>
        <w:tc>
          <w:tcPr>
            <w:tcW w:type="dxa" w:w="2000"/>
            <w:tcMar>
              <w:top w:type="dxa" w:w="60"/>
              <w:left w:type="dxa" w:w="90"/>
              <w:bottom w:type="dxa" w:w="60"/>
              <w:right w:type="dxa" w:w="90"/>
            </w:tcMar>
          </w:tcPr>
          <w:p>
            <w:pPr>
              <w:spacing w:after="0" w:line="250"/>
            </w:pPr>
            <w:r>
              <w:rPr>
                <w:rFonts w:ascii="Consolas" w:cs="Consolas" w:eastAsia="Consolas" w:hAnsi="Consolas"/>
                <w:sz w:val="16"/>
                <w:szCs w:val="16"/>
              </w:rPr>
              <w:t xml:space="preserve">google_news_seed</w:t>
            </w:r>
          </w:p>
        </w:tc>
        <w:tc>
          <w:tcPr>
            <w:tcW w:type="dxa" w:w="900"/>
            <w:tcMar>
              <w:top w:type="dxa" w:w="60"/>
              <w:left w:type="dxa" w:w="90"/>
              <w:bottom w:type="dxa" w:w="60"/>
              <w:right w:type="dxa" w:w="90"/>
            </w:tcMar>
          </w:tcPr>
          <w:p>
            <w:pPr>
              <w:spacing w:after="0" w:line="250"/>
            </w:pPr>
            <w:r>
              <w:rPr>
                <w:sz w:val="18"/>
                <w:szCs w:val="18"/>
              </w:rPr>
              <w:t xml:space="preserve">56</w:t>
            </w:r>
          </w:p>
        </w:tc>
        <w:tc>
          <w:tcPr>
            <w:tcW w:type="dxa" w:w="6460"/>
            <w:tcMar>
              <w:top w:type="dxa" w:w="60"/>
              <w:left w:type="dxa" w:w="90"/>
              <w:bottom w:type="dxa" w:w="60"/>
              <w:right w:type="dxa" w:w="90"/>
            </w:tcMar>
          </w:tcPr>
          <w:p>
            <w:pPr>
              <w:spacing w:after="0" w:line="250"/>
            </w:pPr>
            <w:r>
              <w:rPr>
                <w:sz w:val="18"/>
                <w:szCs w:val="18"/>
              </w:rPr>
              <w:t xml:space="preserve">Google News rendering; redirect URL, snippet body</w:t>
            </w:r>
          </w:p>
        </w:tc>
      </w:tr>
      <w:tr>
        <w:tc>
          <w:tcPr>
            <w:tcW w:type="dxa" w:w="2000"/>
            <w:tcMar>
              <w:top w:type="dxa" w:w="60"/>
              <w:left w:type="dxa" w:w="90"/>
              <w:bottom w:type="dxa" w:w="60"/>
              <w:right w:type="dxa" w:w="90"/>
            </w:tcMar>
          </w:tcPr>
          <w:p>
            <w:pPr>
              <w:spacing w:after="0" w:line="250"/>
            </w:pPr>
            <w:r>
              <w:rPr>
                <w:rFonts w:ascii="Consolas" w:cs="Consolas" w:eastAsia="Consolas" w:hAnsi="Consolas"/>
                <w:sz w:val="16"/>
                <w:szCs w:val="16"/>
              </w:rPr>
              <w:t xml:space="preserve">newsapi_ai</w:t>
            </w:r>
          </w:p>
        </w:tc>
        <w:tc>
          <w:tcPr>
            <w:tcW w:type="dxa" w:w="900"/>
            <w:tcMar>
              <w:top w:type="dxa" w:w="60"/>
              <w:left w:type="dxa" w:w="90"/>
              <w:bottom w:type="dxa" w:w="60"/>
              <w:right w:type="dxa" w:w="90"/>
            </w:tcMar>
          </w:tcPr>
          <w:p>
            <w:pPr>
              <w:spacing w:after="0" w:line="250"/>
            </w:pPr>
            <w:r>
              <w:rPr>
                <w:sz w:val="18"/>
                <w:szCs w:val="18"/>
              </w:rPr>
              <w:t xml:space="preserve">9</w:t>
            </w:r>
          </w:p>
        </w:tc>
        <w:tc>
          <w:tcPr>
            <w:tcW w:type="dxa" w:w="6460"/>
            <w:tcMar>
              <w:top w:type="dxa" w:w="60"/>
              <w:left w:type="dxa" w:w="90"/>
              <w:bottom w:type="dxa" w:w="60"/>
              <w:right w:type="dxa" w:w="90"/>
            </w:tcMar>
          </w:tcPr>
          <w:p>
            <w:pPr>
              <w:spacing w:after="0" w:line="250"/>
            </w:pPr>
            <w:r>
              <w:rPr>
                <w:sz w:val="18"/>
                <w:szCs w:val="18"/>
              </w:rPr>
              <w:t xml:space="preserve">Aggregator copy; carries full article text</w:t>
            </w:r>
          </w:p>
        </w:tc>
      </w:tr>
      <w:tr>
        <w:tc>
          <w:tcPr>
            <w:tcW w:type="dxa" w:w="2000"/>
            <w:tcMar>
              <w:top w:type="dxa" w:w="60"/>
              <w:left w:type="dxa" w:w="90"/>
              <w:bottom w:type="dxa" w:w="60"/>
              <w:right w:type="dxa" w:w="90"/>
            </w:tcMar>
          </w:tcPr>
          <w:p>
            <w:pPr>
              <w:spacing w:after="0" w:line="250"/>
            </w:pPr>
            <w:r>
              <w:rPr>
                <w:rFonts w:ascii="Consolas" w:cs="Consolas" w:eastAsia="Consolas" w:hAnsi="Consolas"/>
                <w:sz w:val="16"/>
                <w:szCs w:val="16"/>
              </w:rPr>
              <w:t xml:space="preserve">newsdata</w:t>
            </w:r>
          </w:p>
        </w:tc>
        <w:tc>
          <w:tcPr>
            <w:tcW w:type="dxa" w:w="900"/>
            <w:tcMar>
              <w:top w:type="dxa" w:w="60"/>
              <w:left w:type="dxa" w:w="90"/>
              <w:bottom w:type="dxa" w:w="60"/>
              <w:right w:type="dxa" w:w="90"/>
            </w:tcMar>
          </w:tcPr>
          <w:p>
            <w:pPr>
              <w:spacing w:after="0" w:line="250"/>
            </w:pPr>
            <w:r>
              <w:rPr>
                <w:sz w:val="18"/>
                <w:szCs w:val="18"/>
              </w:rPr>
              <w:t xml:space="preserve">1</w:t>
            </w:r>
          </w:p>
        </w:tc>
        <w:tc>
          <w:tcPr>
            <w:tcW w:type="dxa" w:w="6460"/>
            <w:tcMar>
              <w:top w:type="dxa" w:w="60"/>
              <w:left w:type="dxa" w:w="90"/>
              <w:bottom w:type="dxa" w:w="60"/>
              <w:right w:type="dxa" w:w="90"/>
            </w:tcMar>
          </w:tcPr>
          <w:p>
            <w:pPr>
              <w:spacing w:after="0" w:line="250"/>
            </w:pPr>
            <w:r>
              <w:rPr>
                <w:sz w:val="18"/>
                <w:szCs w:val="18"/>
              </w:rPr>
              <w:t xml:space="preserve">Historical, predates the change to newsapi.ai</w:t>
            </w:r>
          </w:p>
        </w:tc>
      </w:tr>
    </w:tbl>
    <w:p>
      <w:pPr>
        <w:spacing w:after="120" w:line="276"/>
      </w:pPr>
      <w:r>
        <w:rPr>
          <w:sz w:val="21"/>
          <w:szCs w:val="21"/>
        </w:rPr>
        <w:t xml:space="preserve"/>
      </w:r>
    </w:p>
    <w:p>
      <w:pPr>
        <w:spacing w:after="160" w:line="276"/>
      </w:pPr>
      <w:r>
        <w:rPr>
          <w:sz w:val="21"/>
          <w:szCs w:val="21"/>
        </w:rPr>
        <w:t xml:space="preserve">The sources table holds 88 active rows. Two flags govern them independently: list_type distinguishes positive sources from negative (exclusion) entries, and is_fetchable determines whether the fetcher attempts the row at all. 50 active sources are fetchable; 38 are not.</w:t>
      </w:r>
    </w:p>
    <w:p>
      <w:pPr>
        <w:pStyle w:val="Heading2"/>
        <w:spacing w:after="130" w:before="260"/>
      </w:pPr>
      <w:r>
        <w:rPr>
          <w:b/>
          <w:bCs/>
          <w:color w:val="1F3864"/>
        </w:rPr>
        <w:t xml:space="preserve">4.2 Two-gate keyword matching</w:t>
      </w:r>
    </w:p>
    <w:p>
      <w:pPr>
        <w:spacing w:after="90" w:line="276"/>
      </w:pPr>
      <w:r>
        <w:rPr>
          <w:sz w:val="21"/>
          <w:szCs w:val="21"/>
        </w:rPr>
        <w:t xml:space="preserve">Capture is decided by a lexical test over headline plus body. It is substring and word-boundary regex matching — there is no lemmatiser, no part-of-speech tagging and no sense disambiguation. The source describes itself as a pragmatic first version.</w:t>
      </w:r>
    </w:p>
    <w:p>
      <w:pPr>
        <w:spacing w:after="120" w:line="276"/>
      </w:pPr>
      <w:r>
        <w:rPr>
          <w:sz w:val="21"/>
          <w:szCs w:val="21"/>
        </w:rPr>
        <w:t xml:space="preserve">The active taxonomy holds 161 keywords across three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800"/>
        <w:gridCol w:w="5160"/>
      </w:tblGrid>
      <w:tr>
        <w:trPr>
          <w:tblHeader/>
        </w:trPr>
        <w:tc>
          <w:tcPr>
            <w:tcW w:type="dxa" w:w="3400"/>
            <w:shd w:fill="D9E2F3" w:val="clear"/>
            <w:tcMar>
              <w:top w:type="dxa" w:w="60"/>
              <w:left w:type="dxa" w:w="90"/>
              <w:bottom w:type="dxa" w:w="60"/>
              <w:right w:type="dxa" w:w="90"/>
            </w:tcMar>
          </w:tcPr>
          <w:p>
            <w:pPr>
              <w:spacing w:after="0" w:line="250"/>
            </w:pPr>
            <w:r>
              <w:rPr>
                <w:b/>
                <w:bCs/>
                <w:sz w:val="18"/>
                <w:szCs w:val="18"/>
              </w:rPr>
              <w:t xml:space="preserve">Gate</w:t>
            </w:r>
          </w:p>
        </w:tc>
        <w:tc>
          <w:tcPr>
            <w:tcW w:type="dxa" w:w="800"/>
            <w:shd w:fill="D9E2F3" w:val="clear"/>
            <w:tcMar>
              <w:top w:type="dxa" w:w="60"/>
              <w:left w:type="dxa" w:w="90"/>
              <w:bottom w:type="dxa" w:w="60"/>
              <w:right w:type="dxa" w:w="90"/>
            </w:tcMar>
          </w:tcPr>
          <w:p>
            <w:pPr>
              <w:spacing w:after="0" w:line="250"/>
            </w:pPr>
            <w:r>
              <w:rPr>
                <w:b/>
                <w:bCs/>
                <w:sz w:val="18"/>
                <w:szCs w:val="18"/>
              </w:rPr>
              <w:t xml:space="preserve">Terms</w:t>
            </w:r>
          </w:p>
        </w:tc>
        <w:tc>
          <w:tcPr>
            <w:tcW w:type="dxa" w:w="5160"/>
            <w:shd w:fill="D9E2F3" w:val="clear"/>
            <w:tcMar>
              <w:top w:type="dxa" w:w="60"/>
              <w:left w:type="dxa" w:w="90"/>
              <w:bottom w:type="dxa" w:w="60"/>
              <w:right w:type="dxa" w:w="90"/>
            </w:tcMar>
          </w:tcPr>
          <w:p>
            <w:pPr>
              <w:spacing w:after="0" w:line="250"/>
            </w:pPr>
            <w:r>
              <w:rPr>
                <w:b/>
                <w:bCs/>
                <w:sz w:val="18"/>
                <w:szCs w:val="18"/>
              </w:rPr>
              <w:t xml:space="preserve">Role</w:t>
            </w:r>
          </w:p>
        </w:tc>
      </w:tr>
      <w:tr>
        <w:tc>
          <w:tcPr>
            <w:tcW w:type="dxa" w:w="3400"/>
            <w:tcMar>
              <w:top w:type="dxa" w:w="60"/>
              <w:left w:type="dxa" w:w="90"/>
              <w:bottom w:type="dxa" w:w="60"/>
              <w:right w:type="dxa" w:w="90"/>
            </w:tcMar>
          </w:tcPr>
          <w:p>
            <w:pPr>
              <w:spacing w:after="0" w:line="250"/>
            </w:pPr>
            <w:r>
              <w:rPr>
                <w:sz w:val="18"/>
                <w:szCs w:val="18"/>
              </w:rPr>
              <w:t xml:space="preserve">Gate 1 — Domain anchor (REQUIRED)</w:t>
            </w:r>
          </w:p>
        </w:tc>
        <w:tc>
          <w:tcPr>
            <w:tcW w:type="dxa" w:w="800"/>
            <w:tcMar>
              <w:top w:type="dxa" w:w="60"/>
              <w:left w:type="dxa" w:w="90"/>
              <w:bottom w:type="dxa" w:w="60"/>
              <w:right w:type="dxa" w:w="90"/>
            </w:tcMar>
          </w:tcPr>
          <w:p>
            <w:pPr>
              <w:spacing w:after="0" w:line="250"/>
            </w:pPr>
            <w:r>
              <w:rPr>
                <w:sz w:val="18"/>
                <w:szCs w:val="18"/>
              </w:rPr>
              <w:t xml:space="preserve">18</w:t>
            </w:r>
          </w:p>
        </w:tc>
        <w:tc>
          <w:tcPr>
            <w:tcW w:type="dxa" w:w="5160"/>
            <w:tcMar>
              <w:top w:type="dxa" w:w="60"/>
              <w:left w:type="dxa" w:w="90"/>
              <w:bottom w:type="dxa" w:w="60"/>
              <w:right w:type="dxa" w:w="90"/>
            </w:tcMar>
          </w:tcPr>
          <w:p>
            <w:pPr>
              <w:spacing w:after="0" w:line="250"/>
            </w:pPr>
            <w:r>
              <w:rPr>
                <w:sz w:val="18"/>
                <w:szCs w:val="18"/>
              </w:rPr>
              <w:t xml:space="preserve">At least one must appear or the article is not captured</w:t>
            </w:r>
          </w:p>
        </w:tc>
      </w:tr>
      <w:tr>
        <w:tc>
          <w:tcPr>
            <w:tcW w:type="dxa" w:w="3400"/>
            <w:tcMar>
              <w:top w:type="dxa" w:w="60"/>
              <w:left w:type="dxa" w:w="90"/>
              <w:bottom w:type="dxa" w:w="60"/>
              <w:right w:type="dxa" w:w="90"/>
            </w:tcMar>
          </w:tcPr>
          <w:p>
            <w:pPr>
              <w:spacing w:after="0" w:line="250"/>
            </w:pPr>
            <w:r>
              <w:rPr>
                <w:sz w:val="18"/>
                <w:szCs w:val="18"/>
              </w:rPr>
              <w:t xml:space="preserve">Gate 2 — Topic</w:t>
            </w:r>
          </w:p>
        </w:tc>
        <w:tc>
          <w:tcPr>
            <w:tcW w:type="dxa" w:w="800"/>
            <w:tcMar>
              <w:top w:type="dxa" w:w="60"/>
              <w:left w:type="dxa" w:w="90"/>
              <w:bottom w:type="dxa" w:w="60"/>
              <w:right w:type="dxa" w:w="90"/>
            </w:tcMar>
          </w:tcPr>
          <w:p>
            <w:pPr>
              <w:spacing w:after="0" w:line="250"/>
            </w:pPr>
            <w:r>
              <w:rPr>
                <w:sz w:val="18"/>
                <w:szCs w:val="18"/>
              </w:rPr>
              <w:t xml:space="preserve">103</w:t>
            </w:r>
          </w:p>
        </w:tc>
        <w:tc>
          <w:tcPr>
            <w:tcW w:type="dxa" w:w="5160"/>
            <w:tcMar>
              <w:top w:type="dxa" w:w="60"/>
              <w:left w:type="dxa" w:w="90"/>
              <w:bottom w:type="dxa" w:w="60"/>
              <w:right w:type="dxa" w:w="90"/>
            </w:tcMar>
          </w:tcPr>
          <w:p>
            <w:pPr>
              <w:spacing w:after="0" w:line="250"/>
            </w:pPr>
            <w:r>
              <w:rPr>
                <w:sz w:val="18"/>
                <w:szCs w:val="18"/>
              </w:rPr>
              <w:t xml:space="preserve">At least one must appear alongside a Gate 1 anchor</w:t>
            </w:r>
          </w:p>
        </w:tc>
      </w:tr>
      <w:tr>
        <w:tc>
          <w:tcPr>
            <w:tcW w:type="dxa" w:w="3400"/>
            <w:tcMar>
              <w:top w:type="dxa" w:w="60"/>
              <w:left w:type="dxa" w:w="90"/>
              <w:bottom w:type="dxa" w:w="60"/>
              <w:right w:type="dxa" w:w="90"/>
            </w:tcMar>
          </w:tcPr>
          <w:p>
            <w:pPr>
              <w:spacing w:after="0" w:line="250"/>
            </w:pPr>
            <w:r>
              <w:rPr>
                <w:sz w:val="18"/>
                <w:szCs w:val="18"/>
              </w:rPr>
              <w:t xml:space="preserve">Exclusion</w:t>
            </w:r>
          </w:p>
        </w:tc>
        <w:tc>
          <w:tcPr>
            <w:tcW w:type="dxa" w:w="800"/>
            <w:tcMar>
              <w:top w:type="dxa" w:w="60"/>
              <w:left w:type="dxa" w:w="90"/>
              <w:bottom w:type="dxa" w:w="60"/>
              <w:right w:type="dxa" w:w="90"/>
            </w:tcMar>
          </w:tcPr>
          <w:p>
            <w:pPr>
              <w:spacing w:after="0" w:line="250"/>
            </w:pPr>
            <w:r>
              <w:rPr>
                <w:sz w:val="18"/>
                <w:szCs w:val="18"/>
              </w:rPr>
              <w:t xml:space="preserve">40</w:t>
            </w:r>
          </w:p>
        </w:tc>
        <w:tc>
          <w:tcPr>
            <w:tcW w:type="dxa" w:w="5160"/>
            <w:tcMar>
              <w:top w:type="dxa" w:w="60"/>
              <w:left w:type="dxa" w:w="90"/>
              <w:bottom w:type="dxa" w:w="60"/>
              <w:right w:type="dxa" w:w="90"/>
            </w:tcMar>
          </w:tcPr>
          <w:p>
            <w:pPr>
              <w:spacing w:after="0" w:line="250"/>
            </w:pPr>
            <w:r>
              <w:rPr>
                <w:sz w:val="18"/>
                <w:szCs w:val="18"/>
              </w:rPr>
              <w:t xml:space="preserve">Suppresses a captured article, subject to the headline rule below</w:t>
            </w:r>
          </w:p>
        </w:tc>
      </w:tr>
    </w:tbl>
    <w:p>
      <w:pPr>
        <w:spacing w:after="120" w:line="276"/>
      </w:pPr>
      <w:r>
        <w:rPr>
          <w:sz w:val="21"/>
          <w:szCs w:val="21"/>
        </w:rPr>
        <w:t xml:space="preserve"/>
      </w:r>
    </w:p>
    <w:p>
      <w:pPr>
        <w:spacing w:after="90" w:line="276"/>
      </w:pPr>
      <w:r>
        <w:rPr>
          <w:sz w:val="21"/>
          <w:szCs w:val="21"/>
        </w:rPr>
        <w:t xml:space="preserve">The decision procedure is:</w:t>
      </w:r>
    </w:p>
    <w:p>
      <w:pPr>
        <w:pBdr>
          <w:left w:val="single" w:color="1F3864" w:sz="12" w:space="6"/>
        </w:pBdr>
        <w:shd w:fill="F2F2F2" w:val="clear"/>
        <w:spacing w:after="140" w:before="60"/>
      </w:pPr>
      <w:r>
        <w:rPr>
          <w:rFonts w:ascii="Consolas" w:cs="Consolas" w:eastAsia="Consolas" w:hAnsi="Consolas"/>
          <w:sz w:val="17"/>
          <w:szCs w:val="17"/>
        </w:rPr>
        <w:t xml:space="preserve">1. gate1Hits = keywords.gate1 filtered by hits(headline + body)</w:t>
      </w:r>
      <w:r>
        <w:br/>
      </w:r>
      <w:r>
        <w:rPr>
          <w:rFonts w:ascii="Consolas" w:cs="Consolas" w:eastAsia="Consolas" w:hAnsi="Consolas"/>
          <w:sz w:val="17"/>
          <w:szCs w:val="17"/>
        </w:rPr>
        <w:t xml:space="preserve">   if empty  → not captured, reason 'failed_gate'</w:t>
      </w:r>
      <w:r>
        <w:br/>
      </w:r>
      <w:r>
        <w:rPr>
          <w:rFonts w:ascii="Consolas" w:cs="Consolas" w:eastAsia="Consolas" w:hAnsi="Consolas"/>
          <w:sz w:val="17"/>
          <w:szCs w:val="17"/>
        </w:rPr>
        <w:t xml:space="preserve">2. gate2Hits = keywords.gate2 filtered by hits(headline + body)</w:t>
      </w:r>
      <w:r>
        <w:br/>
      </w:r>
      <w:r>
        <w:rPr>
          <w:rFonts w:ascii="Consolas" w:cs="Consolas" w:eastAsia="Consolas" w:hAnsi="Consolas"/>
          <w:sz w:val="17"/>
          <w:szCs w:val="17"/>
        </w:rPr>
        <w:t xml:space="preserve">   if empty  → not captured, reason 'failed_gate'</w:t>
      </w:r>
      <w:r>
        <w:br/>
      </w:r>
      <w:r>
        <w:rPr>
          <w:rFonts w:ascii="Consolas" w:cs="Consolas" w:eastAsia="Consolas" w:hAnsi="Consolas"/>
          <w:sz w:val="17"/>
          <w:szCs w:val="17"/>
        </w:rPr>
        <w:t xml:space="preserve">3. exclusionHits = keywords.exclusions filtered by hits(...)</w:t>
      </w:r>
      <w:r>
        <w:br/>
      </w:r>
      <w:r>
        <w:rPr>
          <w:rFonts w:ascii="Consolas" w:cs="Consolas" w:eastAsia="Consolas" w:hAnsi="Consolas"/>
          <w:sz w:val="17"/>
          <w:szCs w:val="17"/>
        </w:rPr>
        <w:t xml:space="preserve">   if empty  → CAPTURED</w:t>
      </w:r>
      <w:r>
        <w:br/>
      </w:r>
      <w:r>
        <w:rPr>
          <w:rFonts w:ascii="Consolas" w:cs="Consolas" w:eastAsia="Consolas" w:hAnsi="Consolas"/>
          <w:sz w:val="17"/>
          <w:szCs w:val="17"/>
        </w:rPr>
        <w:t xml:space="preserve">4. anchoredInHeadline = any Gate 1 term hits the HEADLINE alone</w:t>
      </w:r>
      <w:r>
        <w:br/>
      </w:r>
      <w:r>
        <w:rPr>
          <w:rFonts w:ascii="Consolas" w:cs="Consolas" w:eastAsia="Consolas" w:hAnsi="Consolas"/>
          <w:sz w:val="17"/>
          <w:szCs w:val="17"/>
        </w:rPr>
        <w:t xml:space="preserve">   if false  → not captured, reason 'suppressed_exclusion'</w:t>
      </w:r>
      <w:r>
        <w:br/>
      </w:r>
      <w:r>
        <w:rPr>
          <w:rFonts w:ascii="Consolas" w:cs="Consolas" w:eastAsia="Consolas" w:hAnsi="Consolas"/>
          <w:sz w:val="17"/>
          <w:szCs w:val="17"/>
        </w:rPr>
        <w:t xml:space="preserve">   if true   → CAPTURED, negative matches recorded for curator review</w:t>
      </w:r>
    </w:p>
    <w:p>
      <w:pPr>
        <w:spacing w:after="90" w:line="276"/>
      </w:pPr>
      <w:r>
        <w:rPr>
          <w:sz w:val="21"/>
          <w:szCs w:val="21"/>
        </w:rPr>
        <w:t xml:space="preserve">An article failing either gate is discarded outright — no row is written and no per-article log line is produced. Only articles that pass both gates are tested against exclusions.</w:t>
      </w:r>
    </w:p>
    <w:p>
      <w:pPr>
        <w:spacing w:after="140" w:line="276"/>
      </w:pPr>
      <w:r>
        <w:rPr>
          <w:sz w:val="21"/>
          <w:szCs w:val="21"/>
        </w:rPr>
        <w:t xml:space="preserve">The headline-anchor override in step 4 exists so a borderline story that mentions an excluded topic in passing is still captured when its headline is unambiguously about ocean freight. The negative matches are stored in matched_negative_keywords so a curator can see why it stayed.</w:t>
      </w:r>
    </w:p>
    <w:p>
      <w:pPr>
        <w:pStyle w:val="Heading3"/>
        <w:spacing w:after="130" w:before="260"/>
      </w:pPr>
      <w:r>
        <w:rPr>
          <w:b/>
          <w:bCs/>
          <w:color w:val="1F3864"/>
        </w:rPr>
        <w:t xml:space="preserve">4.3 Term compilation</w:t>
      </w:r>
    </w:p>
    <w:p>
      <w:pPr>
        <w:spacing w:after="120" w:line="276"/>
      </w:pPr>
      <w:r>
        <w:rPr>
          <w:sz w:val="21"/>
          <w:szCs w:val="21"/>
        </w:rPr>
        <w:t xml:space="preserve">Each stored keyword compiles into one or more regular expressions. Four transformations apply:</w:t>
      </w:r>
    </w:p>
    <w:p>
      <w:pPr>
        <w:pStyle w:val="ListParagraph"/>
        <w:numPr>
          <w:ilvl w:val="0"/>
          <w:numId w:val="2"/>
        </w:numPr>
        <w:spacing w:after="70" w:line="268"/>
      </w:pPr>
      <w:r>
        <w:rPr>
          <w:sz w:val="21"/>
          <w:szCs w:val="21"/>
        </w:rPr>
        <w:t xml:space="preserve">Slash splitting. A row such as "MSC / Mediterranean Shipping Company" is split into alternatives, any of which matches. The stored text is unchanged, so matched_keywords records the whole row.</w:t>
      </w:r>
    </w:p>
    <w:p>
      <w:pPr>
        <w:pStyle w:val="ListParagraph"/>
        <w:numPr>
          <w:ilvl w:val="0"/>
          <w:numId w:val="2"/>
        </w:numPr>
        <w:spacing w:after="70" w:line="268"/>
      </w:pPr>
      <w:r>
        <w:rPr>
          <w:sz w:val="21"/>
          <w:szCs w:val="21"/>
        </w:rPr>
        <w:t xml:space="preserve">Parenthetical stripping. Curator notes such as "Gemini (Google AI model)" are removed, since the literal string would never appear. The exception is a parenthetical qualifying a single all-lowercase word — "shipping (fandom)" — where stripping would leave a bare common term that as an exclusion would suppress the corpus. Those variants are dropped entirely rather than approximated.</w:t>
      </w:r>
    </w:p>
    <w:p>
      <w:pPr>
        <w:pStyle w:val="ListParagraph"/>
        <w:numPr>
          <w:ilvl w:val="0"/>
          <w:numId w:val="2"/>
        </w:numPr>
        <w:spacing w:after="70" w:line="268"/>
      </w:pPr>
      <w:r>
        <w:rPr>
          <w:sz w:val="21"/>
          <w:szCs w:val="21"/>
        </w:rPr>
        <w:t xml:space="preserve">Acronym detection. A term of two or more uppercase characters is matched case-sensitively with word boundaries and an optional plural. This protects TEU from matching "Teuton", and critically protects the exclusion term "ONE" from matching the word "one" in nearly every article.</w:t>
      </w:r>
    </w:p>
    <w:p>
      <w:pPr>
        <w:pStyle w:val="ListParagraph"/>
        <w:numPr>
          <w:ilvl w:val="0"/>
          <w:numId w:val="2"/>
        </w:numPr>
        <w:spacing w:after="70" w:line="268"/>
      </w:pPr>
      <w:r>
        <w:rPr>
          <w:sz w:val="21"/>
          <w:szCs w:val="21"/>
        </w:rPr>
        <w:t xml:space="preserve">Separator normalisation. Every separator position accepts any run of spaces and hyphens including none, so "container ship", "container-ship" and "containership" are one term. The character class is flat with a single quantifier, so it adds no backtracking risk.</w:t>
      </w:r>
    </w:p>
    <w:p>
      <w:pPr>
        <w:spacing w:after="140" w:line="276"/>
      </w:pPr>
      <w:r>
        <w:rPr>
          <w:sz w:val="21"/>
          <w:szCs w:val="21"/>
        </w:rPr>
        <w:t xml:space="preserve">A variations column carries surface forms not derivable from the keyword — synonyms, abbreviations, transliterations, US spellings. They compile identically and are equally sufficient to match, but the row still reports its own keyword text downstream.</w:t>
      </w:r>
    </w:p>
    <w:p>
      <w:pPr>
        <w:pStyle w:val="Heading2"/>
        <w:spacing w:after="130" w:before="260"/>
      </w:pPr>
      <w:r>
        <w:rPr>
          <w:b/>
          <w:bCs/>
          <w:color w:val="1F3864"/>
        </w:rPr>
        <w:t xml:space="preserve">4.4 Deduplication</w:t>
      </w:r>
    </w:p>
    <w:p>
      <w:pPr>
        <w:spacing w:after="120" w:line="276"/>
      </w:pPr>
      <w:r>
        <w:rPr>
          <w:sz w:val="21"/>
          <w:szCs w:val="21"/>
        </w:rPr>
        <w:t xml:space="preserve">Every item is fingerprinted before storage:</w:t>
      </w:r>
    </w:p>
    <w:p>
      <w:pPr>
        <w:pBdr>
          <w:left w:val="single" w:color="1F3864" w:sz="12" w:space="6"/>
        </w:pBdr>
        <w:shd w:fill="F2F2F2" w:val="clear"/>
        <w:spacing w:after="140" w:before="60"/>
      </w:pPr>
      <w:r>
        <w:rPr>
          <w:rFonts w:ascii="Consolas" w:cs="Consolas" w:eastAsia="Consolas" w:hAnsi="Consolas"/>
          <w:sz w:val="17"/>
          <w:szCs w:val="17"/>
        </w:rPr>
        <w:t xml:space="preserve">dedup_key = sha256(</w:t>
      </w:r>
      <w:r>
        <w:br/>
      </w:r>
      <w:r>
        <w:rPr>
          <w:rFonts w:ascii="Consolas" w:cs="Consolas" w:eastAsia="Consolas" w:hAnsi="Consolas"/>
          <w:sz w:val="17"/>
          <w:szCs w:val="17"/>
        </w:rPr>
        <w:t xml:space="preserve">    normalize(headline) | normalize(media) |</w:t>
      </w:r>
      <w:r>
        <w:br/>
      </w:r>
      <w:r>
        <w:rPr>
          <w:rFonts w:ascii="Consolas" w:cs="Consolas" w:eastAsia="Consolas" w:hAnsi="Consolas"/>
          <w:sz w:val="17"/>
          <w:szCs w:val="17"/>
        </w:rPr>
        <w:t xml:space="preserve">    published_date     | normalize(byline)</w:t>
      </w:r>
      <w:r>
        <w:br/>
      </w:r>
      <w:r>
        <w:rPr>
          <w:rFonts w:ascii="Consolas" w:cs="Consolas" w:eastAsia="Consolas" w:hAnsi="Consolas"/>
          <w:sz w:val="17"/>
          <w:szCs w:val="17"/>
        </w:rPr>
        <w:t xml:space="preserve">)</w:t>
      </w:r>
      <w:r>
        <w:br/>
      </w:r>
      <w:r>
        <w:rPr>
          <w:rFonts w:ascii="Consolas" w:cs="Consolas" w:eastAsia="Consolas" w:hAnsi="Consolas"/>
          <w:sz w:val="17"/>
          <w:szCs w:val="17"/>
        </w:rPr>
        <w:t xml:space="preserve"/>
      </w:r>
      <w:r>
        <w:br/>
      </w:r>
      <w:r>
        <w:rPr>
          <w:rFonts w:ascii="Consolas" w:cs="Consolas" w:eastAsia="Consolas" w:hAnsi="Consolas"/>
          <w:sz w:val="17"/>
          <w:szCs w:val="17"/>
        </w:rPr>
        <w:t xml:space="preserve">normalize: NFKD → strip combining marks → lowercase →</w:t>
      </w:r>
      <w:r>
        <w:br/>
      </w:r>
      <w:r>
        <w:rPr>
          <w:rFonts w:ascii="Consolas" w:cs="Consolas" w:eastAsia="Consolas" w:hAnsi="Consolas"/>
          <w:sz w:val="17"/>
          <w:szCs w:val="17"/>
        </w:rPr>
        <w:t xml:space="preserve">           non-alphanumeric to space → collapse whitespace</w:t>
      </w:r>
    </w:p>
    <w:p>
      <w:pPr>
        <w:spacing w:after="120" w:line="276"/>
      </w:pPr>
      <w:r>
        <w:rPr>
          <w:sz w:val="21"/>
          <w:szCs w:val="21"/>
        </w:rPr>
        <w:t xml:space="preserve">Normalisation ensures two renderings of the same headline — differing in typographic quotes, dashes or HTML entities — reach the same key. The date component is the calendar day, not the timestamp.</w:t>
      </w:r>
    </w:p>
    <w:p>
      <w:pPr>
        <w:spacing w:after="90" w:line="276"/>
      </w:pPr>
      <w:r>
        <w:rPr>
          <w:sz w:val="21"/>
          <w:szCs w:val="21"/>
        </w:rPr>
        <w:t xml:space="preserve">The outcome table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tblHeader/>
        </w:trPr>
        <w:tc>
          <w:tcPr>
            <w:tcW w:type="dxa" w:w="3700"/>
            <w:shd w:fill="D9E2F3" w:val="clear"/>
            <w:tcMar>
              <w:top w:type="dxa" w:w="60"/>
              <w:left w:type="dxa" w:w="90"/>
              <w:bottom w:type="dxa" w:w="60"/>
              <w:right w:type="dxa" w:w="90"/>
            </w:tcMar>
          </w:tcPr>
          <w:p>
            <w:pPr>
              <w:spacing w:after="0" w:line="250"/>
            </w:pPr>
            <w:r>
              <w:rPr>
                <w:b/>
                <w:bCs/>
                <w:sz w:val="18"/>
                <w:szCs w:val="18"/>
              </w:rPr>
              <w:t xml:space="preserve">Existing row</w:t>
            </w:r>
          </w:p>
        </w:tc>
        <w:tc>
          <w:tcPr>
            <w:tcW w:type="dxa" w:w="5660"/>
            <w:shd w:fill="D9E2F3" w:val="clear"/>
            <w:tcMar>
              <w:top w:type="dxa" w:w="60"/>
              <w:left w:type="dxa" w:w="90"/>
              <w:bottom w:type="dxa" w:w="60"/>
              <w:right w:type="dxa" w:w="90"/>
            </w:tcMar>
          </w:tcPr>
          <w:p>
            <w:pPr>
              <w:spacing w:after="0" w:line="250"/>
            </w:pPr>
            <w:r>
              <w:rPr>
                <w:b/>
                <w:bCs/>
                <w:sz w:val="18"/>
                <w:szCs w:val="18"/>
              </w:rPr>
              <w:t xml:space="preserve">Outcome</w:t>
            </w:r>
          </w:p>
        </w:tc>
      </w:tr>
      <w:tr>
        <w:tc>
          <w:tcPr>
            <w:tcW w:type="dxa" w:w="3700"/>
            <w:tcMar>
              <w:top w:type="dxa" w:w="60"/>
              <w:left w:type="dxa" w:w="90"/>
              <w:bottom w:type="dxa" w:w="60"/>
              <w:right w:type="dxa" w:w="90"/>
            </w:tcMar>
          </w:tcPr>
          <w:p>
            <w:pPr>
              <w:spacing w:after="0" w:line="250"/>
            </w:pPr>
            <w:r>
              <w:rPr>
                <w:sz w:val="18"/>
                <w:szCs w:val="18"/>
              </w:rPr>
              <w:t xml:space="preserve">None</w:t>
            </w:r>
          </w:p>
        </w:tc>
        <w:tc>
          <w:tcPr>
            <w:tcW w:type="dxa" w:w="5660"/>
            <w:tcMar>
              <w:top w:type="dxa" w:w="60"/>
              <w:left w:type="dxa" w:w="90"/>
              <w:bottom w:type="dxa" w:w="60"/>
              <w:right w:type="dxa" w:w="90"/>
            </w:tcMar>
          </w:tcPr>
          <w:p>
            <w:pPr>
              <w:spacing w:after="0" w:line="250"/>
            </w:pPr>
            <w:r>
              <w:rPr>
                <w:sz w:val="18"/>
                <w:szCs w:val="18"/>
              </w:rPr>
              <w:t xml:space="preserve">Insert, status 'active'</w:t>
            </w:r>
          </w:p>
        </w:tc>
      </w:tr>
      <w:tr>
        <w:tc>
          <w:tcPr>
            <w:tcW w:type="dxa" w:w="3700"/>
            <w:tcMar>
              <w:top w:type="dxa" w:w="60"/>
              <w:left w:type="dxa" w:w="90"/>
              <w:bottom w:type="dxa" w:w="60"/>
              <w:right w:type="dxa" w:w="90"/>
            </w:tcMar>
          </w:tcPr>
          <w:p>
            <w:pPr>
              <w:spacing w:after="0" w:line="250"/>
            </w:pPr>
            <w:r>
              <w:rPr>
                <w:sz w:val="18"/>
                <w:szCs w:val="18"/>
              </w:rPr>
              <w:t xml:space="preserve">status 'excluded' or 'deleted'</w:t>
            </w:r>
          </w:p>
        </w:tc>
        <w:tc>
          <w:tcPr>
            <w:tcW w:type="dxa" w:w="5660"/>
            <w:tcMar>
              <w:top w:type="dxa" w:w="60"/>
              <w:left w:type="dxa" w:w="90"/>
              <w:bottom w:type="dxa" w:w="60"/>
              <w:right w:type="dxa" w:w="90"/>
            </w:tcMar>
          </w:tcPr>
          <w:p>
            <w:pPr>
              <w:spacing w:after="0" w:line="250"/>
            </w:pPr>
            <w:r>
              <w:rPr>
                <w:sz w:val="18"/>
                <w:szCs w:val="18"/>
              </w:rPr>
              <w:t xml:space="preserve">skipped_tombstoned — never revived, never updated</w:t>
            </w:r>
          </w:p>
        </w:tc>
      </w:tr>
      <w:tr>
        <w:tc>
          <w:tcPr>
            <w:tcW w:type="dxa" w:w="3700"/>
            <w:tcMar>
              <w:top w:type="dxa" w:w="60"/>
              <w:left w:type="dxa" w:w="90"/>
              <w:bottom w:type="dxa" w:w="60"/>
              <w:right w:type="dxa" w:w="90"/>
            </w:tcMar>
          </w:tcPr>
          <w:p>
            <w:pPr>
              <w:spacing w:after="0" w:line="250"/>
            </w:pPr>
            <w:r>
              <w:rPr>
                <w:sz w:val="18"/>
                <w:szCs w:val="18"/>
              </w:rPr>
              <w:t xml:space="preserve">coded_status 'coded'</w:t>
            </w:r>
          </w:p>
        </w:tc>
        <w:tc>
          <w:tcPr>
            <w:tcW w:type="dxa" w:w="5660"/>
            <w:tcMar>
              <w:top w:type="dxa" w:w="60"/>
              <w:left w:type="dxa" w:w="90"/>
              <w:bottom w:type="dxa" w:w="60"/>
              <w:right w:type="dxa" w:w="90"/>
            </w:tcMar>
          </w:tcPr>
          <w:p>
            <w:pPr>
              <w:spacing w:after="0" w:line="250"/>
            </w:pPr>
            <w:r>
              <w:rPr>
                <w:sz w:val="18"/>
                <w:szCs w:val="18"/>
              </w:rPr>
              <w:t xml:space="preserve">skipped_coded — stored text is locked</w:t>
            </w:r>
          </w:p>
        </w:tc>
      </w:tr>
      <w:tr>
        <w:tc>
          <w:tcPr>
            <w:tcW w:type="dxa" w:w="3700"/>
            <w:tcMar>
              <w:top w:type="dxa" w:w="60"/>
              <w:left w:type="dxa" w:w="90"/>
              <w:bottom w:type="dxa" w:w="60"/>
              <w:right w:type="dxa" w:w="90"/>
            </w:tcMar>
          </w:tcPr>
          <w:p>
            <w:pPr>
              <w:spacing w:after="0" w:line="250"/>
            </w:pPr>
            <w:r>
              <w:rPr>
                <w:sz w:val="18"/>
                <w:szCs w:val="18"/>
              </w:rPr>
              <w:t xml:space="preserve">Different channel</w:t>
            </w:r>
          </w:p>
        </w:tc>
        <w:tc>
          <w:tcPr>
            <w:tcW w:type="dxa" w:w="5660"/>
            <w:tcMar>
              <w:top w:type="dxa" w:w="60"/>
              <w:left w:type="dxa" w:w="90"/>
              <w:bottom w:type="dxa" w:w="60"/>
              <w:right w:type="dxa" w:w="90"/>
            </w:tcMar>
          </w:tcPr>
          <w:p>
            <w:pPr>
              <w:spacing w:after="0" w:line="250"/>
            </w:pPr>
            <w:r>
              <w:rPr>
                <w:sz w:val="18"/>
                <w:szCs w:val="18"/>
              </w:rPr>
              <w:t xml:space="preserve">Channel priority decides outright; word count not consulted</w:t>
            </w:r>
          </w:p>
        </w:tc>
      </w:tr>
      <w:tr>
        <w:tc>
          <w:tcPr>
            <w:tcW w:type="dxa" w:w="3700"/>
            <w:tcMar>
              <w:top w:type="dxa" w:w="60"/>
              <w:left w:type="dxa" w:w="90"/>
              <w:bottom w:type="dxa" w:w="60"/>
              <w:right w:type="dxa" w:w="90"/>
            </w:tcMar>
          </w:tcPr>
          <w:p>
            <w:pPr>
              <w:spacing w:after="0" w:line="250"/>
            </w:pPr>
            <w:r>
              <w:rPr>
                <w:sz w:val="18"/>
                <w:szCs w:val="18"/>
              </w:rPr>
              <w:t xml:space="preserve">Same channel, longer body</w:t>
            </w:r>
          </w:p>
        </w:tc>
        <w:tc>
          <w:tcPr>
            <w:tcW w:type="dxa" w:w="5660"/>
            <w:tcMar>
              <w:top w:type="dxa" w:w="60"/>
              <w:left w:type="dxa" w:w="90"/>
              <w:bottom w:type="dxa" w:w="60"/>
              <w:right w:type="dxa" w:w="90"/>
            </w:tcMar>
          </w:tcPr>
          <w:p>
            <w:pPr>
              <w:spacing w:after="0" w:line="250"/>
            </w:pPr>
            <w:r>
              <w:rPr>
                <w:sz w:val="18"/>
                <w:szCs w:val="18"/>
              </w:rPr>
              <w:t xml:space="preserve">Supersede: body, word count and URL replaced; old URL to alt_urls</w:t>
            </w:r>
          </w:p>
        </w:tc>
      </w:tr>
      <w:tr>
        <w:tc>
          <w:tcPr>
            <w:tcW w:type="dxa" w:w="3700"/>
            <w:tcMar>
              <w:top w:type="dxa" w:w="60"/>
              <w:left w:type="dxa" w:w="90"/>
              <w:bottom w:type="dxa" w:w="60"/>
              <w:right w:type="dxa" w:w="90"/>
            </w:tcMar>
          </w:tcPr>
          <w:p>
            <w:pPr>
              <w:spacing w:after="0" w:line="250"/>
            </w:pPr>
            <w:r>
              <w:rPr>
                <w:sz w:val="18"/>
                <w:szCs w:val="18"/>
              </w:rPr>
              <w:t xml:space="preserve">Same channel, not longer</w:t>
            </w:r>
          </w:p>
        </w:tc>
        <w:tc>
          <w:tcPr>
            <w:tcW w:type="dxa" w:w="5660"/>
            <w:tcMar>
              <w:top w:type="dxa" w:w="60"/>
              <w:left w:type="dxa" w:w="90"/>
              <w:bottom w:type="dxa" w:w="60"/>
              <w:right w:type="dxa" w:w="90"/>
            </w:tcMar>
          </w:tcPr>
          <w:p>
            <w:pPr>
              <w:spacing w:after="0" w:line="250"/>
            </w:pPr>
            <w:r>
              <w:rPr>
                <w:sz w:val="18"/>
                <w:szCs w:val="18"/>
              </w:rPr>
              <w:t xml:space="preserve">Discard the pull</w:t>
            </w:r>
          </w:p>
        </w:tc>
      </w:tr>
    </w:tbl>
    <w:p>
      <w:pPr>
        <w:spacing w:after="120" w:line="276"/>
      </w:pPr>
      <w:r>
        <w:rPr>
          <w:sz w:val="21"/>
          <w:szCs w:val="21"/>
        </w:rPr>
        <w:t xml:space="preserve"/>
      </w:r>
    </w:p>
    <w:p>
      <w:pPr>
        <w:spacing w:after="90" w:line="276"/>
      </w:pPr>
      <w:r>
        <w:rPr>
          <w:sz w:val="21"/>
          <w:szCs w:val="21"/>
        </w:rPr>
        <w:t xml:space="preserve">The two locks are checked before anything else. The coded lock exists because ai_sentiment, ai_themes and ai_summary are all derived from the stored body; replacing the body without re-coding would leave those three describing text that is no longer present, and nothing would say so. The source states the trade-off explicitly: missing a fuller body on an already-analysed article is a gap, whereas silently invalidating a finished analysis is a corruption, and only one of the two is visible to the person relying on it.</w:t>
      </w:r>
    </w:p>
    <w:p>
      <w:pPr>
        <w:spacing w:after="90" w:line="276"/>
      </w:pPr>
      <w:r>
        <w:rPr>
          <w:sz w:val="21"/>
          <w:szCs w:val="21"/>
        </w:rPr>
        <w:t xml:space="preserve">Channel priority, most preferred first, is media_rss, google_alerts, google_news_seed, newsapi_ai. Provenance beats length: the aggregator returns whole articles and would win on word count every time while being the less authoritative record. Within one channel, word count still decides.</w:t>
      </w:r>
    </w:p>
    <w:p>
      <w:pPr>
        <w:spacing w:after="180" w:line="276"/>
      </w:pPr>
      <w:r>
        <w:rPr>
          <w:sz w:val="21"/>
          <w:szCs w:val="21"/>
        </w:rPr>
        <w:t xml:space="preserve">A unique-violation on insert is treated as a concurrent run having inserted the same fingerprint; the row is re-read and the existing-row rules applied rather than failing the item.</w:t>
      </w:r>
    </w:p>
    <w:p>
      <w:pPr>
        <w:pStyle w:val="Heading1"/>
        <w:spacing w:after="130" w:before="260"/>
      </w:pPr>
      <w:r>
        <w:rPr>
          <w:b/>
          <w:bCs/>
          <w:color w:val="1F3864"/>
        </w:rPr>
        <w:t xml:space="preserve">5. Stage 4: sorting</w:t>
      </w:r>
    </w:p>
    <w:p>
      <w:pPr>
        <w:spacing w:after="120" w:line="276"/>
      </w:pPr>
      <w:r>
        <w:rPr>
          <w:sz w:val="21"/>
          <w:szCs w:val="21"/>
        </w:rPr>
        <w:t xml:space="preserve">Sorting is a relevance judgement, not a second keyword pass. Matching has already established that the right terms are present; that is a lexical test and cannot distinguish "Maersk raises Asia-Europe rates" from "Maersk's share price target lifted", because both contain the same terms. Sorting asks what the article is actually about.</w:t>
      </w:r>
    </w:p>
    <w:p>
      <w:pPr>
        <w:spacing w:after="120" w:line="276"/>
      </w:pPr>
      <w:r>
        <w:rPr>
          <w:sz w:val="21"/>
          <w:szCs w:val="21"/>
        </w:rPr>
        <w:t xml:space="preserve">It annotates and nothing more. articles.status is never touched, so a flagged article stays active and fully visible in the panel. No exclusion happens at this stage — the flag is advisory and a human decides.</w:t>
      </w:r>
    </w:p>
    <w:p>
      <w:pPr>
        <w:pStyle w:val="Heading2"/>
        <w:spacing w:after="130" w:before="260"/>
      </w:pPr>
      <w:r>
        <w:rPr>
          <w:b/>
          <w:bCs/>
          <w:color w:val="1F3864"/>
        </w:rPr>
        <w:t xml:space="preserve">5.1 Scope definition</w:t>
      </w:r>
    </w:p>
    <w:p>
      <w:pPr>
        <w:spacing w:after="120" w:line="276"/>
      </w:pPr>
      <w:r>
        <w:rPr>
          <w:sz w:val="21"/>
          <w:szCs w:val="21"/>
        </w:rPr>
        <w:t xml:space="preserve">The prompt carries an explicit in-scope and out-of-scope list derived from the keyword taxonomy rather than invented separately. In scope: carriers and alliances, container ports and terminals, freight rates and commercial terms, schedule reliability, capacity and fleet, chokepoints and routing, disruption, regulation and decarbonisation, trade policy, and forwarders and BCOs.</w:t>
      </w:r>
    </w:p>
    <w:p>
      <w:pPr>
        <w:spacing w:after="140" w:line="276"/>
      </w:pPr>
      <w:r>
        <w:rPr>
          <w:sz w:val="21"/>
          <w:szCs w:val="21"/>
        </w:rPr>
        <w:t xml:space="preserve">Out of scope: other maritime sectors (tankers, dry bulk, cruise, naval, offshore); equity and investor stories using a carrier as subject; corporate PR with no operational content; marketing filler; and homonyms — software containers, containers repurposed as homes, e-commerce "free shipping", fandom "shipping", TCP ports, mobile carriers, terminal illness, port wine.</w:t>
      </w:r>
    </w:p>
    <w:p>
      <w:pPr>
        <w:pStyle w:val="Heading2"/>
        <w:spacing w:after="130" w:before="260"/>
      </w:pPr>
      <w:r>
        <w:rPr>
          <w:b/>
          <w:bCs/>
          <w:color w:val="1F3864"/>
        </w:rPr>
        <w:t xml:space="preserve">5.2 Execution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shd w:fill="D9E2F3" w:val="clear"/>
            <w:tcMar>
              <w:top w:type="dxa" w:w="60"/>
              <w:left w:type="dxa" w:w="90"/>
              <w:bottom w:type="dxa" w:w="60"/>
              <w:right w:type="dxa" w:w="90"/>
            </w:tcMar>
          </w:tcPr>
          <w:p>
            <w:pPr>
              <w:spacing w:after="0" w:line="250"/>
            </w:pPr>
            <w:r>
              <w:rPr>
                <w:b/>
                <w:bCs/>
                <w:sz w:val="18"/>
                <w:szCs w:val="18"/>
              </w:rPr>
              <w:t xml:space="preserve">Parameter</w:t>
            </w:r>
          </w:p>
        </w:tc>
        <w:tc>
          <w:tcPr>
            <w:tcW w:type="dxa" w:w="2500"/>
            <w:shd w:fill="D9E2F3" w:val="clear"/>
            <w:tcMar>
              <w:top w:type="dxa" w:w="60"/>
              <w:left w:type="dxa" w:w="90"/>
              <w:bottom w:type="dxa" w:w="60"/>
              <w:right w:type="dxa" w:w="90"/>
            </w:tcMar>
          </w:tcPr>
          <w:p>
            <w:pPr>
              <w:spacing w:after="0" w:line="250"/>
            </w:pPr>
            <w:r>
              <w:rPr>
                <w:b/>
                <w:bCs/>
                <w:sz w:val="18"/>
                <w:szCs w:val="18"/>
              </w:rPr>
              <w:t xml:space="preserve">Value</w:t>
            </w:r>
          </w:p>
        </w:tc>
        <w:tc>
          <w:tcPr>
            <w:tcW w:type="dxa" w:w="4360"/>
            <w:shd w:fill="D9E2F3" w:val="clear"/>
            <w:tcMar>
              <w:top w:type="dxa" w:w="60"/>
              <w:left w:type="dxa" w:w="90"/>
              <w:bottom w:type="dxa" w:w="60"/>
              <w:right w:type="dxa" w:w="90"/>
            </w:tcMar>
          </w:tcPr>
          <w:p>
            <w:pPr>
              <w:spacing w:after="0" w:line="250"/>
            </w:pPr>
            <w:r>
              <w:rPr>
                <w:b/>
                <w:bCs/>
                <w:sz w:val="18"/>
                <w:szCs w:val="18"/>
              </w:rPr>
              <w:t xml:space="preserve">Reason</w:t>
            </w:r>
          </w:p>
        </w:tc>
      </w:tr>
      <w:tr>
        <w:tc>
          <w:tcPr>
            <w:tcW w:type="dxa" w:w="2500"/>
            <w:tcMar>
              <w:top w:type="dxa" w:w="60"/>
              <w:left w:type="dxa" w:w="90"/>
              <w:bottom w:type="dxa" w:w="60"/>
              <w:right w:type="dxa" w:w="90"/>
            </w:tcMar>
          </w:tcPr>
          <w:p>
            <w:pPr>
              <w:spacing w:after="0" w:line="250"/>
            </w:pPr>
            <w:r>
              <w:rPr>
                <w:rFonts w:ascii="Consolas" w:cs="Consolas" w:eastAsia="Consolas" w:hAnsi="Consolas"/>
                <w:sz w:val="16"/>
                <w:szCs w:val="16"/>
              </w:rPr>
              <w:t xml:space="preserve">SORT_CONCURRENCY</w:t>
            </w:r>
          </w:p>
        </w:tc>
        <w:tc>
          <w:tcPr>
            <w:tcW w:type="dxa" w:w="2500"/>
            <w:tcMar>
              <w:top w:type="dxa" w:w="60"/>
              <w:left w:type="dxa" w:w="90"/>
              <w:bottom w:type="dxa" w:w="60"/>
              <w:right w:type="dxa" w:w="90"/>
            </w:tcMar>
          </w:tcPr>
          <w:p>
            <w:pPr>
              <w:spacing w:after="0" w:line="250"/>
            </w:pPr>
            <w:r>
              <w:rPr>
                <w:sz w:val="18"/>
                <w:szCs w:val="18"/>
              </w:rPr>
              <w:t xml:space="preserve">4</w:t>
            </w:r>
          </w:p>
        </w:tc>
        <w:tc>
          <w:tcPr>
            <w:tcW w:type="dxa" w:w="4360"/>
            <w:tcMar>
              <w:top w:type="dxa" w:w="60"/>
              <w:left w:type="dxa" w:w="90"/>
              <w:bottom w:type="dxa" w:w="60"/>
              <w:right w:type="dxa" w:w="90"/>
            </w:tcMar>
          </w:tcPr>
          <w:p>
            <w:pPr>
              <w:spacing w:after="0" w:line="250"/>
            </w:pPr>
            <w:r>
              <w:rPr>
                <w:sz w:val="18"/>
                <w:szCs w:val="18"/>
              </w:rPr>
              <w:t xml:space="preserve">Bounds API burst on a large backlog</w:t>
            </w:r>
          </w:p>
        </w:tc>
      </w:tr>
      <w:tr>
        <w:tc>
          <w:tcPr>
            <w:tcW w:type="dxa" w:w="2500"/>
            <w:tcMar>
              <w:top w:type="dxa" w:w="60"/>
              <w:left w:type="dxa" w:w="90"/>
              <w:bottom w:type="dxa" w:w="60"/>
              <w:right w:type="dxa" w:w="90"/>
            </w:tcMar>
          </w:tcPr>
          <w:p>
            <w:pPr>
              <w:spacing w:after="0" w:line="250"/>
            </w:pPr>
            <w:r>
              <w:rPr>
                <w:rFonts w:ascii="Consolas" w:cs="Consolas" w:eastAsia="Consolas" w:hAnsi="Consolas"/>
                <w:sz w:val="16"/>
                <w:szCs w:val="16"/>
              </w:rPr>
              <w:t xml:space="preserve">MAX_BODY_CHARS</w:t>
            </w:r>
          </w:p>
        </w:tc>
        <w:tc>
          <w:tcPr>
            <w:tcW w:type="dxa" w:w="2500"/>
            <w:tcMar>
              <w:top w:type="dxa" w:w="60"/>
              <w:left w:type="dxa" w:w="90"/>
              <w:bottom w:type="dxa" w:w="60"/>
              <w:right w:type="dxa" w:w="90"/>
            </w:tcMar>
          </w:tcPr>
          <w:p>
            <w:pPr>
              <w:spacing w:after="0" w:line="250"/>
            </w:pPr>
            <w:r>
              <w:rPr>
                <w:sz w:val="18"/>
                <w:szCs w:val="18"/>
              </w:rPr>
              <w:t xml:space="preserve">6,000</w:t>
            </w:r>
          </w:p>
        </w:tc>
        <w:tc>
          <w:tcPr>
            <w:tcW w:type="dxa" w:w="4360"/>
            <w:tcMar>
              <w:top w:type="dxa" w:w="60"/>
              <w:left w:type="dxa" w:w="90"/>
              <w:bottom w:type="dxa" w:w="60"/>
              <w:right w:type="dxa" w:w="90"/>
            </w:tcMar>
          </w:tcPr>
          <w:p>
            <w:pPr>
              <w:spacing w:after="0" w:line="250"/>
            </w:pPr>
            <w:r>
              <w:rPr>
                <w:sz w:val="18"/>
                <w:szCs w:val="18"/>
              </w:rPr>
              <w:t xml:space="preserve">Past the point where more text changes a relevance call</w:t>
            </w:r>
          </w:p>
        </w:tc>
      </w:tr>
      <w:tr>
        <w:tc>
          <w:tcPr>
            <w:tcW w:type="dxa" w:w="2500"/>
            <w:tcMar>
              <w:top w:type="dxa" w:w="60"/>
              <w:left w:type="dxa" w:w="90"/>
              <w:bottom w:type="dxa" w:w="60"/>
              <w:right w:type="dxa" w:w="90"/>
            </w:tcMar>
          </w:tcPr>
          <w:p>
            <w:pPr>
              <w:spacing w:after="0" w:line="250"/>
            </w:pPr>
            <w:r>
              <w:rPr>
                <w:rFonts w:ascii="Consolas" w:cs="Consolas" w:eastAsia="Consolas" w:hAnsi="Consolas"/>
                <w:sz w:val="16"/>
                <w:szCs w:val="16"/>
              </w:rPr>
              <w:t xml:space="preserve">SORT_BUDGET_MS</w:t>
            </w:r>
          </w:p>
        </w:tc>
        <w:tc>
          <w:tcPr>
            <w:tcW w:type="dxa" w:w="2500"/>
            <w:tcMar>
              <w:top w:type="dxa" w:w="60"/>
              <w:left w:type="dxa" w:w="90"/>
              <w:bottom w:type="dxa" w:w="60"/>
              <w:right w:type="dxa" w:w="90"/>
            </w:tcMar>
          </w:tcPr>
          <w:p>
            <w:pPr>
              <w:spacing w:after="0" w:line="250"/>
            </w:pPr>
            <w:r>
              <w:rPr>
                <w:sz w:val="18"/>
                <w:szCs w:val="18"/>
              </w:rPr>
              <w:t xml:space="preserve">45,000</w:t>
            </w:r>
          </w:p>
        </w:tc>
        <w:tc>
          <w:tcPr>
            <w:tcW w:type="dxa" w:w="4360"/>
            <w:tcMar>
              <w:top w:type="dxa" w:w="60"/>
              <w:left w:type="dxa" w:w="90"/>
              <w:bottom w:type="dxa" w:w="60"/>
              <w:right w:type="dxa" w:w="90"/>
            </w:tcMar>
          </w:tcPr>
          <w:p>
            <w:pPr>
              <w:spacing w:after="0" w:line="250"/>
            </w:pPr>
            <w:r>
              <w:rPr>
                <w:sz w:val="18"/>
                <w:szCs w:val="18"/>
              </w:rPr>
              <w:t xml:space="preserve">Against the route's 60s maxDuration</w:t>
            </w:r>
          </w:p>
        </w:tc>
      </w:tr>
      <w:tr>
        <w:tc>
          <w:tcPr>
            <w:tcW w:type="dxa" w:w="2500"/>
            <w:tcMar>
              <w:top w:type="dxa" w:w="60"/>
              <w:left w:type="dxa" w:w="90"/>
              <w:bottom w:type="dxa" w:w="60"/>
              <w:right w:type="dxa" w:w="90"/>
            </w:tcMar>
          </w:tcPr>
          <w:p>
            <w:pPr>
              <w:spacing w:after="0" w:line="250"/>
            </w:pPr>
            <w:r>
              <w:rPr>
                <w:rFonts w:ascii="Consolas" w:cs="Consolas" w:eastAsia="Consolas" w:hAnsi="Consolas"/>
                <w:sz w:val="16"/>
                <w:szCs w:val="16"/>
              </w:rPr>
              <w:t xml:space="preserve">Default row limit</w:t>
            </w:r>
          </w:p>
        </w:tc>
        <w:tc>
          <w:tcPr>
            <w:tcW w:type="dxa" w:w="2500"/>
            <w:tcMar>
              <w:top w:type="dxa" w:w="60"/>
              <w:left w:type="dxa" w:w="90"/>
              <w:bottom w:type="dxa" w:w="60"/>
              <w:right w:type="dxa" w:w="90"/>
            </w:tcMar>
          </w:tcPr>
          <w:p>
            <w:pPr>
              <w:spacing w:after="0" w:line="250"/>
            </w:pPr>
            <w:r>
              <w:rPr>
                <w:sz w:val="18"/>
                <w:szCs w:val="18"/>
              </w:rPr>
              <w:t xml:space="preserve">500</w:t>
            </w:r>
          </w:p>
        </w:tc>
        <w:tc>
          <w:tcPr>
            <w:tcW w:type="dxa" w:w="4360"/>
            <w:tcMar>
              <w:top w:type="dxa" w:w="60"/>
              <w:left w:type="dxa" w:w="90"/>
              <w:bottom w:type="dxa" w:w="60"/>
              <w:right w:type="dxa" w:w="90"/>
            </w:tcMar>
          </w:tcPr>
          <w:p>
            <w:pPr>
              <w:spacing w:after="0" w:line="250"/>
            </w:pPr>
            <w:r>
              <w:rPr>
                <w:sz w:val="18"/>
                <w:szCs w:val="18"/>
              </w:rPr>
              <w:t xml:space="preserve">Per pass</w:t>
            </w:r>
          </w:p>
        </w:tc>
      </w:tr>
      <w:tr>
        <w:tc>
          <w:tcPr>
            <w:tcW w:type="dxa" w:w="2500"/>
            <w:tcMar>
              <w:top w:type="dxa" w:w="60"/>
              <w:left w:type="dxa" w:w="90"/>
              <w:bottom w:type="dxa" w:w="60"/>
              <w:right w:type="dxa" w:w="90"/>
            </w:tcMar>
          </w:tcPr>
          <w:p>
            <w:pPr>
              <w:spacing w:after="0" w:line="250"/>
            </w:pPr>
            <w:r>
              <w:rPr>
                <w:rFonts w:ascii="Consolas" w:cs="Consolas" w:eastAsia="Consolas" w:hAnsi="Consolas"/>
                <w:sz w:val="16"/>
                <w:szCs w:val="16"/>
              </w:rPr>
              <w:t xml:space="preserve">Selection</w:t>
            </w:r>
          </w:p>
        </w:tc>
        <w:tc>
          <w:tcPr>
            <w:tcW w:type="dxa" w:w="2500"/>
            <w:tcMar>
              <w:top w:type="dxa" w:w="60"/>
              <w:left w:type="dxa" w:w="90"/>
              <w:bottom w:type="dxa" w:w="60"/>
              <w:right w:type="dxa" w:w="90"/>
            </w:tcMar>
          </w:tcPr>
          <w:p>
            <w:pPr>
              <w:spacing w:after="0" w:line="250"/>
            </w:pPr>
            <w:r>
              <w:rPr>
                <w:sz w:val="18"/>
                <w:szCs w:val="18"/>
              </w:rPr>
              <w:t xml:space="preserve">ai_sorting_status = 'pending'</w:t>
            </w:r>
          </w:p>
        </w:tc>
        <w:tc>
          <w:tcPr>
            <w:tcW w:type="dxa" w:w="4360"/>
            <w:tcMar>
              <w:top w:type="dxa" w:w="60"/>
              <w:left w:type="dxa" w:w="90"/>
              <w:bottom w:type="dxa" w:w="60"/>
              <w:right w:type="dxa" w:w="90"/>
            </w:tcMar>
          </w:tcPr>
          <w:p>
            <w:pPr>
              <w:spacing w:after="0" w:line="250"/>
            </w:pPr>
            <w:r>
              <w:rPr>
                <w:sz w:val="18"/>
                <w:szCs w:val="18"/>
              </w:rPr>
              <w:t xml:space="preserve">Oldest first by ingested_at</w:t>
            </w:r>
          </w:p>
        </w:tc>
      </w:tr>
    </w:tbl>
    <w:p>
      <w:pPr>
        <w:spacing w:after="120" w:line="276"/>
      </w:pPr>
      <w:r>
        <w:rPr>
          <w:sz w:val="21"/>
          <w:szCs w:val="21"/>
        </w:rPr>
        <w:t xml:space="preserve"/>
      </w:r>
    </w:p>
    <w:p>
      <w:pPr>
        <w:spacing w:after="90" w:line="276"/>
      </w:pPr>
      <w:r>
        <w:rPr>
          <w:sz w:val="21"/>
          <w:szCs w:val="21"/>
        </w:rPr>
        <w:t xml:space="preserve">Selection by status rather than by article id is the load-bearing design choice. An earlier version ran sorting as a hook on the ids a given ingestion run had just inserted, deferred via Next.js after(). Because after() defers past the response but not past the function's maximum duration, a run whose fetch consumed its budget left its own articles unsorted with nothing scheduled to revisit them. 125 rows accumulated over five days.</w:t>
      </w:r>
    </w:p>
    <w:p>
      <w:pPr>
        <w:spacing w:after="90" w:line="276"/>
      </w:pPr>
      <w:r>
        <w:rPr>
          <w:sz w:val="21"/>
          <w:szCs w:val="21"/>
        </w:rPr>
        <w:t xml:space="preserve">A pass keyed on what is outstanding cannot leave a permanent hole. It is also idempotent, so overlapping passes are safe, and every verdict is written the moment it is produced — a pass that stops at article 40 of 120 has banked 40 verdicts and the next starts at 41.</w:t>
      </w:r>
    </w:p>
    <w:p>
      <w:pPr>
        <w:spacing w:after="180" w:line="276"/>
      </w:pPr>
      <w:r>
        <w:rPr>
          <w:sz w:val="21"/>
          <w:szCs w:val="21"/>
        </w:rPr>
        <w:t xml:space="preserve">The response schema orders reasoning before the verdict. The model commits to a justification before committing to a decision, which the source records as measurably steadying borderline calls.</w:t>
      </w:r>
    </w:p>
    <w:p>
      <w:r>
        <w:br w:type="page"/>
      </w:r>
    </w:p>
    <w:p>
      <w:pPr>
        <w:pStyle w:val="Heading1"/>
        <w:spacing w:after="130" w:before="260"/>
      </w:pPr>
      <w:r>
        <w:rPr>
          <w:b/>
          <w:bCs/>
          <w:color w:val="1F3864"/>
        </w:rPr>
        <w:t xml:space="preserve">6. Stage 5: coding</w:t>
      </w:r>
    </w:p>
    <w:p>
      <w:pPr>
        <w:spacing w:after="120" w:line="276"/>
      </w:pPr>
      <w:r>
        <w:rPr>
          <w:sz w:val="21"/>
          <w:szCs w:val="21"/>
        </w:rPr>
        <w:t xml:space="preserve">Coding is the analytical core. It is manual and batched — it is the only stage that costs money per article, and nothing fires it automatically. It produces five outputs per article: themes, an impact rationale, an impact classification, a favourability grade, a relevance score and a summary.</w:t>
      </w:r>
    </w:p>
    <w:p>
      <w:pPr>
        <w:spacing w:after="140" w:line="276"/>
      </w:pPr>
      <w:r>
        <w:rPr>
          <w:sz w:val="21"/>
          <w:szCs w:val="21"/>
        </w:rPr>
        <w:t xml:space="preserve">Coding is gated on sorting. The gate is enforced twice: the batch query filters on ai_sorting_status = 'complete', and assertSorted() throws if any row reaching the coder is unsorted. The source is explicit that the assertion exists because a query condition can be quietly wrong — the previous filter read as a gate and let every unsorted row through, and 28 articles were coded without ever being screened.</w:t>
      </w:r>
    </w:p>
    <w:p>
      <w:pPr>
        <w:pStyle w:val="Heading2"/>
        <w:spacing w:after="130" w:before="260"/>
      </w:pPr>
      <w:r>
        <w:rPr>
          <w:b/>
          <w:bCs/>
          <w:color w:val="1F3864"/>
        </w:rPr>
        <w:t xml:space="preserve">6.1 The subject of measurement</w:t>
      </w:r>
    </w:p>
    <w:p>
      <w:pPr>
        <w:spacing w:after="120" w:line="276"/>
      </w:pPr>
      <w:r>
        <w:rPr>
          <w:sz w:val="21"/>
          <w:szCs w:val="21"/>
        </w:rPr>
        <w:t xml:space="preserve">Stated once, as a single constant, and described in the source as the most consequential choice in the file:</w:t>
      </w:r>
    </w:p>
    <w:p>
      <w:pPr>
        <w:pBdr>
          <w:left w:val="single" w:color="1F3864" w:sz="12" w:space="6"/>
        </w:pBdr>
        <w:shd w:fill="F2F2F2" w:val="clear"/>
        <w:spacing w:after="140" w:before="60"/>
      </w:pPr>
      <w:r>
        <w:rPr>
          <w:rFonts w:ascii="Consolas" w:cs="Consolas" w:eastAsia="Consolas" w:hAnsi="Consolas"/>
          <w:sz w:val="17"/>
          <w:szCs w:val="17"/>
        </w:rPr>
        <w:t xml:space="preserve">NESTLÉ'S ABILITY TO MOVE ITS OWN CONTAINERS THROUGH ASIA,</w:t>
      </w:r>
      <w:r>
        <w:br/>
      </w:r>
      <w:r>
        <w:rPr>
          <w:rFonts w:ascii="Consolas" w:cs="Consolas" w:eastAsia="Consolas" w:hAnsi="Consolas"/>
          <w:sz w:val="17"/>
          <w:szCs w:val="17"/>
        </w:rPr>
        <w:t xml:space="preserve">OCEANIA AND AFRICA (AOA).</w:t>
      </w:r>
      <w:r>
        <w:br/>
      </w:r>
      <w:r>
        <w:rPr>
          <w:rFonts w:ascii="Consolas" w:cs="Consolas" w:eastAsia="Consolas" w:hAnsi="Consolas"/>
          <w:sz w:val="17"/>
          <w:szCs w:val="17"/>
        </w:rPr>
        <w:t xml:space="preserve"/>
      </w:r>
      <w:r>
        <w:br/>
      </w:r>
      <w:r>
        <w:rPr>
          <w:rFonts w:ascii="Consolas" w:cs="Consolas" w:eastAsia="Consolas" w:hAnsi="Consolas"/>
          <w:sz w:val="17"/>
          <w:szCs w:val="17"/>
        </w:rPr>
        <w:t xml:space="preserve">Does this event make Nestlé's container movement in AOA harder,</w:t>
      </w:r>
      <w:r>
        <w:br/>
      </w:r>
      <w:r>
        <w:rPr>
          <w:rFonts w:ascii="Consolas" w:cs="Consolas" w:eastAsia="Consolas" w:hAnsi="Consolas"/>
          <w:sz w:val="17"/>
          <w:szCs w:val="17"/>
        </w:rPr>
        <w:t xml:space="preserve">slower, less predictable or more expensive — or easier, faster,</w:t>
      </w:r>
      <w:r>
        <w:br/>
      </w:r>
      <w:r>
        <w:rPr>
          <w:rFonts w:ascii="Consolas" w:cs="Consolas" w:eastAsia="Consolas" w:hAnsi="Consolas"/>
          <w:sz w:val="17"/>
          <w:szCs w:val="17"/>
        </w:rPr>
        <w:t xml:space="preserve">more predictable or cheaper?</w:t>
      </w:r>
      <w:r>
        <w:br/>
      </w:r>
      <w:r>
        <w:rPr>
          <w:rFonts w:ascii="Consolas" w:cs="Consolas" w:eastAsia="Consolas" w:hAnsi="Consolas"/>
          <w:sz w:val="17"/>
          <w:szCs w:val="17"/>
        </w:rPr>
        <w:t xml:space="preserve"/>
      </w:r>
      <w:r>
        <w:br/>
      </w:r>
      <w:r>
        <w:rPr>
          <w:rFonts w:ascii="Consolas" w:cs="Consolas" w:eastAsia="Consolas" w:hAnsi="Consolas"/>
          <w:sz w:val="17"/>
          <w:szCs w:val="17"/>
        </w:rPr>
        <w:t xml:space="preserve">It is NOT whether the news sounds positive.</w:t>
      </w:r>
      <w:r>
        <w:br/>
      </w:r>
      <w:r>
        <w:rPr>
          <w:rFonts w:ascii="Consolas" w:cs="Consolas" w:eastAsia="Consolas" w:hAnsi="Consolas"/>
          <w:sz w:val="17"/>
          <w:szCs w:val="17"/>
        </w:rPr>
        <w:t xml:space="preserve">It is NOT whether it is good for the carrier, the port, the</w:t>
      </w:r>
      <w:r>
        <w:br/>
      </w:r>
      <w:r>
        <w:rPr>
          <w:rFonts w:ascii="Consolas" w:cs="Consolas" w:eastAsia="Consolas" w:hAnsi="Consolas"/>
          <w:sz w:val="17"/>
          <w:szCs w:val="17"/>
        </w:rPr>
        <w:t xml:space="preserve">terminal operator, the technology vendor or the industry.</w:t>
      </w:r>
    </w:p>
    <w:p>
      <w:pPr>
        <w:spacing w:after="140" w:line="276"/>
      </w:pPr>
      <w:r>
        <w:rPr>
          <w:sz w:val="21"/>
          <w:szCs w:val="21"/>
        </w:rPr>
        <w:t xml:space="preserve">An earlier formulation measured impact on "a beneficial cargo owner". Measured over 161 rows that produced a top grade for a new crane at Antwerp and for a vendor joining a standards body, because both are cheerful news for someone in container shipping.</w:t>
      </w:r>
    </w:p>
    <w:p>
      <w:pPr>
        <w:pStyle w:val="Heading2"/>
        <w:spacing w:after="130" w:before="260"/>
      </w:pPr>
      <w:r>
        <w:rPr>
          <w:b/>
          <w:bCs/>
          <w:color w:val="1F3864"/>
        </w:rPr>
        <w:t xml:space="preserve">6.2 The two-limb impact test</w:t>
      </w:r>
    </w:p>
    <w:p>
      <w:pPr>
        <w:spacing w:after="120" w:line="276"/>
      </w:pPr>
      <w:r>
        <w:rPr>
          <w:sz w:val="21"/>
          <w:szCs w:val="21"/>
        </w:rPr>
        <w:t xml:space="preserve">An article names an impact when it identifies either of two things. The source states them as equals, and states that the second is not a weaker version of the first:</w:t>
      </w:r>
    </w:p>
    <w:p>
      <w:pPr>
        <w:pStyle w:val="ListParagraph"/>
        <w:numPr>
          <w:ilvl w:val="0"/>
          <w:numId w:val="2"/>
        </w:numPr>
        <w:spacing w:after="70" w:line="268"/>
      </w:pPr>
      <w:r>
        <w:rPr>
          <w:sz w:val="21"/>
          <w:szCs w:val="21"/>
        </w:rPr>
        <w:t xml:space="preserve">SPECIFIC — a particular lane, port, terminal, carrier service, surcharge or cost. "Berth waiting at Colombo up two days."</w:t>
      </w:r>
    </w:p>
    <w:p>
      <w:pPr>
        <w:pStyle w:val="ListParagraph"/>
        <w:numPr>
          <w:ilvl w:val="0"/>
          <w:numId w:val="2"/>
        </w:numPr>
        <w:spacing w:after="70" w:line="268"/>
      </w:pPr>
      <w:r>
        <w:rPr>
          <w:sz w:val="21"/>
          <w:szCs w:val="21"/>
        </w:rPr>
        <w:t xml:space="preserve">MARKET-WIDE — a movement in freight rates, vessel capacity, schedule reliability, transit times or routing across trades Nestlé AOA uses. "Global schedule reliability falls to 62.6%."</w:t>
      </w:r>
    </w:p>
    <w:p>
      <w:pPr>
        <w:spacing w:after="90" w:line="276"/>
      </w:pPr>
      <w:r>
        <w:rPr>
          <w:sz w:val="21"/>
          <w:szCs w:val="21"/>
        </w:rPr>
        <w:t xml:space="preserve">Limb (b) requires no proper noun. The prompt states that asking for one is an error, and that observing an article names no specific lane is true and irrelevant when it reports a market-wide movement.</w:t>
      </w:r>
    </w:p>
    <w:p>
      <w:pPr>
        <w:spacing w:after="140" w:line="276"/>
      </w:pPr>
      <w:r>
        <w:rPr>
          <w:sz w:val="21"/>
          <w:szCs w:val="21"/>
        </w:rPr>
        <w:t xml:space="preserve">This limb was added after measurement. The single-limb version tested whether a proper noun was present rather than whether an impact was, and market-wide news names no single lane precisely because it moves all of them. Over 268 rows it produced 199 Neutral articles, 197 of them below relevance 20, with 98 rationales carrying near-verbatim the same sentence. One of the articles so graded carried the figure "global schedule reliability fell from 64.5% in May to 62.6% in June" in its body — a quantified deterioration in every service Nestlé books, recorded as not mattering because no berth was named.</w:t>
      </w:r>
    </w:p>
    <w:p>
      <w:pPr>
        <w:pStyle w:val="Heading3"/>
        <w:spacing w:after="130" w:before="260"/>
      </w:pPr>
      <w:r>
        <w:rPr>
          <w:b/>
          <w:bCs/>
          <w:color w:val="1F3864"/>
        </w:rPr>
        <w:t xml:space="preserve">6.3 Outlooks</w:t>
      </w:r>
    </w:p>
    <w:p>
      <w:pPr>
        <w:spacing w:after="140" w:line="276"/>
      </w:pPr>
      <w:r>
        <w:rPr>
          <w:sz w:val="21"/>
          <w:szCs w:val="21"/>
        </w:rPr>
        <w:t xml:space="preserve">An article framed as an outlook or forecast is not automatically speculation. The test is what it is built on: a condition already in effect means the article reports that live condition and the condition is graded; a condition that does not yet exist is speculation and scores 'none'. The prompt states that the word "outlook" tells you the framing, not the substance.</w:t>
      </w:r>
    </w:p>
    <w:p>
      <w:pPr>
        <w:pStyle w:val="Heading2"/>
        <w:spacing w:after="130" w:before="260"/>
      </w:pPr>
      <w:r>
        <w:rPr>
          <w:b/>
          <w:bCs/>
          <w:color w:val="1F3864"/>
        </w:rPr>
        <w:t xml:space="preserve">6.4 Direction for market-wide movements</w:t>
      </w:r>
    </w:p>
    <w:p>
      <w:pPr>
        <w:spacing w:after="120" w:line="276"/>
      </w:pPr>
      <w:r>
        <w:rPr>
          <w:sz w:val="21"/>
          <w:szCs w:val="21"/>
        </w:rPr>
        <w:t xml:space="preserve">Direction is not a judgement call and is supplied as a table, because the model was reliably getting direction right for named events and defaulting to Neutral for market 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rPr>
          <w:tblHeader/>
        </w:trPr>
        <w:tc>
          <w:tcPr>
            <w:tcW w:type="dxa" w:w="5600"/>
            <w:shd w:fill="D9E2F3" w:val="clear"/>
            <w:tcMar>
              <w:top w:type="dxa" w:w="60"/>
              <w:left w:type="dxa" w:w="90"/>
              <w:bottom w:type="dxa" w:w="60"/>
              <w:right w:type="dxa" w:w="90"/>
            </w:tcMar>
          </w:tcPr>
          <w:p>
            <w:pPr>
              <w:spacing w:after="0" w:line="250"/>
            </w:pPr>
            <w:r>
              <w:rPr>
                <w:b/>
                <w:bCs/>
                <w:sz w:val="18"/>
                <w:szCs w:val="18"/>
              </w:rPr>
              <w:t xml:space="preserve">Movement</w:t>
            </w:r>
          </w:p>
        </w:tc>
        <w:tc>
          <w:tcPr>
            <w:tcW w:type="dxa" w:w="3760"/>
            <w:shd w:fill="D9E2F3" w:val="clear"/>
            <w:tcMar>
              <w:top w:type="dxa" w:w="60"/>
              <w:left w:type="dxa" w:w="90"/>
              <w:bottom w:type="dxa" w:w="60"/>
              <w:right w:type="dxa" w:w="90"/>
            </w:tcMar>
          </w:tcPr>
          <w:p>
            <w:pPr>
              <w:spacing w:after="0" w:line="250"/>
            </w:pPr>
            <w:r>
              <w:rPr>
                <w:b/>
                <w:bCs/>
                <w:sz w:val="18"/>
                <w:szCs w:val="18"/>
              </w:rPr>
              <w:t xml:space="preserve">Direction</w:t>
            </w:r>
          </w:p>
        </w:tc>
      </w:tr>
      <w:tr>
        <w:tc>
          <w:tcPr>
            <w:tcW w:type="dxa" w:w="5600"/>
            <w:tcMar>
              <w:top w:type="dxa" w:w="60"/>
              <w:left w:type="dxa" w:w="90"/>
              <w:bottom w:type="dxa" w:w="60"/>
              <w:right w:type="dxa" w:w="90"/>
            </w:tcMar>
          </w:tcPr>
          <w:p>
            <w:pPr>
              <w:spacing w:after="0" w:line="250"/>
            </w:pPr>
            <w:r>
              <w:rPr>
                <w:sz w:val="18"/>
                <w:szCs w:val="18"/>
              </w:rPr>
              <w:t xml:space="preserve">Rates rising / falling</w:t>
            </w:r>
          </w:p>
        </w:tc>
        <w:tc>
          <w:tcPr>
            <w:tcW w:type="dxa" w:w="3760"/>
            <w:tcMar>
              <w:top w:type="dxa" w:w="60"/>
              <w:left w:type="dxa" w:w="90"/>
              <w:bottom w:type="dxa" w:w="60"/>
              <w:right w:type="dxa" w:w="90"/>
            </w:tcMar>
          </w:tcPr>
          <w:p>
            <w:pPr>
              <w:spacing w:after="0" w:line="250"/>
            </w:pPr>
            <w:r>
              <w:rPr>
                <w:sz w:val="18"/>
                <w:szCs w:val="18"/>
              </w:rPr>
              <w:t xml:space="preserve">Unfavourable / Favourable</w:t>
            </w:r>
          </w:p>
        </w:tc>
      </w:tr>
      <w:tr>
        <w:tc>
          <w:tcPr>
            <w:tcW w:type="dxa" w:w="5600"/>
            <w:tcMar>
              <w:top w:type="dxa" w:w="60"/>
              <w:left w:type="dxa" w:w="90"/>
              <w:bottom w:type="dxa" w:w="60"/>
              <w:right w:type="dxa" w:w="90"/>
            </w:tcMar>
          </w:tcPr>
          <w:p>
            <w:pPr>
              <w:spacing w:after="0" w:line="250"/>
            </w:pPr>
            <w:r>
              <w:rPr>
                <w:sz w:val="18"/>
                <w:szCs w:val="18"/>
              </w:rPr>
              <w:t xml:space="preserve">Schedule reliability deteriorating / improving</w:t>
            </w:r>
          </w:p>
        </w:tc>
        <w:tc>
          <w:tcPr>
            <w:tcW w:type="dxa" w:w="3760"/>
            <w:tcMar>
              <w:top w:type="dxa" w:w="60"/>
              <w:left w:type="dxa" w:w="90"/>
              <w:bottom w:type="dxa" w:w="60"/>
              <w:right w:type="dxa" w:w="90"/>
            </w:tcMar>
          </w:tcPr>
          <w:p>
            <w:pPr>
              <w:spacing w:after="0" w:line="250"/>
            </w:pPr>
            <w:r>
              <w:rPr>
                <w:sz w:val="18"/>
                <w:szCs w:val="18"/>
              </w:rPr>
              <w:t xml:space="preserve">Unfavourable / Favourable</w:t>
            </w:r>
          </w:p>
        </w:tc>
      </w:tr>
      <w:tr>
        <w:tc>
          <w:tcPr>
            <w:tcW w:type="dxa" w:w="5600"/>
            <w:tcMar>
              <w:top w:type="dxa" w:w="60"/>
              <w:left w:type="dxa" w:w="90"/>
              <w:bottom w:type="dxa" w:w="60"/>
              <w:right w:type="dxa" w:w="90"/>
            </w:tcMar>
          </w:tcPr>
          <w:p>
            <w:pPr>
              <w:spacing w:after="0" w:line="250"/>
            </w:pPr>
            <w:r>
              <w:rPr>
                <w:sz w:val="18"/>
                <w:szCs w:val="18"/>
              </w:rPr>
              <w:t xml:space="preserve">Congestion worsening / easing at AOA ports</w:t>
            </w:r>
          </w:p>
        </w:tc>
        <w:tc>
          <w:tcPr>
            <w:tcW w:type="dxa" w:w="3760"/>
            <w:tcMar>
              <w:top w:type="dxa" w:w="60"/>
              <w:left w:type="dxa" w:w="90"/>
              <w:bottom w:type="dxa" w:w="60"/>
              <w:right w:type="dxa" w:w="90"/>
            </w:tcMar>
          </w:tcPr>
          <w:p>
            <w:pPr>
              <w:spacing w:after="0" w:line="250"/>
            </w:pPr>
            <w:r>
              <w:rPr>
                <w:sz w:val="18"/>
                <w:szCs w:val="18"/>
              </w:rPr>
              <w:t xml:space="preserve">Unfavourable / Favourable</w:t>
            </w:r>
          </w:p>
        </w:tc>
      </w:tr>
      <w:tr>
        <w:tc>
          <w:tcPr>
            <w:tcW w:type="dxa" w:w="5600"/>
            <w:tcMar>
              <w:top w:type="dxa" w:w="60"/>
              <w:left w:type="dxa" w:w="90"/>
              <w:bottom w:type="dxa" w:w="60"/>
              <w:right w:type="dxa" w:w="90"/>
            </w:tcMar>
          </w:tcPr>
          <w:p>
            <w:pPr>
              <w:spacing w:after="0" w:line="250"/>
            </w:pPr>
            <w:r>
              <w:rPr>
                <w:sz w:val="18"/>
                <w:szCs w:val="18"/>
              </w:rPr>
              <w:t xml:space="preserve">Transit times lengthening / shortening</w:t>
            </w:r>
          </w:p>
        </w:tc>
        <w:tc>
          <w:tcPr>
            <w:tcW w:type="dxa" w:w="3760"/>
            <w:tcMar>
              <w:top w:type="dxa" w:w="60"/>
              <w:left w:type="dxa" w:w="90"/>
              <w:bottom w:type="dxa" w:w="60"/>
              <w:right w:type="dxa" w:w="90"/>
            </w:tcMar>
          </w:tcPr>
          <w:p>
            <w:pPr>
              <w:spacing w:after="0" w:line="250"/>
            </w:pPr>
            <w:r>
              <w:rPr>
                <w:sz w:val="18"/>
                <w:szCs w:val="18"/>
              </w:rPr>
              <w:t xml:space="preserve">Unfavourable / Favourable</w:t>
            </w:r>
          </w:p>
        </w:tc>
      </w:tr>
      <w:tr>
        <w:tc>
          <w:tcPr>
            <w:tcW w:type="dxa" w:w="5600"/>
            <w:tcMar>
              <w:top w:type="dxa" w:w="60"/>
              <w:left w:type="dxa" w:w="90"/>
              <w:bottom w:type="dxa" w:w="60"/>
              <w:right w:type="dxa" w:w="90"/>
            </w:tcMar>
          </w:tcPr>
          <w:p>
            <w:pPr>
              <w:spacing w:after="0" w:line="250"/>
            </w:pPr>
            <w:r>
              <w:rPr>
                <w:sz w:val="18"/>
                <w:szCs w:val="18"/>
              </w:rPr>
              <w:t xml:space="preserve">Capacity withdrawn from / added to a trade</w:t>
            </w:r>
          </w:p>
        </w:tc>
        <w:tc>
          <w:tcPr>
            <w:tcW w:type="dxa" w:w="3760"/>
            <w:tcMar>
              <w:top w:type="dxa" w:w="60"/>
              <w:left w:type="dxa" w:w="90"/>
              <w:bottom w:type="dxa" w:w="60"/>
              <w:right w:type="dxa" w:w="90"/>
            </w:tcMar>
          </w:tcPr>
          <w:p>
            <w:pPr>
              <w:spacing w:after="0" w:line="250"/>
            </w:pPr>
            <w:r>
              <w:rPr>
                <w:sz w:val="18"/>
                <w:szCs w:val="18"/>
              </w:rPr>
              <w:t xml:space="preserve">Unfavourable / Favourable</w:t>
            </w:r>
          </w:p>
        </w:tc>
      </w:tr>
      <w:tr>
        <w:tc>
          <w:tcPr>
            <w:tcW w:type="dxa" w:w="5600"/>
            <w:tcMar>
              <w:top w:type="dxa" w:w="60"/>
              <w:left w:type="dxa" w:w="90"/>
              <w:bottom w:type="dxa" w:w="60"/>
              <w:right w:type="dxa" w:w="90"/>
            </w:tcMar>
          </w:tcPr>
          <w:p>
            <w:pPr>
              <w:spacing w:after="0" w:line="250"/>
            </w:pPr>
            <w:r>
              <w:rPr>
                <w:sz w:val="18"/>
                <w:szCs w:val="18"/>
              </w:rPr>
              <w:t xml:space="preserve">Routing forced onto longer / restored to shorter corridor</w:t>
            </w:r>
          </w:p>
        </w:tc>
        <w:tc>
          <w:tcPr>
            <w:tcW w:type="dxa" w:w="3760"/>
            <w:tcMar>
              <w:top w:type="dxa" w:w="60"/>
              <w:left w:type="dxa" w:w="90"/>
              <w:bottom w:type="dxa" w:w="60"/>
              <w:right w:type="dxa" w:w="90"/>
            </w:tcMar>
          </w:tcPr>
          <w:p>
            <w:pPr>
              <w:spacing w:after="0" w:line="250"/>
            </w:pPr>
            <w:r>
              <w:rPr>
                <w:sz w:val="18"/>
                <w:szCs w:val="18"/>
              </w:rPr>
              <w:t xml:space="preserve">Unfavourable / Favourable</w:t>
            </w:r>
          </w:p>
        </w:tc>
      </w:tr>
    </w:tbl>
    <w:p>
      <w:pPr>
        <w:spacing w:after="120" w:line="276"/>
      </w:pPr>
      <w:r>
        <w:rPr>
          <w:sz w:val="21"/>
          <w:szCs w:val="21"/>
        </w:rPr>
        <w:t xml:space="preserve"/>
      </w:r>
    </w:p>
    <w:p>
      <w:pPr>
        <w:spacing w:after="160" w:line="276"/>
      </w:pPr>
      <w:r>
        <w:rPr>
          <w:sz w:val="21"/>
          <w:szCs w:val="21"/>
        </w:rPr>
        <w:t xml:space="preserve">The rule is to read direction from what moves, not from the tone of coverage. A rate rally is cheerful news for carriers and reported as such; it is a cost increase to Nestlé and therefore unfavourable.</w:t>
      </w:r>
    </w:p>
    <w:p>
      <w:pPr>
        <w:pStyle w:val="Heading2"/>
        <w:spacing w:after="130" w:before="260"/>
      </w:pPr>
      <w:r>
        <w:rPr>
          <w:b/>
          <w:bCs/>
          <w:color w:val="1F3864"/>
        </w:rPr>
        <w:t xml:space="preserve">6.5 The two axes</w:t>
      </w:r>
    </w:p>
    <w:p>
      <w:pPr>
        <w:spacing w:after="120" w:line="276"/>
      </w:pPr>
      <w:r>
        <w:rPr>
          <w:sz w:val="21"/>
          <w:szCs w:val="21"/>
        </w:rPr>
        <w:t xml:space="preserve">Direction and magnitude are stored separately and are decided independently.</w:t>
      </w:r>
    </w:p>
    <w:p>
      <w:pPr>
        <w:spacing w:after="90" w:line="276"/>
      </w:pPr>
      <w:r>
        <w:rPr>
          <w:sz w:val="21"/>
          <w:szCs w:val="21"/>
        </w:rPr>
        <w:t xml:space="preserve">articles.ai_sentiment holds a five-point favourability tier: Very unfavourable, Unfavourable, Neutral, Favourable, Very favourable. Every anchor in the prompt is a real article from this corpus. The source notes that an abstract definition is a vocabulary which the model fills with its own calibration, whereas worked examples are a scale — and a scale is what stops a crane and a typhoon sharing a grade.</w:t>
      </w:r>
    </w:p>
    <w:p>
      <w:pPr>
        <w:spacing w:after="90" w:line="276"/>
      </w:pPr>
      <w:r>
        <w:rPr>
          <w:sz w:val="21"/>
          <w:szCs w:val="21"/>
        </w:rPr>
        <w:t xml:space="preserve">Neutral carries two distinct populations. The common one is an article that fails both limbs of the impact test. The second is an article naming a real, material effect that genuinely cuts both ways, so no direction can honestly be assigned — such an article is Neutral with a high relevance score, because the direction is unresolved but the stakes are not.</w:t>
      </w:r>
    </w:p>
    <w:p>
      <w:pPr>
        <w:spacing w:after="120" w:line="276"/>
      </w:pPr>
      <w:r>
        <w:rPr>
          <w:sz w:val="21"/>
          <w:szCs w:val="21"/>
        </w:rPr>
        <w:t xml:space="preserve">articles.ai_relevance_score holds magnitude, 0 to 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shd w:fill="D9E2F3" w:val="clear"/>
            <w:tcMar>
              <w:top w:type="dxa" w:w="60"/>
              <w:left w:type="dxa" w:w="90"/>
              <w:bottom w:type="dxa" w:w="60"/>
              <w:right w:type="dxa" w:w="90"/>
            </w:tcMar>
          </w:tcPr>
          <w:p>
            <w:pPr>
              <w:spacing w:after="0" w:line="250"/>
            </w:pPr>
            <w:r>
              <w:rPr>
                <w:b/>
                <w:bCs/>
                <w:sz w:val="18"/>
                <w:szCs w:val="18"/>
              </w:rPr>
              <w:t xml:space="preserve">Band</w:t>
            </w:r>
          </w:p>
        </w:tc>
        <w:tc>
          <w:tcPr>
            <w:tcW w:type="dxa" w:w="7960"/>
            <w:shd w:fill="D9E2F3" w:val="clear"/>
            <w:tcMar>
              <w:top w:type="dxa" w:w="60"/>
              <w:left w:type="dxa" w:w="90"/>
              <w:bottom w:type="dxa" w:w="60"/>
              <w:right w:type="dxa" w:w="90"/>
            </w:tcMar>
          </w:tcPr>
          <w:p>
            <w:pPr>
              <w:spacing w:after="0" w:line="250"/>
            </w:pPr>
            <w:r>
              <w:rPr>
                <w:b/>
                <w:bCs/>
                <w:sz w:val="18"/>
                <w:szCs w:val="18"/>
              </w:rPr>
              <w:t xml:space="preserve">Meaning</w:t>
            </w:r>
          </w:p>
        </w:tc>
      </w:tr>
      <w:tr>
        <w:tc>
          <w:tcPr>
            <w:tcW w:type="dxa" w:w="1400"/>
            <w:tcMar>
              <w:top w:type="dxa" w:w="60"/>
              <w:left w:type="dxa" w:w="90"/>
              <w:bottom w:type="dxa" w:w="60"/>
              <w:right w:type="dxa" w:w="90"/>
            </w:tcMar>
          </w:tcPr>
          <w:p>
            <w:pPr>
              <w:spacing w:after="0" w:line="250"/>
            </w:pPr>
            <w:r>
              <w:rPr>
                <w:rFonts w:ascii="Consolas" w:cs="Consolas" w:eastAsia="Consolas" w:hAnsi="Consolas"/>
                <w:sz w:val="16"/>
                <w:szCs w:val="16"/>
              </w:rPr>
              <w:t xml:space="preserve">80–100</w:t>
            </w:r>
          </w:p>
        </w:tc>
        <w:tc>
          <w:tcPr>
            <w:tcW w:type="dxa" w:w="7960"/>
            <w:tcMar>
              <w:top w:type="dxa" w:w="60"/>
              <w:left w:type="dxa" w:w="90"/>
              <w:bottom w:type="dxa" w:w="60"/>
              <w:right w:type="dxa" w:w="90"/>
            </w:tcMar>
          </w:tcPr>
          <w:p>
            <w:pPr>
              <w:spacing w:after="0" w:line="250"/>
            </w:pPr>
            <w:r>
              <w:rPr>
                <w:sz w:val="18"/>
                <w:szCs w:val="18"/>
              </w:rPr>
              <w:t xml:space="preserve">A trade Nestlé AOA uses is disrupted right now, at scale</w:t>
            </w:r>
          </w:p>
        </w:tc>
      </w:tr>
      <w:tr>
        <w:tc>
          <w:tcPr>
            <w:tcW w:type="dxa" w:w="1400"/>
            <w:tcMar>
              <w:top w:type="dxa" w:w="60"/>
              <w:left w:type="dxa" w:w="90"/>
              <w:bottom w:type="dxa" w:w="60"/>
              <w:right w:type="dxa" w:w="90"/>
            </w:tcMar>
          </w:tcPr>
          <w:p>
            <w:pPr>
              <w:spacing w:after="0" w:line="250"/>
            </w:pPr>
            <w:r>
              <w:rPr>
                <w:rFonts w:ascii="Consolas" w:cs="Consolas" w:eastAsia="Consolas" w:hAnsi="Consolas"/>
                <w:sz w:val="16"/>
                <w:szCs w:val="16"/>
              </w:rPr>
              <w:t xml:space="preserve">60–79</w:t>
            </w:r>
          </w:p>
        </w:tc>
        <w:tc>
          <w:tcPr>
            <w:tcW w:type="dxa" w:w="7960"/>
            <w:tcMar>
              <w:top w:type="dxa" w:w="60"/>
              <w:left w:type="dxa" w:w="90"/>
              <w:bottom w:type="dxa" w:w="60"/>
              <w:right w:type="dxa" w:w="90"/>
            </w:tcMar>
          </w:tcPr>
          <w:p>
            <w:pPr>
              <w:spacing w:after="0" w:line="250"/>
            </w:pPr>
            <w:r>
              <w:rPr>
                <w:sz w:val="18"/>
                <w:szCs w:val="18"/>
              </w:rPr>
              <w:t xml:space="preserve">A material cost or reliability change on those trades</w:t>
            </w:r>
          </w:p>
        </w:tc>
      </w:tr>
      <w:tr>
        <w:tc>
          <w:tcPr>
            <w:tcW w:type="dxa" w:w="1400"/>
            <w:tcMar>
              <w:top w:type="dxa" w:w="60"/>
              <w:left w:type="dxa" w:w="90"/>
              <w:bottom w:type="dxa" w:w="60"/>
              <w:right w:type="dxa" w:w="90"/>
            </w:tcMar>
          </w:tcPr>
          <w:p>
            <w:pPr>
              <w:spacing w:after="0" w:line="250"/>
            </w:pPr>
            <w:r>
              <w:rPr>
                <w:rFonts w:ascii="Consolas" w:cs="Consolas" w:eastAsia="Consolas" w:hAnsi="Consolas"/>
                <w:sz w:val="16"/>
                <w:szCs w:val="16"/>
              </w:rPr>
              <w:t xml:space="preserve">40–59</w:t>
            </w:r>
          </w:p>
        </w:tc>
        <w:tc>
          <w:tcPr>
            <w:tcW w:type="dxa" w:w="7960"/>
            <w:tcMar>
              <w:top w:type="dxa" w:w="60"/>
              <w:left w:type="dxa" w:w="90"/>
              <w:bottom w:type="dxa" w:w="60"/>
              <w:right w:type="dxa" w:w="90"/>
            </w:tcMar>
          </w:tcPr>
          <w:p>
            <w:pPr>
              <w:spacing w:after="0" w:line="250"/>
            </w:pPr>
            <w:r>
              <w:rPr>
                <w:sz w:val="18"/>
                <w:szCs w:val="18"/>
              </w:rPr>
              <w:t xml:space="preserve">A real but bounded effect, or a strong near-term signal</w:t>
            </w:r>
          </w:p>
        </w:tc>
      </w:tr>
      <w:tr>
        <w:tc>
          <w:tcPr>
            <w:tcW w:type="dxa" w:w="1400"/>
            <w:tcMar>
              <w:top w:type="dxa" w:w="60"/>
              <w:left w:type="dxa" w:w="90"/>
              <w:bottom w:type="dxa" w:w="60"/>
              <w:right w:type="dxa" w:w="90"/>
            </w:tcMar>
          </w:tcPr>
          <w:p>
            <w:pPr>
              <w:spacing w:after="0" w:line="250"/>
            </w:pPr>
            <w:r>
              <w:rPr>
                <w:rFonts w:ascii="Consolas" w:cs="Consolas" w:eastAsia="Consolas" w:hAnsi="Consolas"/>
                <w:sz w:val="16"/>
                <w:szCs w:val="16"/>
              </w:rPr>
              <w:t xml:space="preserve">20–39</w:t>
            </w:r>
          </w:p>
        </w:tc>
        <w:tc>
          <w:tcPr>
            <w:tcW w:type="dxa" w:w="7960"/>
            <w:tcMar>
              <w:top w:type="dxa" w:w="60"/>
              <w:left w:type="dxa" w:w="90"/>
              <w:bottom w:type="dxa" w:w="60"/>
              <w:right w:type="dxa" w:w="90"/>
            </w:tcMar>
          </w:tcPr>
          <w:p>
            <w:pPr>
              <w:spacing w:after="0" w:line="250"/>
            </w:pPr>
            <w:r>
              <w:rPr>
                <w:sz w:val="18"/>
                <w:szCs w:val="18"/>
              </w:rPr>
              <w:t xml:space="preserve">Industry context that informs planning without changing it</w:t>
            </w:r>
          </w:p>
        </w:tc>
      </w:tr>
      <w:tr>
        <w:tc>
          <w:tcPr>
            <w:tcW w:type="dxa" w:w="1400"/>
            <w:tcMar>
              <w:top w:type="dxa" w:w="60"/>
              <w:left w:type="dxa" w:w="90"/>
              <w:bottom w:type="dxa" w:w="60"/>
              <w:right w:type="dxa" w:w="90"/>
            </w:tcMar>
          </w:tcPr>
          <w:p>
            <w:pPr>
              <w:spacing w:after="0" w:line="250"/>
            </w:pPr>
            <w:r>
              <w:rPr>
                <w:rFonts w:ascii="Consolas" w:cs="Consolas" w:eastAsia="Consolas" w:hAnsi="Consolas"/>
                <w:sz w:val="16"/>
                <w:szCs w:val="16"/>
              </w:rPr>
              <w:t xml:space="preserve">0–19</w:t>
            </w:r>
          </w:p>
        </w:tc>
        <w:tc>
          <w:tcPr>
            <w:tcW w:type="dxa" w:w="7960"/>
            <w:tcMar>
              <w:top w:type="dxa" w:w="60"/>
              <w:left w:type="dxa" w:w="90"/>
              <w:bottom w:type="dxa" w:w="60"/>
              <w:right w:type="dxa" w:w="90"/>
            </w:tcMar>
          </w:tcPr>
          <w:p>
            <w:pPr>
              <w:spacing w:after="0" w:line="250"/>
            </w:pPr>
            <w:r>
              <w:rPr>
                <w:sz w:val="18"/>
                <w:szCs w:val="18"/>
              </w:rPr>
              <w:t xml:space="preserve">No bearing on moving Nestlé's containers</w:t>
            </w:r>
          </w:p>
        </w:tc>
      </w:tr>
    </w:tbl>
    <w:p>
      <w:pPr>
        <w:spacing w:after="120" w:line="276"/>
      </w:pPr>
      <w:r>
        <w:rPr>
          <w:sz w:val="21"/>
          <w:szCs w:val="21"/>
        </w:rPr>
        <w:t xml:space="preserve"/>
      </w:r>
    </w:p>
    <w:p>
      <w:pPr>
        <w:spacing w:after="160" w:line="276"/>
      </w:pPr>
      <w:r>
        <w:rPr>
          <w:sz w:val="21"/>
          <w:szCs w:val="21"/>
        </w:rPr>
        <w:t xml:space="preserve">The prompt instructs that if every Neutral scores under 20 and everything over 40 has a direction, one axis is being read off the other and reported twice. That is exactly the failure the separation was introduced to correct.</w:t>
      </w:r>
    </w:p>
    <w:p>
      <w:pPr>
        <w:pStyle w:val="Heading2"/>
        <w:spacing w:after="130" w:before="260"/>
      </w:pPr>
      <w:r>
        <w:rPr>
          <w:b/>
          <w:bCs/>
          <w:color w:val="1F3864"/>
        </w:rPr>
        <w:t xml:space="preserve">6.6 The forcing mechanism</w:t>
      </w:r>
    </w:p>
    <w:p>
      <w:pPr>
        <w:spacing w:after="120" w:line="276"/>
      </w:pPr>
      <w:r>
        <w:rPr>
          <w:sz w:val="21"/>
          <w:szCs w:val="21"/>
        </w:rPr>
        <w:t xml:space="preserve">Three mechanisms make the grade auditable rather than asserted.</w:t>
      </w:r>
    </w:p>
    <w:p>
      <w:pPr>
        <w:spacing w:after="90" w:line="276"/>
      </w:pPr>
      <w:r>
        <w:rPr>
          <w:sz w:val="21"/>
          <w:szCs w:val="21"/>
        </w:rPr>
        <w:t xml:space="preserve">First, response field ordering. The JSON schema sets propertyOrdering so the model emits themes, then impact_rationale, then impact_kind, then favourability, then relevance, then summary. The rationale is written before the grade and the grade is written from it. The source notes that reversing the two would stop the forcing function forcing anything.</w:t>
      </w:r>
    </w:p>
    <w:p>
      <w:pPr>
        <w:spacing w:after="90" w:line="276"/>
      </w:pPr>
      <w:r>
        <w:rPr>
          <w:sz w:val="21"/>
          <w:szCs w:val="21"/>
        </w:rPr>
        <w:t xml:space="preserve">Second, impact_kind as a closed enum — specific, market_wide or none — stored on the row. This replaced a regular expression that pattern-matched the rationale prose. The regex was abandoned for two reasons: it rewarded a stock phrase, which 98 of 268 rationales duly produced; and it matched an observation rather than a conclusion, so a correct rationale reading "spot rates are rallying across Asia-Europe, though no single lane is named" would have had its trailing clause caught and been forced to Neutral. An enum cannot be reached for by accident and cannot be triggered by a subordinate clause.</w:t>
      </w:r>
    </w:p>
    <w:p>
      <w:pPr>
        <w:spacing w:after="90" w:line="276"/>
      </w:pPr>
      <w:r>
        <w:rPr>
          <w:sz w:val="21"/>
          <w:szCs w:val="21"/>
        </w:rPr>
        <w:t xml:space="preserve">Third, one hard post-condition. If impact_kind is 'none', the tier is forced to Neutral and relevance capped below 20, with a warning logged if the model had graded otherwise. Nothing else is forced: a specific or market_wide article is free to be Neutral and free to score low. The source notes that adding rules there would re-fuse the axes from the other direction.</w:t>
      </w:r>
    </w:p>
    <w:p>
      <w:pPr>
        <w:spacing w:after="160" w:line="276"/>
      </w:pPr>
      <w:r>
        <w:rPr>
          <w:sz w:val="21"/>
          <w:szCs w:val="21"/>
        </w:rPr>
        <w:t xml:space="preserve">A relevance below 20 on an article classified specific or market_wide is warned but never corrected, on the reasoning that a silent correction would hide the calibration signal the warning exists to surface.</w:t>
      </w:r>
    </w:p>
    <w:p>
      <w:pPr>
        <w:pStyle w:val="Heading2"/>
        <w:spacing w:after="130" w:before="260"/>
      </w:pPr>
      <w:r>
        <w:rPr>
          <w:b/>
          <w:bCs/>
          <w:color w:val="1F3864"/>
        </w:rPr>
        <w:t xml:space="preserve">6.7 Theme vocabulary</w:t>
      </w:r>
    </w:p>
    <w:p>
      <w:pPr>
        <w:spacing w:after="120" w:line="276"/>
      </w:pPr>
      <w:r>
        <w:rPr>
          <w:sz w:val="21"/>
          <w:szCs w:val="21"/>
        </w:rPr>
        <w:t xml:space="preserve">Themes are a closed vocabulary of 11 active entries, enforced by the API through a schema enum rather than by prompt instruction — an off-list theme is not discouraged, it is unrepresentable in the response. A second server-side filter discards anything that arrives off-list regardless.</w:t>
      </w:r>
    </w:p>
    <w:p>
      <w:pPr>
        <w:spacing w:after="90" w:line="276"/>
      </w:pPr>
      <w:r>
        <w:rPr>
          <w:sz w:val="21"/>
          <w:szCs w:val="21"/>
        </w:rPr>
        <w:t xml:space="preserve">The vocabulary is read fresh on every batch and never cached at module scope, so a theme added in the panel is offered on the next coding run. It is ordered by name so the compiled enum is stable between runs. An empty vocabulary throws before any spend.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shd w:fill="D9E2F3" w:val="clear"/>
            <w:tcMar>
              <w:top w:type="dxa" w:w="60"/>
              <w:left w:type="dxa" w:w="90"/>
              <w:bottom w:type="dxa" w:w="60"/>
              <w:right w:type="dxa" w:w="90"/>
            </w:tcMar>
          </w:tcPr>
          <w:p>
            <w:pPr>
              <w:spacing w:after="0" w:line="250"/>
            </w:pPr>
            <w:r>
              <w:rPr>
                <w:b/>
                <w:bCs/>
                <w:sz w:val="18"/>
                <w:szCs w:val="18"/>
              </w:rPr>
              <w:t xml:space="preserve">Active themes</w:t>
            </w:r>
          </w:p>
        </w:tc>
      </w:tr>
      <w:tr>
        <w:tc>
          <w:tcPr>
            <w:tcW w:type="dxa" w:w="9360"/>
            <w:tcMar>
              <w:top w:type="dxa" w:w="60"/>
              <w:left w:type="dxa" w:w="90"/>
              <w:bottom w:type="dxa" w:w="60"/>
              <w:right w:type="dxa" w:w="90"/>
            </w:tcMar>
          </w:tcPr>
          <w:p>
            <w:pPr>
              <w:spacing w:after="0" w:line="250"/>
            </w:pPr>
            <w:r>
              <w:rPr>
                <w:sz w:val="18"/>
                <w:szCs w:val="18"/>
              </w:rPr>
              <w:t xml:space="preserve">Capacity, fleet &amp; equipment</w:t>
            </w:r>
          </w:p>
        </w:tc>
      </w:tr>
      <w:tr>
        <w:tc>
          <w:tcPr>
            <w:tcW w:type="dxa" w:w="9360"/>
            <w:tcMar>
              <w:top w:type="dxa" w:w="60"/>
              <w:left w:type="dxa" w:w="90"/>
              <w:bottom w:type="dxa" w:w="60"/>
              <w:right w:type="dxa" w:w="90"/>
            </w:tcMar>
          </w:tcPr>
          <w:p>
            <w:pPr>
              <w:spacing w:after="0" w:line="250"/>
            </w:pPr>
            <w:r>
              <w:rPr>
                <w:sz w:val="18"/>
                <w:szCs w:val="18"/>
              </w:rPr>
              <w:t xml:space="preserve">Carrier strategy &amp; corporate</w:t>
            </w:r>
          </w:p>
        </w:tc>
      </w:tr>
      <w:tr>
        <w:tc>
          <w:tcPr>
            <w:tcW w:type="dxa" w:w="9360"/>
            <w:tcMar>
              <w:top w:type="dxa" w:w="60"/>
              <w:left w:type="dxa" w:w="90"/>
              <w:bottom w:type="dxa" w:w="60"/>
              <w:right w:type="dxa" w:w="90"/>
            </w:tcMar>
          </w:tcPr>
          <w:p>
            <w:pPr>
              <w:spacing w:after="0" w:line="250"/>
            </w:pPr>
            <w:r>
              <w:rPr>
                <w:sz w:val="18"/>
                <w:szCs w:val="18"/>
              </w:rPr>
              <w:t xml:space="preserve">Chokepoints &amp; routing</w:t>
            </w:r>
          </w:p>
        </w:tc>
      </w:tr>
      <w:tr>
        <w:tc>
          <w:tcPr>
            <w:tcW w:type="dxa" w:w="9360"/>
            <w:tcMar>
              <w:top w:type="dxa" w:w="60"/>
              <w:left w:type="dxa" w:w="90"/>
              <w:bottom w:type="dxa" w:w="60"/>
              <w:right w:type="dxa" w:w="90"/>
            </w:tcMar>
          </w:tcPr>
          <w:p>
            <w:pPr>
              <w:spacing w:after="0" w:line="250"/>
            </w:pPr>
            <w:r>
              <w:rPr>
                <w:sz w:val="18"/>
                <w:szCs w:val="18"/>
              </w:rPr>
              <w:t xml:space="preserve">Demand &amp; trade volumes</w:t>
            </w:r>
          </w:p>
        </w:tc>
      </w:tr>
      <w:tr>
        <w:tc>
          <w:tcPr>
            <w:tcW w:type="dxa" w:w="9360"/>
            <w:tcMar>
              <w:top w:type="dxa" w:w="60"/>
              <w:left w:type="dxa" w:w="90"/>
              <w:bottom w:type="dxa" w:w="60"/>
              <w:right w:type="dxa" w:w="90"/>
            </w:tcMar>
          </w:tcPr>
          <w:p>
            <w:pPr>
              <w:spacing w:after="0" w:line="250"/>
            </w:pPr>
            <w:r>
              <w:rPr>
                <w:sz w:val="18"/>
                <w:szCs w:val="18"/>
              </w:rPr>
              <w:t xml:space="preserve">Disruption &amp; incidents</w:t>
            </w:r>
          </w:p>
        </w:tc>
      </w:tr>
      <w:tr>
        <w:tc>
          <w:tcPr>
            <w:tcW w:type="dxa" w:w="9360"/>
            <w:tcMar>
              <w:top w:type="dxa" w:w="60"/>
              <w:left w:type="dxa" w:w="90"/>
              <w:bottom w:type="dxa" w:w="60"/>
              <w:right w:type="dxa" w:w="90"/>
            </w:tcMar>
          </w:tcPr>
          <w:p>
            <w:pPr>
              <w:spacing w:after="0" w:line="250"/>
            </w:pPr>
            <w:r>
              <w:rPr>
                <w:sz w:val="18"/>
                <w:szCs w:val="18"/>
              </w:rPr>
              <w:t xml:space="preserve">Freight rates &amp; commercial terms</w:t>
            </w:r>
          </w:p>
        </w:tc>
      </w:tr>
      <w:tr>
        <w:tc>
          <w:tcPr>
            <w:tcW w:type="dxa" w:w="9360"/>
            <w:tcMar>
              <w:top w:type="dxa" w:w="60"/>
              <w:left w:type="dxa" w:w="90"/>
              <w:bottom w:type="dxa" w:w="60"/>
              <w:right w:type="dxa" w:w="90"/>
            </w:tcMar>
          </w:tcPr>
          <w:p>
            <w:pPr>
              <w:spacing w:after="0" w:line="250"/>
            </w:pPr>
            <w:r>
              <w:rPr>
                <w:sz w:val="18"/>
                <w:szCs w:val="18"/>
              </w:rPr>
              <w:t xml:space="preserve">Port &amp; terminal operations</w:t>
            </w:r>
          </w:p>
        </w:tc>
      </w:tr>
      <w:tr>
        <w:tc>
          <w:tcPr>
            <w:tcW w:type="dxa" w:w="9360"/>
            <w:tcMar>
              <w:top w:type="dxa" w:w="60"/>
              <w:left w:type="dxa" w:w="90"/>
              <w:bottom w:type="dxa" w:w="60"/>
              <w:right w:type="dxa" w:w="90"/>
            </w:tcMar>
          </w:tcPr>
          <w:p>
            <w:pPr>
              <w:spacing w:after="0" w:line="250"/>
            </w:pPr>
            <w:r>
              <w:rPr>
                <w:sz w:val="18"/>
                <w:szCs w:val="18"/>
              </w:rPr>
              <w:t xml:space="preserve">Regulation &amp; decarbonisation</w:t>
            </w:r>
          </w:p>
        </w:tc>
      </w:tr>
      <w:tr>
        <w:tc>
          <w:tcPr>
            <w:tcW w:type="dxa" w:w="9360"/>
            <w:tcMar>
              <w:top w:type="dxa" w:w="60"/>
              <w:left w:type="dxa" w:w="90"/>
              <w:bottom w:type="dxa" w:w="60"/>
              <w:right w:type="dxa" w:w="90"/>
            </w:tcMar>
          </w:tcPr>
          <w:p>
            <w:pPr>
              <w:spacing w:after="0" w:line="250"/>
            </w:pPr>
            <w:r>
              <w:rPr>
                <w:sz w:val="18"/>
                <w:szCs w:val="18"/>
              </w:rPr>
              <w:t xml:space="preserve">Schedule &amp; reliability</w:t>
            </w:r>
          </w:p>
        </w:tc>
      </w:tr>
      <w:tr>
        <w:tc>
          <w:tcPr>
            <w:tcW w:type="dxa" w:w="9360"/>
            <w:tcMar>
              <w:top w:type="dxa" w:w="60"/>
              <w:left w:type="dxa" w:w="90"/>
              <w:bottom w:type="dxa" w:w="60"/>
              <w:right w:type="dxa" w:w="90"/>
            </w:tcMar>
          </w:tcPr>
          <w:p>
            <w:pPr>
              <w:spacing w:after="0" w:line="250"/>
            </w:pPr>
            <w:r>
              <w:rPr>
                <w:sz w:val="18"/>
                <w:szCs w:val="18"/>
              </w:rPr>
              <w:t xml:space="preserve">Service network changes</w:t>
            </w:r>
          </w:p>
        </w:tc>
      </w:tr>
      <w:tr>
        <w:tc>
          <w:tcPr>
            <w:tcW w:type="dxa" w:w="9360"/>
            <w:tcMar>
              <w:top w:type="dxa" w:w="60"/>
              <w:left w:type="dxa" w:w="90"/>
              <w:bottom w:type="dxa" w:w="60"/>
              <w:right w:type="dxa" w:w="90"/>
            </w:tcMar>
          </w:tcPr>
          <w:p>
            <w:pPr>
              <w:spacing w:after="0" w:line="250"/>
            </w:pPr>
            <w:r>
              <w:rPr>
                <w:sz w:val="18"/>
                <w:szCs w:val="18"/>
              </w:rPr>
              <w:t xml:space="preserve">Trade policy &amp; sanctions</w:t>
            </w:r>
          </w:p>
        </w:tc>
      </w:tr>
    </w:tbl>
    <w:p>
      <w:pPr>
        <w:spacing w:after="120" w:line="276"/>
      </w:pPr>
      <w:r>
        <w:rPr>
          <w:sz w:val="21"/>
          <w:szCs w:val="21"/>
        </w:rPr>
        <w:t xml:space="preserve"/>
      </w:r>
    </w:p>
    <w:p>
      <w:pPr>
        <w:spacing w:after="160" w:line="276"/>
      </w:pPr>
      <w:r>
        <w:rPr>
          <w:sz w:val="21"/>
          <w:szCs w:val="21"/>
        </w:rPr>
        <w:t xml:space="preserve">Each article receives one to three themes, most important first. The prompt states that two weakly relevant themes are worse than one accurate one.</w:t>
      </w:r>
    </w:p>
    <w:p>
      <w:pPr>
        <w:pStyle w:val="Heading2"/>
        <w:spacing w:after="130" w:before="260"/>
      </w:pPr>
      <w:r>
        <w:rPr>
          <w:b/>
          <w:bCs/>
          <w:color w:val="1F3864"/>
        </w:rPr>
        <w:t xml:space="preserve">6.8 Methodology versioning</w:t>
      </w:r>
    </w:p>
    <w:p>
      <w:pPr>
        <w:spacing w:after="120" w:line="276"/>
      </w:pPr>
      <w:r>
        <w:rPr>
          <w:sz w:val="21"/>
          <w:szCs w:val="21"/>
        </w:rPr>
        <w:t xml:space="preserve">articles.coding_version records which methodology produced a grade. It is stamped by the coding function itself rather than by the recode script, so every path that codes an article records its methodology. This is what makes a full recode resumable: a rerun skips rows already at the current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shd w:fill="D9E2F3" w:val="clear"/>
            <w:tcMar>
              <w:top w:type="dxa" w:w="60"/>
              <w:left w:type="dxa" w:w="90"/>
              <w:bottom w:type="dxa" w:w="60"/>
              <w:right w:type="dxa" w:w="90"/>
            </w:tcMar>
          </w:tcPr>
          <w:p>
            <w:pPr>
              <w:spacing w:after="0" w:line="250"/>
            </w:pPr>
            <w:r>
              <w:rPr>
                <w:b/>
                <w:bCs/>
                <w:sz w:val="18"/>
                <w:szCs w:val="18"/>
              </w:rPr>
              <w:t xml:space="preserve">Version</w:t>
            </w:r>
          </w:p>
        </w:tc>
        <w:tc>
          <w:tcPr>
            <w:tcW w:type="dxa" w:w="8260"/>
            <w:shd w:fill="D9E2F3" w:val="clear"/>
            <w:tcMar>
              <w:top w:type="dxa" w:w="60"/>
              <w:left w:type="dxa" w:w="90"/>
              <w:bottom w:type="dxa" w:w="60"/>
              <w:right w:type="dxa" w:w="90"/>
            </w:tcMar>
          </w:tcPr>
          <w:p>
            <w:pPr>
              <w:spacing w:after="0" w:line="250"/>
            </w:pPr>
            <w:r>
              <w:rPr>
                <w:b/>
                <w:bCs/>
                <w:sz w:val="18"/>
                <w:szCs w:val="18"/>
              </w:rPr>
              <w:t xml:space="preserve">Change</w:t>
            </w:r>
          </w:p>
        </w:tc>
      </w:tr>
      <w:tr>
        <w:tc>
          <w:tcPr>
            <w:tcW w:type="dxa" w:w="1100"/>
            <w:tcMar>
              <w:top w:type="dxa" w:w="60"/>
              <w:left w:type="dxa" w:w="90"/>
              <w:bottom w:type="dxa" w:w="60"/>
              <w:right w:type="dxa" w:w="90"/>
            </w:tcMar>
          </w:tcPr>
          <w:p>
            <w:pPr>
              <w:spacing w:after="0" w:line="250"/>
            </w:pPr>
            <w:r>
              <w:rPr>
                <w:rFonts w:ascii="Consolas" w:cs="Consolas" w:eastAsia="Consolas" w:hAnsi="Consolas"/>
                <w:sz w:val="16"/>
                <w:szCs w:val="16"/>
              </w:rPr>
              <w:t xml:space="preserve">1</w:t>
            </w:r>
          </w:p>
        </w:tc>
        <w:tc>
          <w:tcPr>
            <w:tcW w:type="dxa" w:w="8260"/>
            <w:tcMar>
              <w:top w:type="dxa" w:w="60"/>
              <w:left w:type="dxa" w:w="90"/>
              <w:bottom w:type="dxa" w:w="60"/>
              <w:right w:type="dxa" w:w="90"/>
            </w:tcMar>
          </w:tcPr>
          <w:p>
            <w:pPr>
              <w:spacing w:after="0" w:line="250"/>
            </w:pPr>
            <w:r>
              <w:rPr>
                <w:sz w:val="18"/>
                <w:szCs w:val="18"/>
              </w:rPr>
              <w:t xml:space="preserve">Impact on Nestlé AOA, anchored five-point grade, separate 0–100 relevance, impact_rationale as forcing function</w:t>
            </w:r>
          </w:p>
        </w:tc>
      </w:tr>
      <w:tr>
        <w:tc>
          <w:tcPr>
            <w:tcW w:type="dxa" w:w="1100"/>
            <w:tcMar>
              <w:top w:type="dxa" w:w="60"/>
              <w:left w:type="dxa" w:w="90"/>
              <w:bottom w:type="dxa" w:w="60"/>
              <w:right w:type="dxa" w:w="90"/>
            </w:tcMar>
          </w:tcPr>
          <w:p>
            <w:pPr>
              <w:spacing w:after="0" w:line="250"/>
            </w:pPr>
            <w:r>
              <w:rPr>
                <w:rFonts w:ascii="Consolas" w:cs="Consolas" w:eastAsia="Consolas" w:hAnsi="Consolas"/>
                <w:sz w:val="16"/>
                <w:szCs w:val="16"/>
              </w:rPr>
              <w:t xml:space="preserve">2</w:t>
            </w:r>
          </w:p>
        </w:tc>
        <w:tc>
          <w:tcPr>
            <w:tcW w:type="dxa" w:w="8260"/>
            <w:tcMar>
              <w:top w:type="dxa" w:w="60"/>
              <w:left w:type="dxa" w:w="90"/>
              <w:bottom w:type="dxa" w:w="60"/>
              <w:right w:type="dxa" w:w="90"/>
            </w:tcMar>
          </w:tcPr>
          <w:p>
            <w:pPr>
              <w:spacing w:after="0" w:line="250"/>
            </w:pPr>
            <w:r>
              <w:rPr>
                <w:sz w:val="18"/>
                <w:szCs w:val="18"/>
              </w:rPr>
              <w:t xml:space="preserve">No methodology change. Bumped to force one full pass over a corpus that was never wholly on version 1</w:t>
            </w:r>
          </w:p>
        </w:tc>
      </w:tr>
      <w:tr>
        <w:tc>
          <w:tcPr>
            <w:tcW w:type="dxa" w:w="1100"/>
            <w:tcMar>
              <w:top w:type="dxa" w:w="60"/>
              <w:left w:type="dxa" w:w="90"/>
              <w:bottom w:type="dxa" w:w="60"/>
              <w:right w:type="dxa" w:w="90"/>
            </w:tcMar>
          </w:tcPr>
          <w:p>
            <w:pPr>
              <w:spacing w:after="0" w:line="250"/>
            </w:pPr>
            <w:r>
              <w:rPr>
                <w:rFonts w:ascii="Consolas" w:cs="Consolas" w:eastAsia="Consolas" w:hAnsi="Consolas"/>
                <w:sz w:val="16"/>
                <w:szCs w:val="16"/>
              </w:rPr>
              <w:t xml:space="preserve">3</w:t>
            </w:r>
          </w:p>
        </w:tc>
        <w:tc>
          <w:tcPr>
            <w:tcW w:type="dxa" w:w="8260"/>
            <w:tcMar>
              <w:top w:type="dxa" w:w="60"/>
              <w:left w:type="dxa" w:w="90"/>
              <w:bottom w:type="dxa" w:w="60"/>
              <w:right w:type="dxa" w:w="90"/>
            </w:tcMar>
          </w:tcPr>
          <w:p>
            <w:pPr>
              <w:spacing w:after="0" w:line="250"/>
            </w:pPr>
            <w:r>
              <w:rPr>
                <w:sz w:val="18"/>
                <w:szCs w:val="18"/>
              </w:rPr>
              <w:t xml:space="preserve">Impact test gains its market-wide limb; relevance re-anchored on size of effect; prose regex replaced by impact_kind enum</w:t>
            </w:r>
          </w:p>
        </w:tc>
      </w:tr>
    </w:tbl>
    <w:p>
      <w:pPr>
        <w:spacing w:after="120" w:line="276"/>
      </w:pPr>
      <w:r>
        <w:rPr>
          <w:sz w:val="21"/>
          <w:szCs w:val="21"/>
        </w:rPr>
        <w:t xml:space="preserve"/>
      </w:r>
    </w:p>
    <w:p>
      <w:pPr>
        <w:spacing w:after="180" w:line="276"/>
      </w:pPr>
      <w:r>
        <w:rPr>
          <w:sz w:val="21"/>
          <w:szCs w:val="21"/>
        </w:rPr>
        <w:t xml:space="preserve">An earlier methodology computed the tier arithmetically from separate headline and body sentiment. The source records why it was removed: with each component in {+1, 0, −1}, the extreme tiers were reachable from agreement between the two while the moderate tiers required disagreement, so the scale concentrated at its ends by arithmetic rather than by judgement. Measured, that produced 42.2% Very unfavourable against 6.8% Unfavourable. No prompt change could have corrected it.</w:t>
      </w:r>
    </w:p>
    <w:p>
      <w:r>
        <w:br w:type="page"/>
      </w:r>
    </w:p>
    <w:p>
      <w:pPr>
        <w:pStyle w:val="Heading1"/>
        <w:spacing w:after="130" w:before="260"/>
      </w:pPr>
      <w:r>
        <w:rPr>
          <w:b/>
          <w:bCs/>
          <w:color w:val="1F3864"/>
        </w:rPr>
        <w:t xml:space="preserve">7. Operational data</w:t>
      </w:r>
    </w:p>
    <w:p>
      <w:pPr>
        <w:spacing w:after="120" w:line="276"/>
      </w:pPr>
      <w:r>
        <w:rPr>
          <w:sz w:val="21"/>
          <w:szCs w:val="21"/>
        </w:rPr>
        <w:t xml:space="preserve">Four tables hold market indicators transcribed by hand from commercial dashboards. These figures are entered, never scraped.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350"/>
        <w:gridCol w:w="1750"/>
        <w:gridCol w:w="3560"/>
      </w:tblGrid>
      <w:tr>
        <w:trPr>
          <w:tblHeader/>
        </w:trPr>
        <w:tc>
          <w:tcPr>
            <w:tcW w:type="dxa" w:w="2700"/>
            <w:shd w:fill="D9E2F3" w:val="clear"/>
            <w:tcMar>
              <w:top w:type="dxa" w:w="60"/>
              <w:left w:type="dxa" w:w="90"/>
              <w:bottom w:type="dxa" w:w="60"/>
              <w:right w:type="dxa" w:w="90"/>
            </w:tcMar>
          </w:tcPr>
          <w:p>
            <w:pPr>
              <w:spacing w:after="0" w:line="250"/>
            </w:pPr>
            <w:r>
              <w:rPr>
                <w:b/>
                <w:bCs/>
                <w:sz w:val="18"/>
                <w:szCs w:val="18"/>
              </w:rPr>
              <w:t xml:space="preserve">Table</w:t>
            </w:r>
          </w:p>
        </w:tc>
        <w:tc>
          <w:tcPr>
            <w:tcW w:type="dxa" w:w="1350"/>
            <w:shd w:fill="D9E2F3" w:val="clear"/>
            <w:tcMar>
              <w:top w:type="dxa" w:w="60"/>
              <w:left w:type="dxa" w:w="90"/>
              <w:bottom w:type="dxa" w:w="60"/>
              <w:right w:type="dxa" w:w="90"/>
            </w:tcMar>
          </w:tcPr>
          <w:p>
            <w:pPr>
              <w:spacing w:after="0" w:line="250"/>
            </w:pPr>
            <w:r>
              <w:rPr>
                <w:b/>
                <w:bCs/>
                <w:sz w:val="18"/>
                <w:szCs w:val="18"/>
              </w:rPr>
              <w:t xml:space="preserve">Grain</w:t>
            </w:r>
          </w:p>
        </w:tc>
        <w:tc>
          <w:tcPr>
            <w:tcW w:type="dxa" w:w="1750"/>
            <w:shd w:fill="D9E2F3" w:val="clear"/>
            <w:tcMar>
              <w:top w:type="dxa" w:w="60"/>
              <w:left w:type="dxa" w:w="90"/>
              <w:bottom w:type="dxa" w:w="60"/>
              <w:right w:type="dxa" w:w="90"/>
            </w:tcMar>
          </w:tcPr>
          <w:p>
            <w:pPr>
              <w:spacing w:after="0" w:line="250"/>
            </w:pPr>
            <w:r>
              <w:rPr>
                <w:b/>
                <w:bCs/>
                <w:sz w:val="18"/>
                <w:szCs w:val="18"/>
              </w:rPr>
              <w:t xml:space="preserve">Unique key</w:t>
            </w:r>
          </w:p>
        </w:tc>
        <w:tc>
          <w:tcPr>
            <w:tcW w:type="dxa" w:w="3560"/>
            <w:shd w:fill="D9E2F3" w:val="clear"/>
            <w:tcMar>
              <w:top w:type="dxa" w:w="60"/>
              <w:left w:type="dxa" w:w="90"/>
              <w:bottom w:type="dxa" w:w="60"/>
              <w:right w:type="dxa" w:w="90"/>
            </w:tcMar>
          </w:tcPr>
          <w:p>
            <w:pPr>
              <w:spacing w:after="0" w:line="250"/>
            </w:pPr>
            <w:r>
              <w:rPr>
                <w:b/>
                <w:bCs/>
                <w:sz w:val="18"/>
                <w:szCs w:val="18"/>
              </w:rPr>
              <w:t xml:space="preserve">Contents</w:t>
            </w:r>
          </w:p>
        </w:tc>
      </w:tr>
      <w:tr>
        <w:tc>
          <w:tcPr>
            <w:tcW w:type="dxa" w:w="2700"/>
            <w:tcMar>
              <w:top w:type="dxa" w:w="60"/>
              <w:left w:type="dxa" w:w="90"/>
              <w:bottom w:type="dxa" w:w="60"/>
              <w:right w:type="dxa" w:w="90"/>
            </w:tcMar>
          </w:tcPr>
          <w:p>
            <w:pPr>
              <w:spacing w:after="0" w:line="250"/>
            </w:pPr>
            <w:r>
              <w:rPr>
                <w:sz w:val="18"/>
                <w:szCs w:val="18"/>
              </w:rPr>
              <w:t xml:space="preserve">operational_congestion</w:t>
            </w:r>
          </w:p>
        </w:tc>
        <w:tc>
          <w:tcPr>
            <w:tcW w:type="dxa" w:w="1350"/>
            <w:tcMar>
              <w:top w:type="dxa" w:w="60"/>
              <w:left w:type="dxa" w:w="90"/>
              <w:bottom w:type="dxa" w:w="60"/>
              <w:right w:type="dxa" w:w="90"/>
            </w:tcMar>
          </w:tcPr>
          <w:p>
            <w:pPr>
              <w:spacing w:after="0" w:line="250"/>
            </w:pPr>
            <w:r>
              <w:rPr>
                <w:sz w:val="18"/>
                <w:szCs w:val="18"/>
              </w:rPr>
              <w:t xml:space="preserve">Daily</w:t>
            </w:r>
          </w:p>
        </w:tc>
        <w:tc>
          <w:tcPr>
            <w:tcW w:type="dxa" w:w="1750"/>
            <w:tcMar>
              <w:top w:type="dxa" w:w="60"/>
              <w:left w:type="dxa" w:w="90"/>
              <w:bottom w:type="dxa" w:w="60"/>
              <w:right w:type="dxa" w:w="90"/>
            </w:tcMar>
          </w:tcPr>
          <w:p>
            <w:pPr>
              <w:spacing w:after="0" w:line="250"/>
            </w:pPr>
            <w:r>
              <w:rPr>
                <w:sz w:val="18"/>
                <w:szCs w:val="18"/>
              </w:rPr>
              <w:t xml:space="preserve">day_of</w:t>
            </w:r>
          </w:p>
        </w:tc>
        <w:tc>
          <w:tcPr>
            <w:tcW w:type="dxa" w:w="3560"/>
            <w:tcMar>
              <w:top w:type="dxa" w:w="60"/>
              <w:left w:type="dxa" w:w="90"/>
              <w:bottom w:type="dxa" w:w="60"/>
              <w:right w:type="dxa" w:w="90"/>
            </w:tcMar>
          </w:tcPr>
          <w:p>
            <w:pPr>
              <w:spacing w:after="0" w:line="250"/>
            </w:pPr>
            <w:r>
              <w:rPr>
                <w:sz w:val="18"/>
                <w:szCs w:val="18"/>
              </w:rPr>
              <w:t xml:space="preserve">Global TEU waiting, % of fleet, region_data jsonb</w:t>
            </w:r>
          </w:p>
        </w:tc>
      </w:tr>
      <w:tr>
        <w:tc>
          <w:tcPr>
            <w:tcW w:type="dxa" w:w="2700"/>
            <w:tcMar>
              <w:top w:type="dxa" w:w="60"/>
              <w:left w:type="dxa" w:w="90"/>
              <w:bottom w:type="dxa" w:w="60"/>
              <w:right w:type="dxa" w:w="90"/>
            </w:tcMar>
          </w:tcPr>
          <w:p>
            <w:pPr>
              <w:spacing w:after="0" w:line="250"/>
            </w:pPr>
            <w:r>
              <w:rPr>
                <w:sz w:val="18"/>
                <w:szCs w:val="18"/>
              </w:rPr>
              <w:t xml:space="preserve">operational_fleet_status</w:t>
            </w:r>
          </w:p>
        </w:tc>
        <w:tc>
          <w:tcPr>
            <w:tcW w:type="dxa" w:w="1350"/>
            <w:tcMar>
              <w:top w:type="dxa" w:w="60"/>
              <w:left w:type="dxa" w:w="90"/>
              <w:bottom w:type="dxa" w:w="60"/>
              <w:right w:type="dxa" w:w="90"/>
            </w:tcMar>
          </w:tcPr>
          <w:p>
            <w:pPr>
              <w:spacing w:after="0" w:line="250"/>
            </w:pPr>
            <w:r>
              <w:rPr>
                <w:sz w:val="18"/>
                <w:szCs w:val="18"/>
              </w:rPr>
              <w:t xml:space="preserve">Daily</w:t>
            </w:r>
          </w:p>
        </w:tc>
        <w:tc>
          <w:tcPr>
            <w:tcW w:type="dxa" w:w="1750"/>
            <w:tcMar>
              <w:top w:type="dxa" w:w="60"/>
              <w:left w:type="dxa" w:w="90"/>
              <w:bottom w:type="dxa" w:w="60"/>
              <w:right w:type="dxa" w:w="90"/>
            </w:tcMar>
          </w:tcPr>
          <w:p>
            <w:pPr>
              <w:spacing w:after="0" w:line="250"/>
            </w:pPr>
            <w:r>
              <w:rPr>
                <w:sz w:val="18"/>
                <w:szCs w:val="18"/>
              </w:rPr>
              <w:t xml:space="preserve">day_of</w:t>
            </w:r>
          </w:p>
        </w:tc>
        <w:tc>
          <w:tcPr>
            <w:tcW w:type="dxa" w:w="3560"/>
            <w:tcMar>
              <w:top w:type="dxa" w:w="60"/>
              <w:left w:type="dxa" w:w="90"/>
              <w:bottom w:type="dxa" w:w="60"/>
              <w:right w:type="dxa" w:w="90"/>
            </w:tcMar>
          </w:tcPr>
          <w:p>
            <w:pPr>
              <w:spacing w:after="0" w:line="250"/>
            </w:pPr>
            <w:r>
              <w:rPr>
                <w:sz w:val="18"/>
                <w:szCs w:val="18"/>
              </w:rPr>
              <w:t xml:space="preserve">status_data jsonb — ships and TEU per status</w:t>
            </w:r>
          </w:p>
        </w:tc>
      </w:tr>
      <w:tr>
        <w:tc>
          <w:tcPr>
            <w:tcW w:type="dxa" w:w="2700"/>
            <w:tcMar>
              <w:top w:type="dxa" w:w="60"/>
              <w:left w:type="dxa" w:w="90"/>
              <w:bottom w:type="dxa" w:w="60"/>
              <w:right w:type="dxa" w:w="90"/>
            </w:tcMar>
          </w:tcPr>
          <w:p>
            <w:pPr>
              <w:spacing w:after="0" w:line="250"/>
            </w:pPr>
            <w:r>
              <w:rPr>
                <w:sz w:val="18"/>
                <w:szCs w:val="18"/>
              </w:rPr>
              <w:t xml:space="preserve">operational_port_congestion</w:t>
            </w:r>
          </w:p>
        </w:tc>
        <w:tc>
          <w:tcPr>
            <w:tcW w:type="dxa" w:w="1350"/>
            <w:tcMar>
              <w:top w:type="dxa" w:w="60"/>
              <w:left w:type="dxa" w:w="90"/>
              <w:bottom w:type="dxa" w:w="60"/>
              <w:right w:type="dxa" w:w="90"/>
            </w:tcMar>
          </w:tcPr>
          <w:p>
            <w:pPr>
              <w:spacing w:after="0" w:line="250"/>
            </w:pPr>
            <w:r>
              <w:rPr>
                <w:sz w:val="18"/>
                <w:szCs w:val="18"/>
              </w:rPr>
              <w:t xml:space="preserve">Daily, per port</w:t>
            </w:r>
          </w:p>
        </w:tc>
        <w:tc>
          <w:tcPr>
            <w:tcW w:type="dxa" w:w="1750"/>
            <w:tcMar>
              <w:top w:type="dxa" w:w="60"/>
              <w:left w:type="dxa" w:w="90"/>
              <w:bottom w:type="dxa" w:w="60"/>
              <w:right w:type="dxa" w:w="90"/>
            </w:tcMar>
          </w:tcPr>
          <w:p>
            <w:pPr>
              <w:spacing w:after="0" w:line="250"/>
            </w:pPr>
            <w:r>
              <w:rPr>
                <w:sz w:val="18"/>
                <w:szCs w:val="18"/>
              </w:rPr>
              <w:t xml:space="preserve">(day_of, port_name)</w:t>
            </w:r>
          </w:p>
        </w:tc>
        <w:tc>
          <w:tcPr>
            <w:tcW w:type="dxa" w:w="3560"/>
            <w:tcMar>
              <w:top w:type="dxa" w:w="60"/>
              <w:left w:type="dxa" w:w="90"/>
              <w:bottom w:type="dxa" w:w="60"/>
              <w:right w:type="dxa" w:w="90"/>
            </w:tcMar>
          </w:tcPr>
          <w:p>
            <w:pPr>
              <w:spacing w:after="0" w:line="250"/>
            </w:pPr>
            <w:r>
              <w:rPr>
                <w:sz w:val="18"/>
                <w:szCs w:val="18"/>
              </w:rPr>
              <w:t xml:space="preserve">Ships and TEU at anchorage and at port, queue-to-berth ratio</w:t>
            </w:r>
          </w:p>
        </w:tc>
      </w:tr>
      <w:tr>
        <w:tc>
          <w:tcPr>
            <w:tcW w:type="dxa" w:w="2700"/>
            <w:tcMar>
              <w:top w:type="dxa" w:w="60"/>
              <w:left w:type="dxa" w:w="90"/>
              <w:bottom w:type="dxa" w:w="60"/>
              <w:right w:type="dxa" w:w="90"/>
            </w:tcMar>
          </w:tcPr>
          <w:p>
            <w:pPr>
              <w:spacing w:after="0" w:line="250"/>
            </w:pPr>
            <w:r>
              <w:rPr>
                <w:sz w:val="18"/>
                <w:szCs w:val="18"/>
              </w:rPr>
              <w:t xml:space="preserve">operational_schedule_reliability</w:t>
            </w:r>
          </w:p>
        </w:tc>
        <w:tc>
          <w:tcPr>
            <w:tcW w:type="dxa" w:w="1350"/>
            <w:tcMar>
              <w:top w:type="dxa" w:w="60"/>
              <w:left w:type="dxa" w:w="90"/>
              <w:bottom w:type="dxa" w:w="60"/>
              <w:right w:type="dxa" w:w="90"/>
            </w:tcMar>
          </w:tcPr>
          <w:p>
            <w:pPr>
              <w:spacing w:after="0" w:line="250"/>
            </w:pPr>
            <w:r>
              <w:rPr>
                <w:sz w:val="18"/>
                <w:szCs w:val="18"/>
              </w:rPr>
              <w:t xml:space="preserve">Monthly</w:t>
            </w:r>
          </w:p>
        </w:tc>
        <w:tc>
          <w:tcPr>
            <w:tcW w:type="dxa" w:w="1750"/>
            <w:tcMar>
              <w:top w:type="dxa" w:w="60"/>
              <w:left w:type="dxa" w:w="90"/>
              <w:bottom w:type="dxa" w:w="60"/>
              <w:right w:type="dxa" w:w="90"/>
            </w:tcMar>
          </w:tcPr>
          <w:p>
            <w:pPr>
              <w:spacing w:after="0" w:line="250"/>
            </w:pPr>
            <w:r>
              <w:rPr>
                <w:sz w:val="18"/>
                <w:szCs w:val="18"/>
              </w:rPr>
              <w:t xml:space="preserve">month_of</w:t>
            </w:r>
          </w:p>
        </w:tc>
        <w:tc>
          <w:tcPr>
            <w:tcW w:type="dxa" w:w="3560"/>
            <w:tcMar>
              <w:top w:type="dxa" w:w="60"/>
              <w:left w:type="dxa" w:w="90"/>
              <w:bottom w:type="dxa" w:w="60"/>
              <w:right w:type="dxa" w:w="90"/>
            </w:tcMar>
          </w:tcPr>
          <w:p>
            <w:pPr>
              <w:spacing w:after="0" w:line="250"/>
            </w:pPr>
            <w:r>
              <w:rPr>
                <w:sz w:val="18"/>
                <w:szCs w:val="18"/>
              </w:rPr>
              <w:t xml:space="preserve">GLP issue number, global reliability %, average delay days, alliance_data jsonb</w:t>
            </w:r>
          </w:p>
        </w:tc>
      </w:tr>
    </w:tbl>
    <w:p>
      <w:pPr>
        <w:spacing w:after="120" w:line="276"/>
      </w:pPr>
      <w:r>
        <w:rPr>
          <w:sz w:val="21"/>
          <w:szCs w:val="21"/>
        </w:rPr>
        <w:t xml:space="preserve"/>
      </w:r>
    </w:p>
    <w:p>
      <w:pPr>
        <w:spacing w:after="120" w:line="276"/>
      </w:pPr>
      <w:r>
        <w:rPr>
          <w:sz w:val="21"/>
          <w:szCs w:val="21"/>
        </w:rPr>
        <w:t xml:space="preserve">Three rules govern this data and are enforced across every entry surface.</w:t>
      </w:r>
    </w:p>
    <w:p>
      <w:pPr>
        <w:pStyle w:val="ListParagraph"/>
        <w:numPr>
          <w:ilvl w:val="0"/>
          <w:numId w:val="2"/>
        </w:numPr>
        <w:spacing w:after="70" w:line="268"/>
      </w:pPr>
      <w:r>
        <w:rPr>
          <w:sz w:val="21"/>
          <w:szCs w:val="21"/>
        </w:rPr>
        <w:t xml:space="preserve">Absent is not zero. A figure not entered is not stored, and the corresponding chart or section is omitted rather than rendered at zero. There is no such thing as a day with zero port congestion, so a chart of zeros would be a false claim about the market.</w:t>
      </w:r>
    </w:p>
    <w:p>
      <w:pPr>
        <w:pStyle w:val="ListParagraph"/>
        <w:numPr>
          <w:ilvl w:val="0"/>
          <w:numId w:val="2"/>
        </w:numPr>
        <w:spacing w:after="70" w:line="268"/>
      </w:pPr>
      <w:r>
        <w:rPr>
          <w:sz w:val="21"/>
          <w:szCs w:val="21"/>
        </w:rPr>
        <w:t xml:space="preserve">Published values are stored, never derived. queue_berth_ratio approximates ships at anchorage over ships at port but does not equal it — Busan and Antwerp reconcile exactly while Shanghai/Ningbo and Gibraltar do not. Deriving it would print figures that disagree with the source document the reader has open.</w:t>
      </w:r>
    </w:p>
    <w:p>
      <w:pPr>
        <w:pStyle w:val="ListParagraph"/>
        <w:numPr>
          <w:ilvl w:val="0"/>
          <w:numId w:val="2"/>
        </w:numPr>
        <w:spacing w:after="70" w:line="268"/>
      </w:pPr>
      <w:r>
        <w:rPr>
          <w:sz w:val="21"/>
          <w:szCs w:val="21"/>
        </w:rPr>
        <w:t xml:space="preserve">No CHECK constraints on any operational numeric. The system records what was published, including a figure that looks wrong.</w:t>
      </w:r>
    </w:p>
    <w:p>
      <w:pPr>
        <w:spacing w:after="90" w:line="276"/>
      </w:pPr>
      <w:r>
        <w:rPr>
          <w:sz w:val="21"/>
          <w:szCs w:val="21"/>
        </w:rPr>
        <w:t xml:space="preserve">The ports table holds 180 entries as a controlled vocabulary with a unique name. operational_port_congestion carries a foreign key to it with ON UPDATE CASCADE, so an unknown port is refused by the database rather than by the form alone. Names are stored verbatim, including source spellings, because the name is the join key across weeks.</w:t>
      </w:r>
    </w:p>
    <w:p>
      <w:pPr>
        <w:spacing w:after="180" w:line="276"/>
      </w:pPr>
      <w:r>
        <w:rPr>
          <w:sz w:val="21"/>
          <w:szCs w:val="21"/>
        </w:rPr>
        <w:t xml:space="preserve">Three entry surfaces write these tables: a weekly grid, a CSV upload, and per-chart edit dialogs. The CSV path runs through a single SECURITY INVOKER function, apply_operational_upload, so a multi-table file lands atomically while row-level security still applies — SECURITY DEFINER would have become a route around it.</w:t>
      </w:r>
    </w:p>
    <w:p>
      <w:pPr>
        <w:pStyle w:val="Heading1"/>
        <w:spacing w:after="130" w:before="260"/>
      </w:pPr>
      <w:r>
        <w:rPr>
          <w:b/>
          <w:bCs/>
          <w:color w:val="1F3864"/>
        </w:rPr>
        <w:t xml:space="preserve">8. Newsletter</w:t>
      </w:r>
    </w:p>
    <w:p>
      <w:pPr>
        <w:spacing w:after="120" w:line="276"/>
      </w:pPr>
      <w:r>
        <w:rPr>
          <w:sz w:val="21"/>
          <w:szCs w:val="21"/>
        </w:rPr>
        <w:t xml:space="preserve">newsletter_editions holds one row per ISO week, keyed on week_of with a plain unique constraint. Sections are stored as a single ordered jsonb array rather than as bespoke columns, so one generator, one editor, one save path and one renderer serve every section.</w:t>
      </w:r>
    </w:p>
    <w:p>
      <w:pPr>
        <w:spacing w:after="120" w:line="276"/>
      </w:pPr>
      <w:r>
        <w:rPr>
          <w:sz w:val="21"/>
          <w:szCs w:val="21"/>
        </w:rPr>
        <w:t xml:space="preserve">Two behaviours are enforced in the database rather than the interface.</w:t>
      </w:r>
    </w:p>
    <w:p>
      <w:pPr>
        <w:pStyle w:val="ListParagraph"/>
        <w:numPr>
          <w:ilvl w:val="0"/>
          <w:numId w:val="2"/>
        </w:numPr>
        <w:spacing w:after="70" w:line="268"/>
      </w:pPr>
      <w:r>
        <w:rPr>
          <w:sz w:val="21"/>
          <w:szCs w:val="21"/>
        </w:rPr>
        <w:t xml:space="preserve">Freeze on send. The trigger newsletter_edition_frozen refuses UPDATE and DELETE on any row whose status is 'sent'. A newsletter that changed after it was sent would be a false record of what was received, and the following week's comparison would be drawn against figures nobody was sent.</w:t>
      </w:r>
    </w:p>
    <w:p>
      <w:pPr>
        <w:pStyle w:val="ListParagraph"/>
        <w:numPr>
          <w:ilvl w:val="0"/>
          <w:numId w:val="2"/>
        </w:numPr>
        <w:spacing w:after="70" w:line="268"/>
      </w:pPr>
      <w:r>
        <w:rPr>
          <w:sz w:val="21"/>
          <w:szCs w:val="21"/>
        </w:rPr>
        <w:t xml:space="preserve">Curate-level write. Both policies resolve through can_curate(), and writes run under the caller's client rather than a service role, so the policy is the gate rather than the button.</w:t>
      </w:r>
    </w:p>
    <w:p>
      <w:pPr>
        <w:spacing w:after="90" w:line="276"/>
      </w:pPr>
      <w:r>
        <w:rPr>
          <w:sz w:val="21"/>
          <w:szCs w:val="21"/>
        </w:rPr>
        <w:t xml:space="preserve">Deltas are week-on-week. The operational figures are stocks rather than flows — TEU at anchorage is a level on a given day, so a month of daily readings cannot be averaged into a period figure. The value for a week is the most recently entered day within it, labelled with that date. Where there is no prior week the comparison states so rather than rendering zero, since a zero delta asserts that nothing changed.</w:t>
      </w:r>
    </w:p>
    <w:p>
      <w:pPr>
        <w:spacing w:after="180" w:line="276"/>
      </w:pPr>
      <w:r>
        <w:rPr>
          <w:sz w:val="21"/>
          <w:szCs w:val="21"/>
        </w:rPr>
        <w:t xml:space="preserve">Schedule reliability is monthly and published in arrears, so consecutive weekly editions carry the same figure. The carry-forward is bounded to the most recent month at or before the selected week — an unbounded lookup would show a later month's figures on an earlier week, which is not carrying forward but showing the future.</w:t>
      </w:r>
    </w:p>
    <w:p>
      <w:pPr>
        <w:pStyle w:val="Heading1"/>
        <w:spacing w:after="130" w:before="260"/>
      </w:pPr>
      <w:r>
        <w:rPr>
          <w:b/>
          <w:bCs/>
          <w:color w:val="1F3864"/>
        </w:rPr>
        <w:t xml:space="preserve">9. Security model</w:t>
      </w:r>
    </w:p>
    <w:p>
      <w:pPr>
        <w:spacing w:after="120" w:line="276"/>
      </w:pPr>
      <w:r>
        <w:rPr>
          <w:sz w:val="21"/>
          <w:szCs w:val="21"/>
        </w:rPr>
        <w:t xml:space="preserve">Row-level security is enabled on all 17 public tables. There are 35 policies, all scoped to the authenticated role, and every one resolves through one of four SECURITY DEFINER helper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100"/>
        <w:gridCol w:w="5760"/>
      </w:tblGrid>
      <w:tr>
        <w:trPr>
          <w:tblHeader/>
        </w:trPr>
        <w:tc>
          <w:tcPr>
            <w:tcW w:type="dxa" w:w="2500"/>
            <w:shd w:fill="D9E2F3" w:val="clear"/>
            <w:tcMar>
              <w:top w:type="dxa" w:w="60"/>
              <w:left w:type="dxa" w:w="90"/>
              <w:bottom w:type="dxa" w:w="60"/>
              <w:right w:type="dxa" w:w="90"/>
            </w:tcMar>
          </w:tcPr>
          <w:p>
            <w:pPr>
              <w:spacing w:after="0" w:line="250"/>
            </w:pPr>
            <w:r>
              <w:rPr>
                <w:b/>
                <w:bCs/>
                <w:sz w:val="18"/>
                <w:szCs w:val="18"/>
              </w:rPr>
              <w:t xml:space="preserve">Function</w:t>
            </w:r>
          </w:p>
        </w:tc>
        <w:tc>
          <w:tcPr>
            <w:tcW w:type="dxa" w:w="1100"/>
            <w:shd w:fill="D9E2F3" w:val="clear"/>
            <w:tcMar>
              <w:top w:type="dxa" w:w="60"/>
              <w:left w:type="dxa" w:w="90"/>
              <w:bottom w:type="dxa" w:w="60"/>
              <w:right w:type="dxa" w:w="90"/>
            </w:tcMar>
          </w:tcPr>
          <w:p>
            <w:pPr>
              <w:spacing w:after="0" w:line="250"/>
            </w:pPr>
            <w:r>
              <w:rPr>
                <w:b/>
                <w:bCs/>
                <w:sz w:val="18"/>
                <w:szCs w:val="18"/>
              </w:rPr>
              <w:t xml:space="preserve">Returns</w:t>
            </w:r>
          </w:p>
        </w:tc>
        <w:tc>
          <w:tcPr>
            <w:tcW w:type="dxa" w:w="5760"/>
            <w:shd w:fill="D9E2F3" w:val="clear"/>
            <w:tcMar>
              <w:top w:type="dxa" w:w="60"/>
              <w:left w:type="dxa" w:w="90"/>
              <w:bottom w:type="dxa" w:w="60"/>
              <w:right w:type="dxa" w:w="90"/>
            </w:tcMar>
          </w:tcPr>
          <w:p>
            <w:pPr>
              <w:spacing w:after="0" w:line="250"/>
            </w:pPr>
            <w:r>
              <w:rPr>
                <w:b/>
                <w:bCs/>
                <w:sz w:val="18"/>
                <w:szCs w:val="18"/>
              </w:rPr>
              <w:t xml:space="preserve">Definition</w:t>
            </w:r>
          </w:p>
        </w:tc>
      </w:tr>
      <w:tr>
        <w:tc>
          <w:tcPr>
            <w:tcW w:type="dxa" w:w="2500"/>
            <w:tcMar>
              <w:top w:type="dxa" w:w="60"/>
              <w:left w:type="dxa" w:w="90"/>
              <w:bottom w:type="dxa" w:w="60"/>
              <w:right w:type="dxa" w:w="90"/>
            </w:tcMar>
          </w:tcPr>
          <w:p>
            <w:pPr>
              <w:spacing w:after="0" w:line="250"/>
            </w:pPr>
            <w:r>
              <w:rPr>
                <w:rFonts w:ascii="Consolas" w:cs="Consolas" w:eastAsia="Consolas" w:hAnsi="Consolas"/>
                <w:sz w:val="16"/>
                <w:szCs w:val="16"/>
              </w:rPr>
              <w:t xml:space="preserve">current_app_role()</w:t>
            </w:r>
          </w:p>
        </w:tc>
        <w:tc>
          <w:tcPr>
            <w:tcW w:type="dxa" w:w="1100"/>
            <w:tcMar>
              <w:top w:type="dxa" w:w="60"/>
              <w:left w:type="dxa" w:w="90"/>
              <w:bottom w:type="dxa" w:w="60"/>
              <w:right w:type="dxa" w:w="90"/>
            </w:tcMar>
          </w:tcPr>
          <w:p>
            <w:pPr>
              <w:spacing w:after="0" w:line="250"/>
            </w:pPr>
            <w:r>
              <w:rPr>
                <w:sz w:val="18"/>
                <w:szCs w:val="18"/>
              </w:rPr>
              <w:t xml:space="preserve">text</w:t>
            </w:r>
          </w:p>
        </w:tc>
        <w:tc>
          <w:tcPr>
            <w:tcW w:type="dxa" w:w="5760"/>
            <w:tcMar>
              <w:top w:type="dxa" w:w="60"/>
              <w:left w:type="dxa" w:w="90"/>
              <w:bottom w:type="dxa" w:w="60"/>
              <w:right w:type="dxa" w:w="90"/>
            </w:tcMar>
          </w:tcPr>
          <w:p>
            <w:pPr>
              <w:spacing w:after="0" w:line="250"/>
            </w:pPr>
            <w:r>
              <w:rPr>
                <w:sz w:val="18"/>
                <w:szCs w:val="18"/>
              </w:rPr>
              <w:t xml:space="preserve">role from profiles where id = auth.uid() and is_active</w:t>
            </w:r>
          </w:p>
        </w:tc>
      </w:tr>
      <w:tr>
        <w:tc>
          <w:tcPr>
            <w:tcW w:type="dxa" w:w="2500"/>
            <w:tcMar>
              <w:top w:type="dxa" w:w="60"/>
              <w:left w:type="dxa" w:w="90"/>
              <w:bottom w:type="dxa" w:w="60"/>
              <w:right w:type="dxa" w:w="90"/>
            </w:tcMar>
          </w:tcPr>
          <w:p>
            <w:pPr>
              <w:spacing w:after="0" w:line="250"/>
            </w:pPr>
            <w:r>
              <w:rPr>
                <w:rFonts w:ascii="Consolas" w:cs="Consolas" w:eastAsia="Consolas" w:hAnsi="Consolas"/>
                <w:sz w:val="16"/>
                <w:szCs w:val="16"/>
              </w:rPr>
              <w:t xml:space="preserve">is_app_user()</w:t>
            </w:r>
          </w:p>
        </w:tc>
        <w:tc>
          <w:tcPr>
            <w:tcW w:type="dxa" w:w="1100"/>
            <w:tcMar>
              <w:top w:type="dxa" w:w="60"/>
              <w:left w:type="dxa" w:w="90"/>
              <w:bottom w:type="dxa" w:w="60"/>
              <w:right w:type="dxa" w:w="90"/>
            </w:tcMar>
          </w:tcPr>
          <w:p>
            <w:pPr>
              <w:spacing w:after="0" w:line="250"/>
            </w:pPr>
            <w:r>
              <w:rPr>
                <w:sz w:val="18"/>
                <w:szCs w:val="18"/>
              </w:rPr>
              <w:t xml:space="preserve">boolean</w:t>
            </w:r>
          </w:p>
        </w:tc>
        <w:tc>
          <w:tcPr>
            <w:tcW w:type="dxa" w:w="5760"/>
            <w:tcMar>
              <w:top w:type="dxa" w:w="60"/>
              <w:left w:type="dxa" w:w="90"/>
              <w:bottom w:type="dxa" w:w="60"/>
              <w:right w:type="dxa" w:w="90"/>
            </w:tcMar>
          </w:tcPr>
          <w:p>
            <w:pPr>
              <w:spacing w:after="0" w:line="250"/>
            </w:pPr>
            <w:r>
              <w:rPr>
                <w:sz w:val="18"/>
                <w:szCs w:val="18"/>
              </w:rPr>
              <w:t xml:space="preserve">current_app_role() is not null</w:t>
            </w:r>
          </w:p>
        </w:tc>
      </w:tr>
      <w:tr>
        <w:tc>
          <w:tcPr>
            <w:tcW w:type="dxa" w:w="2500"/>
            <w:tcMar>
              <w:top w:type="dxa" w:w="60"/>
              <w:left w:type="dxa" w:w="90"/>
              <w:bottom w:type="dxa" w:w="60"/>
              <w:right w:type="dxa" w:w="90"/>
            </w:tcMar>
          </w:tcPr>
          <w:p>
            <w:pPr>
              <w:spacing w:after="0" w:line="250"/>
            </w:pPr>
            <w:r>
              <w:rPr>
                <w:rFonts w:ascii="Consolas" w:cs="Consolas" w:eastAsia="Consolas" w:hAnsi="Consolas"/>
                <w:sz w:val="16"/>
                <w:szCs w:val="16"/>
              </w:rPr>
              <w:t xml:space="preserve">can_curate()</w:t>
            </w:r>
          </w:p>
        </w:tc>
        <w:tc>
          <w:tcPr>
            <w:tcW w:type="dxa" w:w="1100"/>
            <w:tcMar>
              <w:top w:type="dxa" w:w="60"/>
              <w:left w:type="dxa" w:w="90"/>
              <w:bottom w:type="dxa" w:w="60"/>
              <w:right w:type="dxa" w:w="90"/>
            </w:tcMar>
          </w:tcPr>
          <w:p>
            <w:pPr>
              <w:spacing w:after="0" w:line="250"/>
            </w:pPr>
            <w:r>
              <w:rPr>
                <w:sz w:val="18"/>
                <w:szCs w:val="18"/>
              </w:rPr>
              <w:t xml:space="preserve">boolean</w:t>
            </w:r>
          </w:p>
        </w:tc>
        <w:tc>
          <w:tcPr>
            <w:tcW w:type="dxa" w:w="5760"/>
            <w:tcMar>
              <w:top w:type="dxa" w:w="60"/>
              <w:left w:type="dxa" w:w="90"/>
              <w:bottom w:type="dxa" w:w="60"/>
              <w:right w:type="dxa" w:w="90"/>
            </w:tcMar>
          </w:tcPr>
          <w:p>
            <w:pPr>
              <w:spacing w:after="0" w:line="250"/>
            </w:pPr>
            <w:r>
              <w:rPr>
                <w:sz w:val="18"/>
                <w:szCs w:val="18"/>
              </w:rPr>
              <w:t xml:space="preserve">current_app_role() in ('curate','admin')</w:t>
            </w:r>
          </w:p>
        </w:tc>
      </w:tr>
      <w:tr>
        <w:tc>
          <w:tcPr>
            <w:tcW w:type="dxa" w:w="2500"/>
            <w:tcMar>
              <w:top w:type="dxa" w:w="60"/>
              <w:left w:type="dxa" w:w="90"/>
              <w:bottom w:type="dxa" w:w="60"/>
              <w:right w:type="dxa" w:w="90"/>
            </w:tcMar>
          </w:tcPr>
          <w:p>
            <w:pPr>
              <w:spacing w:after="0" w:line="250"/>
            </w:pPr>
            <w:r>
              <w:rPr>
                <w:rFonts w:ascii="Consolas" w:cs="Consolas" w:eastAsia="Consolas" w:hAnsi="Consolas"/>
                <w:sz w:val="16"/>
                <w:szCs w:val="16"/>
              </w:rPr>
              <w:t xml:space="preserve">is_admin()</w:t>
            </w:r>
          </w:p>
        </w:tc>
        <w:tc>
          <w:tcPr>
            <w:tcW w:type="dxa" w:w="1100"/>
            <w:tcMar>
              <w:top w:type="dxa" w:w="60"/>
              <w:left w:type="dxa" w:w="90"/>
              <w:bottom w:type="dxa" w:w="60"/>
              <w:right w:type="dxa" w:w="90"/>
            </w:tcMar>
          </w:tcPr>
          <w:p>
            <w:pPr>
              <w:spacing w:after="0" w:line="250"/>
            </w:pPr>
            <w:r>
              <w:rPr>
                <w:sz w:val="18"/>
                <w:szCs w:val="18"/>
              </w:rPr>
              <w:t xml:space="preserve">boolean</w:t>
            </w:r>
          </w:p>
        </w:tc>
        <w:tc>
          <w:tcPr>
            <w:tcW w:type="dxa" w:w="5760"/>
            <w:tcMar>
              <w:top w:type="dxa" w:w="60"/>
              <w:left w:type="dxa" w:w="90"/>
              <w:bottom w:type="dxa" w:w="60"/>
              <w:right w:type="dxa" w:w="90"/>
            </w:tcMar>
          </w:tcPr>
          <w:p>
            <w:pPr>
              <w:spacing w:after="0" w:line="250"/>
            </w:pPr>
            <w:r>
              <w:rPr>
                <w:sz w:val="18"/>
                <w:szCs w:val="18"/>
              </w:rPr>
              <w:t xml:space="preserve">current_app_role() = 'admin'</w:t>
            </w:r>
          </w:p>
        </w:tc>
      </w:tr>
    </w:tbl>
    <w:p>
      <w:pPr>
        <w:spacing w:after="120" w:line="276"/>
      </w:pPr>
      <w:r>
        <w:rPr>
          <w:sz w:val="21"/>
          <w:szCs w:val="21"/>
        </w:rPr>
        <w:t xml:space="preserve"/>
      </w:r>
    </w:p>
    <w:p>
      <w:pPr>
        <w:spacing w:after="90" w:line="276"/>
      </w:pPr>
      <w:r>
        <w:rPr>
          <w:sz w:val="21"/>
          <w:szCs w:val="21"/>
        </w:rPr>
        <w:t xml:space="preserve">profiles.role is constrained to read, curate or admin. The access pattern is consistent across the schema: every table grants SELECT to is_app_user(); reference and configuration tables (sources, keywords, themes, ports, app_settings, report_recipients) restrict writes to is_admin(); working tables (articles, all four operational tables, newsletter_editions) allow writes at can_curate().</w:t>
      </w:r>
    </w:p>
    <w:p>
      <w:pPr>
        <w:spacing w:after="90" w:line="276"/>
      </w:pPr>
      <w:r>
        <w:rPr>
          <w:sz w:val="21"/>
          <w:szCs w:val="21"/>
        </w:rPr>
        <w:t xml:space="preserve">Three policies are worth noting individually. audit_log permits INSERT only where can_curate() AND actor_id = auth.uid(), so an entry cannot be attributed to another user, and SELECT only to admins. profiles_update_self permits a user to update their own row only where the role is unchanged and is_active remains true, so a user cannot escalate themselves. integration_secrets is readable at curate but writable only at admin.</w:t>
      </w:r>
    </w:p>
    <w:p>
      <w:pPr>
        <w:spacing w:after="90" w:line="276"/>
      </w:pPr>
      <w:r>
        <w:rPr>
          <w:sz w:val="21"/>
          <w:szCs w:val="21"/>
        </w:rPr>
        <w:t xml:space="preserve">A new auth user is given a profiles row at role 'read' by the handle_new_user trigger. An event trigger, rls_auto_enable, enables row-level security automatically on any newly created table.</w:t>
      </w:r>
    </w:p>
    <w:p>
      <w:pPr>
        <w:spacing w:after="180" w:line="276"/>
      </w:pPr>
      <w:r>
        <w:rPr>
          <w:sz w:val="21"/>
          <w:szCs w:val="21"/>
        </w:rPr>
        <w:t xml:space="preserve">API credentials are held in Supabase Vault. integration_secrets stores only a vault reference, a set flag and the last four characters; get_integration_secret() performs the decrypt. Four providers are configured: gemini, claude, news_aggregator and resend. A trigger writes an audit_log entry whenever a model identifier changes.</w:t>
      </w:r>
    </w:p>
    <w:p>
      <w:pPr>
        <w:pStyle w:val="Heading1"/>
        <w:spacing w:after="130" w:before="260"/>
      </w:pPr>
      <w:r>
        <w:rPr>
          <w:b/>
          <w:bCs/>
          <w:color w:val="1F3864"/>
        </w:rPr>
        <w:t xml:space="preserve">10. Scheduling and models</w:t>
      </w:r>
    </w:p>
    <w:p>
      <w:pPr>
        <w:spacing w:after="120" w:line="276"/>
      </w:pPr>
      <w:r>
        <w:rPr>
          <w:sz w:val="21"/>
          <w:szCs w:val="21"/>
        </w:rPr>
        <w:t xml:space="preserve">Two pg_cron jobs are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4960"/>
      </w:tblGrid>
      <w:tr>
        <w:trPr>
          <w:tblHeader/>
        </w:trPr>
        <w:tc>
          <w:tcPr>
            <w:tcW w:type="dxa" w:w="2700"/>
            <w:shd w:fill="D9E2F3" w:val="clear"/>
            <w:tcMar>
              <w:top w:type="dxa" w:w="60"/>
              <w:left w:type="dxa" w:w="90"/>
              <w:bottom w:type="dxa" w:w="60"/>
              <w:right w:type="dxa" w:w="90"/>
            </w:tcMar>
          </w:tcPr>
          <w:p>
            <w:pPr>
              <w:spacing w:after="0" w:line="250"/>
            </w:pPr>
            <w:r>
              <w:rPr>
                <w:b/>
                <w:bCs/>
                <w:sz w:val="18"/>
                <w:szCs w:val="18"/>
              </w:rPr>
              <w:t xml:space="preserve">Job</w:t>
            </w:r>
          </w:p>
        </w:tc>
        <w:tc>
          <w:tcPr>
            <w:tcW w:type="dxa" w:w="1700"/>
            <w:shd w:fill="D9E2F3" w:val="clear"/>
            <w:tcMar>
              <w:top w:type="dxa" w:w="60"/>
              <w:left w:type="dxa" w:w="90"/>
              <w:bottom w:type="dxa" w:w="60"/>
              <w:right w:type="dxa" w:w="90"/>
            </w:tcMar>
          </w:tcPr>
          <w:p>
            <w:pPr>
              <w:spacing w:after="0" w:line="250"/>
            </w:pPr>
            <w:r>
              <w:rPr>
                <w:b/>
                <w:bCs/>
                <w:sz w:val="18"/>
                <w:szCs w:val="18"/>
              </w:rPr>
              <w:t xml:space="preserve">Schedule</w:t>
            </w:r>
          </w:p>
        </w:tc>
        <w:tc>
          <w:tcPr>
            <w:tcW w:type="dxa" w:w="4960"/>
            <w:shd w:fill="D9E2F3" w:val="clear"/>
            <w:tcMar>
              <w:top w:type="dxa" w:w="60"/>
              <w:left w:type="dxa" w:w="90"/>
              <w:bottom w:type="dxa" w:w="60"/>
              <w:right w:type="dxa" w:w="90"/>
            </w:tcMar>
          </w:tcPr>
          <w:p>
            <w:pPr>
              <w:spacing w:after="0" w:line="250"/>
            </w:pPr>
            <w:r>
              <w:rPr>
                <w:b/>
                <w:bCs/>
                <w:sz w:val="18"/>
                <w:szCs w:val="18"/>
              </w:rPr>
              <w:t xml:space="preserve">Command</w:t>
            </w:r>
          </w:p>
        </w:tc>
      </w:tr>
      <w:tr>
        <w:tc>
          <w:tcPr>
            <w:tcW w:type="dxa" w:w="2700"/>
            <w:tcMar>
              <w:top w:type="dxa" w:w="60"/>
              <w:left w:type="dxa" w:w="90"/>
              <w:bottom w:type="dxa" w:w="60"/>
              <w:right w:type="dxa" w:w="90"/>
            </w:tcMar>
          </w:tcPr>
          <w:p>
            <w:pPr>
              <w:spacing w:after="0" w:line="250"/>
            </w:pPr>
            <w:r>
              <w:rPr>
                <w:sz w:val="18"/>
                <w:szCs w:val="18"/>
              </w:rPr>
              <w:t xml:space="preserve">scm-ingestion-scheduled</w:t>
            </w:r>
          </w:p>
        </w:tc>
        <w:tc>
          <w:tcPr>
            <w:tcW w:type="dxa" w:w="1700"/>
            <w:tcMar>
              <w:top w:type="dxa" w:w="60"/>
              <w:left w:type="dxa" w:w="90"/>
              <w:bottom w:type="dxa" w:w="60"/>
              <w:right w:type="dxa" w:w="90"/>
            </w:tcMar>
          </w:tcPr>
          <w:p>
            <w:pPr>
              <w:spacing w:after="0" w:line="250"/>
            </w:pPr>
            <w:r>
              <w:rPr>
                <w:sz w:val="18"/>
                <w:szCs w:val="18"/>
              </w:rPr>
              <w:t xml:space="preserve">0 */12 * * *</w:t>
            </w:r>
          </w:p>
        </w:tc>
        <w:tc>
          <w:tcPr>
            <w:tcW w:type="dxa" w:w="4960"/>
            <w:tcMar>
              <w:top w:type="dxa" w:w="60"/>
              <w:left w:type="dxa" w:w="90"/>
              <w:bottom w:type="dxa" w:w="60"/>
              <w:right w:type="dxa" w:w="90"/>
            </w:tcMar>
          </w:tcPr>
          <w:p>
            <w:pPr>
              <w:spacing w:after="0" w:line="250"/>
            </w:pPr>
            <w:r>
              <w:rPr>
                <w:sz w:val="18"/>
                <w:szCs w:val="18"/>
              </w:rPr>
              <w:t xml:space="preserve">select public.trigger_ingestion('scheduled')</w:t>
            </w:r>
          </w:p>
        </w:tc>
      </w:tr>
      <w:tr>
        <w:tc>
          <w:tcPr>
            <w:tcW w:type="dxa" w:w="2700"/>
            <w:tcMar>
              <w:top w:type="dxa" w:w="60"/>
              <w:left w:type="dxa" w:w="90"/>
              <w:bottom w:type="dxa" w:w="60"/>
              <w:right w:type="dxa" w:w="90"/>
            </w:tcMar>
          </w:tcPr>
          <w:p>
            <w:pPr>
              <w:spacing w:after="0" w:line="250"/>
            </w:pPr>
            <w:r>
              <w:rPr>
                <w:sz w:val="18"/>
                <w:szCs w:val="18"/>
              </w:rPr>
              <w:t xml:space="preserve">scm-sorting-pending</w:t>
            </w:r>
          </w:p>
        </w:tc>
        <w:tc>
          <w:tcPr>
            <w:tcW w:type="dxa" w:w="1700"/>
            <w:tcMar>
              <w:top w:type="dxa" w:w="60"/>
              <w:left w:type="dxa" w:w="90"/>
              <w:bottom w:type="dxa" w:w="60"/>
              <w:right w:type="dxa" w:w="90"/>
            </w:tcMar>
          </w:tcPr>
          <w:p>
            <w:pPr>
              <w:spacing w:after="0" w:line="250"/>
            </w:pPr>
            <w:r>
              <w:rPr>
                <w:sz w:val="18"/>
                <w:szCs w:val="18"/>
              </w:rPr>
              <w:t xml:space="preserve">30 * * * *</w:t>
            </w:r>
          </w:p>
        </w:tc>
        <w:tc>
          <w:tcPr>
            <w:tcW w:type="dxa" w:w="4960"/>
            <w:tcMar>
              <w:top w:type="dxa" w:w="60"/>
              <w:left w:type="dxa" w:w="90"/>
              <w:bottom w:type="dxa" w:w="60"/>
              <w:right w:type="dxa" w:w="90"/>
            </w:tcMar>
          </w:tcPr>
          <w:p>
            <w:pPr>
              <w:spacing w:after="0" w:line="250"/>
            </w:pPr>
            <w:r>
              <w:rPr>
                <w:sz w:val="18"/>
                <w:szCs w:val="18"/>
              </w:rPr>
              <w:t xml:space="preserve">select public.trigger_sorting()</w:t>
            </w:r>
          </w:p>
        </w:tc>
      </w:tr>
    </w:tbl>
    <w:p>
      <w:pPr>
        <w:spacing w:after="120" w:line="276"/>
      </w:pPr>
      <w:r>
        <w:rPr>
          <w:sz w:val="21"/>
          <w:szCs w:val="21"/>
        </w:rPr>
        <w:t xml:space="preserve"/>
      </w:r>
    </w:p>
    <w:p>
      <w:pPr>
        <w:spacing w:after="90" w:line="276"/>
      </w:pPr>
      <w:r>
        <w:rPr>
          <w:sz w:val="21"/>
          <w:szCs w:val="21"/>
        </w:rPr>
        <w:t xml:space="preserve">Ingestion runs twice daily; sorting runs hourly at half past. Both functions read app_base_url from app_settings and a shared secret from Vault, then POST to the application. Coding has no schedule and is started by a human.</w:t>
      </w:r>
    </w:p>
    <w:p>
      <w:pPr>
        <w:spacing w:after="120" w:line="276"/>
      </w:pPr>
      <w:r>
        <w:rPr>
          <w:sz w:val="21"/>
          <w:szCs w:val="21"/>
        </w:rPr>
        <w:t xml:space="preserve">Models are configured per stage in app_settings, so the two LLM stages can be moved independently: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shd w:fill="D9E2F3" w:val="clear"/>
            <w:tcMar>
              <w:top w:type="dxa" w:w="60"/>
              <w:left w:type="dxa" w:w="90"/>
              <w:bottom w:type="dxa" w:w="60"/>
              <w:right w:type="dxa" w:w="90"/>
            </w:tcMar>
          </w:tcPr>
          <w:p>
            <w:pPr>
              <w:spacing w:after="0" w:line="250"/>
            </w:pPr>
            <w:r>
              <w:rPr>
                <w:b/>
                <w:bCs/>
                <w:sz w:val="18"/>
                <w:szCs w:val="18"/>
              </w:rPr>
              <w:t xml:space="preserve">Setting</w:t>
            </w:r>
          </w:p>
        </w:tc>
        <w:tc>
          <w:tcPr>
            <w:tcW w:type="dxa" w:w="6660"/>
            <w:shd w:fill="D9E2F3" w:val="clear"/>
            <w:tcMar>
              <w:top w:type="dxa" w:w="60"/>
              <w:left w:type="dxa" w:w="90"/>
              <w:bottom w:type="dxa" w:w="60"/>
              <w:right w:type="dxa" w:w="90"/>
            </w:tcMar>
          </w:tcPr>
          <w:p>
            <w:pPr>
              <w:spacing w:after="0" w:line="250"/>
            </w:pPr>
            <w:r>
              <w:rPr>
                <w:b/>
                <w:bCs/>
                <w:sz w:val="18"/>
                <w:szCs w:val="18"/>
              </w:rPr>
              <w:t xml:space="preserve">Value</w:t>
            </w:r>
          </w:p>
        </w:tc>
      </w:tr>
      <w:tr>
        <w:tc>
          <w:tcPr>
            <w:tcW w:type="dxa" w:w="2700"/>
            <w:tcMar>
              <w:top w:type="dxa" w:w="60"/>
              <w:left w:type="dxa" w:w="90"/>
              <w:bottom w:type="dxa" w:w="60"/>
              <w:right w:type="dxa" w:w="90"/>
            </w:tcMar>
          </w:tcPr>
          <w:p>
            <w:pPr>
              <w:spacing w:after="0" w:line="250"/>
            </w:pPr>
            <w:r>
              <w:rPr>
                <w:sz w:val="18"/>
                <w:szCs w:val="18"/>
              </w:rPr>
              <w:t xml:space="preserve">sorting_model_id</w:t>
            </w:r>
          </w:p>
        </w:tc>
        <w:tc>
          <w:tcPr>
            <w:tcW w:type="dxa" w:w="6660"/>
            <w:tcMar>
              <w:top w:type="dxa" w:w="60"/>
              <w:left w:type="dxa" w:w="90"/>
              <w:bottom w:type="dxa" w:w="60"/>
              <w:right w:type="dxa" w:w="90"/>
            </w:tcMar>
          </w:tcPr>
          <w:p>
            <w:pPr>
              <w:spacing w:after="0" w:line="250"/>
            </w:pPr>
            <w:r>
              <w:rPr>
                <w:sz w:val="18"/>
                <w:szCs w:val="18"/>
              </w:rPr>
              <w:t xml:space="preserve">gemini-3.5-flash-lite</w:t>
            </w:r>
          </w:p>
        </w:tc>
      </w:tr>
      <w:tr>
        <w:tc>
          <w:tcPr>
            <w:tcW w:type="dxa" w:w="2700"/>
            <w:tcMar>
              <w:top w:type="dxa" w:w="60"/>
              <w:left w:type="dxa" w:w="90"/>
              <w:bottom w:type="dxa" w:w="60"/>
              <w:right w:type="dxa" w:w="90"/>
            </w:tcMar>
          </w:tcPr>
          <w:p>
            <w:pPr>
              <w:spacing w:after="0" w:line="250"/>
            </w:pPr>
            <w:r>
              <w:rPr>
                <w:sz w:val="18"/>
                <w:szCs w:val="18"/>
              </w:rPr>
              <w:t xml:space="preserve">coding_model_id</w:t>
            </w:r>
          </w:p>
        </w:tc>
        <w:tc>
          <w:tcPr>
            <w:tcW w:type="dxa" w:w="6660"/>
            <w:tcMar>
              <w:top w:type="dxa" w:w="60"/>
              <w:left w:type="dxa" w:w="90"/>
              <w:bottom w:type="dxa" w:w="60"/>
              <w:right w:type="dxa" w:w="90"/>
            </w:tcMar>
          </w:tcPr>
          <w:p>
            <w:pPr>
              <w:spacing w:after="0" w:line="250"/>
            </w:pPr>
            <w:r>
              <w:rPr>
                <w:sz w:val="18"/>
                <w:szCs w:val="18"/>
              </w:rPr>
              <w:t xml:space="preserve">gemini-3.6-flash</w:t>
            </w:r>
          </w:p>
        </w:tc>
      </w:tr>
      <w:tr>
        <w:tc>
          <w:tcPr>
            <w:tcW w:type="dxa" w:w="2700"/>
            <w:tcMar>
              <w:top w:type="dxa" w:w="60"/>
              <w:left w:type="dxa" w:w="90"/>
              <w:bottom w:type="dxa" w:w="60"/>
              <w:right w:type="dxa" w:w="90"/>
            </w:tcMar>
          </w:tcPr>
          <w:p>
            <w:pPr>
              <w:spacing w:after="0" w:line="250"/>
            </w:pPr>
            <w:r>
              <w:rPr>
                <w:sz w:val="18"/>
                <w:szCs w:val="18"/>
              </w:rPr>
              <w:t xml:space="preserve">app_base_url</w:t>
            </w:r>
          </w:p>
        </w:tc>
        <w:tc>
          <w:tcPr>
            <w:tcW w:type="dxa" w:w="6660"/>
            <w:tcMar>
              <w:top w:type="dxa" w:w="60"/>
              <w:left w:type="dxa" w:w="90"/>
              <w:bottom w:type="dxa" w:w="60"/>
              <w:right w:type="dxa" w:w="90"/>
            </w:tcMar>
          </w:tcPr>
          <w:p>
            <w:pPr>
              <w:spacing w:after="0" w:line="250"/>
            </w:pPr>
            <w:r>
              <w:rPr>
                <w:sz w:val="18"/>
                <w:szCs w:val="18"/>
              </w:rPr>
              <w:t xml:space="preserve">https://nestle-scm.vercel.app</w:t>
            </w:r>
          </w:p>
        </w:tc>
      </w:tr>
      <w:tr>
        <w:tc>
          <w:tcPr>
            <w:tcW w:type="dxa" w:w="2700"/>
            <w:tcMar>
              <w:top w:type="dxa" w:w="60"/>
              <w:left w:type="dxa" w:w="90"/>
              <w:bottom w:type="dxa" w:w="60"/>
              <w:right w:type="dxa" w:w="90"/>
            </w:tcMar>
          </w:tcPr>
          <w:p>
            <w:pPr>
              <w:spacing w:after="0" w:line="250"/>
            </w:pPr>
            <w:r>
              <w:rPr>
                <w:sz w:val="18"/>
                <w:szCs w:val="18"/>
              </w:rPr>
              <w:t xml:space="preserve">universe_mode</w:t>
            </w:r>
          </w:p>
        </w:tc>
        <w:tc>
          <w:tcPr>
            <w:tcW w:type="dxa" w:w="6660"/>
            <w:tcMar>
              <w:top w:type="dxa" w:w="60"/>
              <w:left w:type="dxa" w:w="90"/>
              <w:bottom w:type="dxa" w:w="60"/>
              <w:right w:type="dxa" w:w="90"/>
            </w:tcMar>
          </w:tcPr>
          <w:p>
            <w:pPr>
              <w:spacing w:after="0" w:line="250"/>
            </w:pPr>
            <w:r>
              <w:rPr>
                <w:sz w:val="18"/>
                <w:szCs w:val="18"/>
              </w:rPr>
              <w:t xml:space="preserve">whole_universe</w:t>
            </w:r>
          </w:p>
        </w:tc>
      </w:tr>
    </w:tbl>
    <w:p>
      <w:pPr>
        <w:spacing w:after="120" w:line="276"/>
      </w:pPr>
      <w:r>
        <w:rPr>
          <w:sz w:val="21"/>
          <w:szCs w:val="21"/>
        </w:rPr>
        <w:t xml:space="preserve"/>
      </w:r>
    </w:p>
    <w:p>
      <w:pPr>
        <w:spacing w:after="180" w:line="276"/>
      </w:pPr>
      <w:r>
        <w:rPr>
          <w:sz w:val="21"/>
          <w:szCs w:val="21"/>
        </w:rPr>
        <w:t xml:space="preserve">ingestion_runs records every run with a status constrained to running, ok, partial_failure or failed, and counters for sources checked, articles found, new, duplicate, skipped at paywall, suppressed by exclusion, skipped as already coded, and sources not fetched.</w:t>
      </w:r>
    </w:p>
    <w:p>
      <w:pPr>
        <w:pStyle w:val="Heading1"/>
        <w:spacing w:after="130" w:before="260"/>
      </w:pPr>
      <w:r>
        <w:rPr>
          <w:b/>
          <w:bCs/>
          <w:color w:val="1F3864"/>
        </w:rPr>
        <w:t xml:space="preserve">11. Schema summary</w:t>
      </w:r>
    </w:p>
    <w:p>
      <w:pPr>
        <w:spacing w:after="120" w:line="276"/>
      </w:pPr>
      <w:r>
        <w:rPr>
          <w:sz w:val="21"/>
          <w:szCs w:val="21"/>
        </w:rPr>
        <w:t xml:space="preserve">Seventeen tables. Full column-level detail is provided in the accompanying spreadsheet.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1000"/>
        <w:gridCol w:w="4560"/>
      </w:tblGrid>
      <w:tr>
        <w:trPr>
          <w:tblHeader/>
        </w:trPr>
        <w:tc>
          <w:tcPr>
            <w:tcW w:type="dxa" w:w="3000"/>
            <w:shd w:fill="D9E2F3" w:val="clear"/>
            <w:tcMar>
              <w:top w:type="dxa" w:w="60"/>
              <w:left w:type="dxa" w:w="90"/>
              <w:bottom w:type="dxa" w:w="60"/>
              <w:right w:type="dxa" w:w="90"/>
            </w:tcMar>
          </w:tcPr>
          <w:p>
            <w:pPr>
              <w:spacing w:after="0" w:line="250"/>
            </w:pPr>
            <w:r>
              <w:rPr>
                <w:b/>
                <w:bCs/>
                <w:sz w:val="18"/>
                <w:szCs w:val="18"/>
              </w:rPr>
              <w:t xml:space="preserve">Table</w:t>
            </w:r>
          </w:p>
        </w:tc>
        <w:tc>
          <w:tcPr>
            <w:tcW w:type="dxa" w:w="800"/>
            <w:shd w:fill="D9E2F3" w:val="clear"/>
            <w:tcMar>
              <w:top w:type="dxa" w:w="60"/>
              <w:left w:type="dxa" w:w="90"/>
              <w:bottom w:type="dxa" w:w="60"/>
              <w:right w:type="dxa" w:w="90"/>
            </w:tcMar>
          </w:tcPr>
          <w:p>
            <w:pPr>
              <w:spacing w:after="0" w:line="250"/>
            </w:pPr>
            <w:r>
              <w:rPr>
                <w:b/>
                <w:bCs/>
                <w:sz w:val="18"/>
                <w:szCs w:val="18"/>
              </w:rPr>
              <w:t xml:space="preserve">Cols</w:t>
            </w:r>
          </w:p>
        </w:tc>
        <w:tc>
          <w:tcPr>
            <w:tcW w:type="dxa" w:w="1000"/>
            <w:shd w:fill="D9E2F3" w:val="clear"/>
            <w:tcMar>
              <w:top w:type="dxa" w:w="60"/>
              <w:left w:type="dxa" w:w="90"/>
              <w:bottom w:type="dxa" w:w="60"/>
              <w:right w:type="dxa" w:w="90"/>
            </w:tcMar>
          </w:tcPr>
          <w:p>
            <w:pPr>
              <w:spacing w:after="0" w:line="250"/>
            </w:pPr>
            <w:r>
              <w:rPr>
                <w:b/>
                <w:bCs/>
                <w:sz w:val="18"/>
                <w:szCs w:val="18"/>
              </w:rPr>
              <w:t xml:space="preserve">Policies</w:t>
            </w:r>
          </w:p>
        </w:tc>
        <w:tc>
          <w:tcPr>
            <w:tcW w:type="dxa" w:w="4560"/>
            <w:shd w:fill="D9E2F3" w:val="clear"/>
            <w:tcMar>
              <w:top w:type="dxa" w:w="60"/>
              <w:left w:type="dxa" w:w="90"/>
              <w:bottom w:type="dxa" w:w="60"/>
              <w:right w:type="dxa" w:w="90"/>
            </w:tcMar>
          </w:tcPr>
          <w:p>
            <w:pPr>
              <w:spacing w:after="0" w:line="250"/>
            </w:pPr>
            <w:r>
              <w:rPr>
                <w:b/>
                <w:bCs/>
                <w:sz w:val="18"/>
                <w:szCs w:val="18"/>
              </w:rPr>
              <w:t xml:space="preserve">Role</w:t>
            </w:r>
          </w:p>
        </w:tc>
      </w:tr>
      <w:tr>
        <w:tc>
          <w:tcPr>
            <w:tcW w:type="dxa" w:w="3000"/>
            <w:tcMar>
              <w:top w:type="dxa" w:w="60"/>
              <w:left w:type="dxa" w:w="90"/>
              <w:bottom w:type="dxa" w:w="60"/>
              <w:right w:type="dxa" w:w="90"/>
            </w:tcMar>
          </w:tcPr>
          <w:p>
            <w:pPr>
              <w:spacing w:after="0" w:line="250"/>
            </w:pPr>
            <w:r>
              <w:rPr>
                <w:sz w:val="18"/>
                <w:szCs w:val="18"/>
              </w:rPr>
              <w:t xml:space="preserve">articles</w:t>
            </w:r>
          </w:p>
        </w:tc>
        <w:tc>
          <w:tcPr>
            <w:tcW w:type="dxa" w:w="800"/>
            <w:tcMar>
              <w:top w:type="dxa" w:w="60"/>
              <w:left w:type="dxa" w:w="90"/>
              <w:bottom w:type="dxa" w:w="60"/>
              <w:right w:type="dxa" w:w="90"/>
            </w:tcMar>
          </w:tcPr>
          <w:p>
            <w:pPr>
              <w:spacing w:after="0" w:line="250"/>
            </w:pPr>
            <w:r>
              <w:rPr>
                <w:sz w:val="18"/>
                <w:szCs w:val="18"/>
              </w:rPr>
              <w:t xml:space="preserve">33</w:t>
            </w:r>
          </w:p>
        </w:tc>
        <w:tc>
          <w:tcPr>
            <w:tcW w:type="dxa" w:w="1000"/>
            <w:tcMar>
              <w:top w:type="dxa" w:w="60"/>
              <w:left w:type="dxa" w:w="90"/>
              <w:bottom w:type="dxa" w:w="60"/>
              <w:right w:type="dxa" w:w="90"/>
            </w:tcMar>
          </w:tcPr>
          <w:p>
            <w:pPr>
              <w:spacing w:after="0" w:line="250"/>
            </w:pPr>
            <w:r>
              <w:rPr>
                <w:sz w:val="18"/>
                <w:szCs w:val="18"/>
              </w:rPr>
              <w:t xml:space="preserve">2</w:t>
            </w:r>
          </w:p>
        </w:tc>
        <w:tc>
          <w:tcPr>
            <w:tcW w:type="dxa" w:w="4560"/>
            <w:tcMar>
              <w:top w:type="dxa" w:w="60"/>
              <w:left w:type="dxa" w:w="90"/>
              <w:bottom w:type="dxa" w:w="60"/>
              <w:right w:type="dxa" w:w="90"/>
            </w:tcMar>
          </w:tcPr>
          <w:p>
            <w:pPr>
              <w:spacing w:after="0" w:line="250"/>
            </w:pPr>
            <w:r>
              <w:rPr>
                <w:sz w:val="18"/>
                <w:szCs w:val="18"/>
              </w:rPr>
              <w:t xml:space="preserve">The corpus. One row per captured article</w:t>
            </w:r>
          </w:p>
        </w:tc>
      </w:tr>
      <w:tr>
        <w:tc>
          <w:tcPr>
            <w:tcW w:type="dxa" w:w="3000"/>
            <w:tcMar>
              <w:top w:type="dxa" w:w="60"/>
              <w:left w:type="dxa" w:w="90"/>
              <w:bottom w:type="dxa" w:w="60"/>
              <w:right w:type="dxa" w:w="90"/>
            </w:tcMar>
          </w:tcPr>
          <w:p>
            <w:pPr>
              <w:spacing w:after="0" w:line="250"/>
            </w:pPr>
            <w:r>
              <w:rPr>
                <w:sz w:val="18"/>
                <w:szCs w:val="18"/>
              </w:rPr>
              <w:t xml:space="preserve">sources</w:t>
            </w:r>
          </w:p>
        </w:tc>
        <w:tc>
          <w:tcPr>
            <w:tcW w:type="dxa" w:w="800"/>
            <w:tcMar>
              <w:top w:type="dxa" w:w="60"/>
              <w:left w:type="dxa" w:w="90"/>
              <w:bottom w:type="dxa" w:w="60"/>
              <w:right w:type="dxa" w:w="90"/>
            </w:tcMar>
          </w:tcPr>
          <w:p>
            <w:pPr>
              <w:spacing w:after="0" w:line="250"/>
            </w:pPr>
            <w:r>
              <w:rPr>
                <w:sz w:val="18"/>
                <w:szCs w:val="18"/>
              </w:rPr>
              <w:t xml:space="preserve">18</w:t>
            </w:r>
          </w:p>
        </w:tc>
        <w:tc>
          <w:tcPr>
            <w:tcW w:type="dxa" w:w="1000"/>
            <w:tcMar>
              <w:top w:type="dxa" w:w="60"/>
              <w:left w:type="dxa" w:w="90"/>
              <w:bottom w:type="dxa" w:w="60"/>
              <w:right w:type="dxa" w:w="90"/>
            </w:tcMar>
          </w:tcPr>
          <w:p>
            <w:pPr>
              <w:spacing w:after="0" w:line="250"/>
            </w:pPr>
            <w:r>
              <w:rPr>
                <w:sz w:val="18"/>
                <w:szCs w:val="18"/>
              </w:rPr>
              <w:t xml:space="preserve">2</w:t>
            </w:r>
          </w:p>
        </w:tc>
        <w:tc>
          <w:tcPr>
            <w:tcW w:type="dxa" w:w="4560"/>
            <w:tcMar>
              <w:top w:type="dxa" w:w="60"/>
              <w:left w:type="dxa" w:w="90"/>
              <w:bottom w:type="dxa" w:w="60"/>
              <w:right w:type="dxa" w:w="90"/>
            </w:tcMar>
          </w:tcPr>
          <w:p>
            <w:pPr>
              <w:spacing w:after="0" w:line="250"/>
            </w:pPr>
            <w:r>
              <w:rPr>
                <w:sz w:val="18"/>
                <w:szCs w:val="18"/>
              </w:rPr>
              <w:t xml:space="preserve">Feed and exclusion registry</w:t>
            </w:r>
          </w:p>
        </w:tc>
      </w:tr>
      <w:tr>
        <w:tc>
          <w:tcPr>
            <w:tcW w:type="dxa" w:w="3000"/>
            <w:tcMar>
              <w:top w:type="dxa" w:w="60"/>
              <w:left w:type="dxa" w:w="90"/>
              <w:bottom w:type="dxa" w:w="60"/>
              <w:right w:type="dxa" w:w="90"/>
            </w:tcMar>
          </w:tcPr>
          <w:p>
            <w:pPr>
              <w:spacing w:after="0" w:line="250"/>
            </w:pPr>
            <w:r>
              <w:rPr>
                <w:sz w:val="18"/>
                <w:szCs w:val="18"/>
              </w:rPr>
              <w:t xml:space="preserve">keywords</w:t>
            </w:r>
          </w:p>
        </w:tc>
        <w:tc>
          <w:tcPr>
            <w:tcW w:type="dxa" w:w="800"/>
            <w:tcMar>
              <w:top w:type="dxa" w:w="60"/>
              <w:left w:type="dxa" w:w="90"/>
              <w:bottom w:type="dxa" w:w="60"/>
              <w:right w:type="dxa" w:w="90"/>
            </w:tcMar>
          </w:tcPr>
          <w:p>
            <w:pPr>
              <w:spacing w:after="0" w:line="250"/>
            </w:pPr>
            <w:r>
              <w:rPr>
                <w:sz w:val="18"/>
                <w:szCs w:val="18"/>
              </w:rPr>
              <w:t xml:space="preserve">11</w:t>
            </w:r>
          </w:p>
        </w:tc>
        <w:tc>
          <w:tcPr>
            <w:tcW w:type="dxa" w:w="1000"/>
            <w:tcMar>
              <w:top w:type="dxa" w:w="60"/>
              <w:left w:type="dxa" w:w="90"/>
              <w:bottom w:type="dxa" w:w="60"/>
              <w:right w:type="dxa" w:w="90"/>
            </w:tcMar>
          </w:tcPr>
          <w:p>
            <w:pPr>
              <w:spacing w:after="0" w:line="250"/>
            </w:pPr>
            <w:r>
              <w:rPr>
                <w:sz w:val="18"/>
                <w:szCs w:val="18"/>
              </w:rPr>
              <w:t xml:space="preserve">2</w:t>
            </w:r>
          </w:p>
        </w:tc>
        <w:tc>
          <w:tcPr>
            <w:tcW w:type="dxa" w:w="4560"/>
            <w:tcMar>
              <w:top w:type="dxa" w:w="60"/>
              <w:left w:type="dxa" w:w="90"/>
              <w:bottom w:type="dxa" w:w="60"/>
              <w:right w:type="dxa" w:w="90"/>
            </w:tcMar>
          </w:tcPr>
          <w:p>
            <w:pPr>
              <w:spacing w:after="0" w:line="250"/>
            </w:pPr>
            <w:r>
              <w:rPr>
                <w:sz w:val="18"/>
                <w:szCs w:val="18"/>
              </w:rPr>
              <w:t xml:space="preserve">Two-gate taxonomy and exclusion terms</w:t>
            </w:r>
          </w:p>
        </w:tc>
      </w:tr>
      <w:tr>
        <w:tc>
          <w:tcPr>
            <w:tcW w:type="dxa" w:w="3000"/>
            <w:tcMar>
              <w:top w:type="dxa" w:w="60"/>
              <w:left w:type="dxa" w:w="90"/>
              <w:bottom w:type="dxa" w:w="60"/>
              <w:right w:type="dxa" w:w="90"/>
            </w:tcMar>
          </w:tcPr>
          <w:p>
            <w:pPr>
              <w:spacing w:after="0" w:line="250"/>
            </w:pPr>
            <w:r>
              <w:rPr>
                <w:sz w:val="18"/>
                <w:szCs w:val="18"/>
              </w:rPr>
              <w:t xml:space="preserve">themes</w:t>
            </w:r>
          </w:p>
        </w:tc>
        <w:tc>
          <w:tcPr>
            <w:tcW w:type="dxa" w:w="800"/>
            <w:tcMar>
              <w:top w:type="dxa" w:w="60"/>
              <w:left w:type="dxa" w:w="90"/>
              <w:bottom w:type="dxa" w:w="60"/>
              <w:right w:type="dxa" w:w="90"/>
            </w:tcMar>
          </w:tcPr>
          <w:p>
            <w:pPr>
              <w:spacing w:after="0" w:line="250"/>
            </w:pPr>
            <w:r>
              <w:rPr>
                <w:sz w:val="18"/>
                <w:szCs w:val="18"/>
              </w:rPr>
              <w:t xml:space="preserve">6</w:t>
            </w:r>
          </w:p>
        </w:tc>
        <w:tc>
          <w:tcPr>
            <w:tcW w:type="dxa" w:w="1000"/>
            <w:tcMar>
              <w:top w:type="dxa" w:w="60"/>
              <w:left w:type="dxa" w:w="90"/>
              <w:bottom w:type="dxa" w:w="60"/>
              <w:right w:type="dxa" w:w="90"/>
            </w:tcMar>
          </w:tcPr>
          <w:p>
            <w:pPr>
              <w:spacing w:after="0" w:line="250"/>
            </w:pPr>
            <w:r>
              <w:rPr>
                <w:sz w:val="18"/>
                <w:szCs w:val="18"/>
              </w:rPr>
              <w:t xml:space="preserve">2</w:t>
            </w:r>
          </w:p>
        </w:tc>
        <w:tc>
          <w:tcPr>
            <w:tcW w:type="dxa" w:w="4560"/>
            <w:tcMar>
              <w:top w:type="dxa" w:w="60"/>
              <w:left w:type="dxa" w:w="90"/>
              <w:bottom w:type="dxa" w:w="60"/>
              <w:right w:type="dxa" w:w="90"/>
            </w:tcMar>
          </w:tcPr>
          <w:p>
            <w:pPr>
              <w:spacing w:after="0" w:line="250"/>
            </w:pPr>
            <w:r>
              <w:rPr>
                <w:sz w:val="18"/>
                <w:szCs w:val="18"/>
              </w:rPr>
              <w:t xml:space="preserve">Closed coding vocabulary</w:t>
            </w:r>
          </w:p>
        </w:tc>
      </w:tr>
      <w:tr>
        <w:tc>
          <w:tcPr>
            <w:tcW w:type="dxa" w:w="3000"/>
            <w:tcMar>
              <w:top w:type="dxa" w:w="60"/>
              <w:left w:type="dxa" w:w="90"/>
              <w:bottom w:type="dxa" w:w="60"/>
              <w:right w:type="dxa" w:w="90"/>
            </w:tcMar>
          </w:tcPr>
          <w:p>
            <w:pPr>
              <w:spacing w:after="0" w:line="250"/>
            </w:pPr>
            <w:r>
              <w:rPr>
                <w:sz w:val="18"/>
                <w:szCs w:val="18"/>
              </w:rPr>
              <w:t xml:space="preserve">ingestion_runs</w:t>
            </w:r>
          </w:p>
        </w:tc>
        <w:tc>
          <w:tcPr>
            <w:tcW w:type="dxa" w:w="800"/>
            <w:tcMar>
              <w:top w:type="dxa" w:w="60"/>
              <w:left w:type="dxa" w:w="90"/>
              <w:bottom w:type="dxa" w:w="60"/>
              <w:right w:type="dxa" w:w="90"/>
            </w:tcMar>
          </w:tcPr>
          <w:p>
            <w:pPr>
              <w:spacing w:after="0" w:line="250"/>
            </w:pPr>
            <w:r>
              <w:rPr>
                <w:sz w:val="18"/>
                <w:szCs w:val="18"/>
              </w:rPr>
              <w:t xml:space="preserve">17</w:t>
            </w:r>
          </w:p>
        </w:tc>
        <w:tc>
          <w:tcPr>
            <w:tcW w:type="dxa" w:w="1000"/>
            <w:tcMar>
              <w:top w:type="dxa" w:w="60"/>
              <w:left w:type="dxa" w:w="90"/>
              <w:bottom w:type="dxa" w:w="60"/>
              <w:right w:type="dxa" w:w="90"/>
            </w:tcMar>
          </w:tcPr>
          <w:p>
            <w:pPr>
              <w:spacing w:after="0" w:line="250"/>
            </w:pPr>
            <w:r>
              <w:rPr>
                <w:sz w:val="18"/>
                <w:szCs w:val="18"/>
              </w:rPr>
              <w:t xml:space="preserve">1</w:t>
            </w:r>
          </w:p>
        </w:tc>
        <w:tc>
          <w:tcPr>
            <w:tcW w:type="dxa" w:w="4560"/>
            <w:tcMar>
              <w:top w:type="dxa" w:w="60"/>
              <w:left w:type="dxa" w:w="90"/>
              <w:bottom w:type="dxa" w:w="60"/>
              <w:right w:type="dxa" w:w="90"/>
            </w:tcMar>
          </w:tcPr>
          <w:p>
            <w:pPr>
              <w:spacing w:after="0" w:line="250"/>
            </w:pPr>
            <w:r>
              <w:rPr>
                <w:sz w:val="18"/>
                <w:szCs w:val="18"/>
              </w:rPr>
              <w:t xml:space="preserve">Run history and counters</w:t>
            </w:r>
          </w:p>
        </w:tc>
      </w:tr>
      <w:tr>
        <w:tc>
          <w:tcPr>
            <w:tcW w:type="dxa" w:w="3000"/>
            <w:tcMar>
              <w:top w:type="dxa" w:w="60"/>
              <w:left w:type="dxa" w:w="90"/>
              <w:bottom w:type="dxa" w:w="60"/>
              <w:right w:type="dxa" w:w="90"/>
            </w:tcMar>
          </w:tcPr>
          <w:p>
            <w:pPr>
              <w:spacing w:after="0" w:line="250"/>
            </w:pPr>
            <w:r>
              <w:rPr>
                <w:sz w:val="18"/>
                <w:szCs w:val="18"/>
              </w:rPr>
              <w:t xml:space="preserve">ports</w:t>
            </w:r>
          </w:p>
        </w:tc>
        <w:tc>
          <w:tcPr>
            <w:tcW w:type="dxa" w:w="800"/>
            <w:tcMar>
              <w:top w:type="dxa" w:w="60"/>
              <w:left w:type="dxa" w:w="90"/>
              <w:bottom w:type="dxa" w:w="60"/>
              <w:right w:type="dxa" w:w="90"/>
            </w:tcMar>
          </w:tcPr>
          <w:p>
            <w:pPr>
              <w:spacing w:after="0" w:line="250"/>
            </w:pPr>
            <w:r>
              <w:rPr>
                <w:sz w:val="18"/>
                <w:szCs w:val="18"/>
              </w:rPr>
              <w:t xml:space="preserve">5</w:t>
            </w:r>
          </w:p>
        </w:tc>
        <w:tc>
          <w:tcPr>
            <w:tcW w:type="dxa" w:w="1000"/>
            <w:tcMar>
              <w:top w:type="dxa" w:w="60"/>
              <w:left w:type="dxa" w:w="90"/>
              <w:bottom w:type="dxa" w:w="60"/>
              <w:right w:type="dxa" w:w="90"/>
            </w:tcMar>
          </w:tcPr>
          <w:p>
            <w:pPr>
              <w:spacing w:after="0" w:line="250"/>
            </w:pPr>
            <w:r>
              <w:rPr>
                <w:sz w:val="18"/>
                <w:szCs w:val="18"/>
              </w:rPr>
              <w:t xml:space="preserve">2</w:t>
            </w:r>
          </w:p>
        </w:tc>
        <w:tc>
          <w:tcPr>
            <w:tcW w:type="dxa" w:w="4560"/>
            <w:tcMar>
              <w:top w:type="dxa" w:w="60"/>
              <w:left w:type="dxa" w:w="90"/>
              <w:bottom w:type="dxa" w:w="60"/>
              <w:right w:type="dxa" w:w="90"/>
            </w:tcMar>
          </w:tcPr>
          <w:p>
            <w:pPr>
              <w:spacing w:after="0" w:line="250"/>
            </w:pPr>
            <w:r>
              <w:rPr>
                <w:sz w:val="18"/>
                <w:szCs w:val="18"/>
              </w:rPr>
              <w:t xml:space="preserve">Controlled port vocabulary, 180 rows</w:t>
            </w:r>
          </w:p>
        </w:tc>
      </w:tr>
      <w:tr>
        <w:tc>
          <w:tcPr>
            <w:tcW w:type="dxa" w:w="3000"/>
            <w:tcMar>
              <w:top w:type="dxa" w:w="60"/>
              <w:left w:type="dxa" w:w="90"/>
              <w:bottom w:type="dxa" w:w="60"/>
              <w:right w:type="dxa" w:w="90"/>
            </w:tcMar>
          </w:tcPr>
          <w:p>
            <w:pPr>
              <w:spacing w:after="0" w:line="250"/>
            </w:pPr>
            <w:r>
              <w:rPr>
                <w:sz w:val="18"/>
                <w:szCs w:val="18"/>
              </w:rPr>
              <w:t xml:space="preserve">operational_congestion</w:t>
            </w:r>
          </w:p>
        </w:tc>
        <w:tc>
          <w:tcPr>
            <w:tcW w:type="dxa" w:w="800"/>
            <w:tcMar>
              <w:top w:type="dxa" w:w="60"/>
              <w:left w:type="dxa" w:w="90"/>
              <w:bottom w:type="dxa" w:w="60"/>
              <w:right w:type="dxa" w:w="90"/>
            </w:tcMar>
          </w:tcPr>
          <w:p>
            <w:pPr>
              <w:spacing w:after="0" w:line="250"/>
            </w:pPr>
            <w:r>
              <w:rPr>
                <w:sz w:val="18"/>
                <w:szCs w:val="18"/>
              </w:rPr>
              <w:t xml:space="preserve">7</w:t>
            </w:r>
          </w:p>
        </w:tc>
        <w:tc>
          <w:tcPr>
            <w:tcW w:type="dxa" w:w="1000"/>
            <w:tcMar>
              <w:top w:type="dxa" w:w="60"/>
              <w:left w:type="dxa" w:w="90"/>
              <w:bottom w:type="dxa" w:w="60"/>
              <w:right w:type="dxa" w:w="90"/>
            </w:tcMar>
          </w:tcPr>
          <w:p>
            <w:pPr>
              <w:spacing w:after="0" w:line="250"/>
            </w:pPr>
            <w:r>
              <w:rPr>
                <w:sz w:val="18"/>
                <w:szCs w:val="18"/>
              </w:rPr>
              <w:t xml:space="preserve">2</w:t>
            </w:r>
          </w:p>
        </w:tc>
        <w:tc>
          <w:tcPr>
            <w:tcW w:type="dxa" w:w="4560"/>
            <w:tcMar>
              <w:top w:type="dxa" w:w="60"/>
              <w:left w:type="dxa" w:w="90"/>
              <w:bottom w:type="dxa" w:w="60"/>
              <w:right w:type="dxa" w:w="90"/>
            </w:tcMar>
          </w:tcPr>
          <w:p>
            <w:pPr>
              <w:spacing w:after="0" w:line="250"/>
            </w:pPr>
            <w:r>
              <w:rPr>
                <w:sz w:val="18"/>
                <w:szCs w:val="18"/>
              </w:rPr>
              <w:t xml:space="preserve">Daily regional congestion</w:t>
            </w:r>
          </w:p>
        </w:tc>
      </w:tr>
      <w:tr>
        <w:tc>
          <w:tcPr>
            <w:tcW w:type="dxa" w:w="3000"/>
            <w:tcMar>
              <w:top w:type="dxa" w:w="60"/>
              <w:left w:type="dxa" w:w="90"/>
              <w:bottom w:type="dxa" w:w="60"/>
              <w:right w:type="dxa" w:w="90"/>
            </w:tcMar>
          </w:tcPr>
          <w:p>
            <w:pPr>
              <w:spacing w:after="0" w:line="250"/>
            </w:pPr>
            <w:r>
              <w:rPr>
                <w:sz w:val="18"/>
                <w:szCs w:val="18"/>
              </w:rPr>
              <w:t xml:space="preserve">operational_fleet_status</w:t>
            </w:r>
          </w:p>
        </w:tc>
        <w:tc>
          <w:tcPr>
            <w:tcW w:type="dxa" w:w="800"/>
            <w:tcMar>
              <w:top w:type="dxa" w:w="60"/>
              <w:left w:type="dxa" w:w="90"/>
              <w:bottom w:type="dxa" w:w="60"/>
              <w:right w:type="dxa" w:w="90"/>
            </w:tcMar>
          </w:tcPr>
          <w:p>
            <w:pPr>
              <w:spacing w:after="0" w:line="250"/>
            </w:pPr>
            <w:r>
              <w:rPr>
                <w:sz w:val="18"/>
                <w:szCs w:val="18"/>
              </w:rPr>
              <w:t xml:space="preserve">5</w:t>
            </w:r>
          </w:p>
        </w:tc>
        <w:tc>
          <w:tcPr>
            <w:tcW w:type="dxa" w:w="1000"/>
            <w:tcMar>
              <w:top w:type="dxa" w:w="60"/>
              <w:left w:type="dxa" w:w="90"/>
              <w:bottom w:type="dxa" w:w="60"/>
              <w:right w:type="dxa" w:w="90"/>
            </w:tcMar>
          </w:tcPr>
          <w:p>
            <w:pPr>
              <w:spacing w:after="0" w:line="250"/>
            </w:pPr>
            <w:r>
              <w:rPr>
                <w:sz w:val="18"/>
                <w:szCs w:val="18"/>
              </w:rPr>
              <w:t xml:space="preserve">2</w:t>
            </w:r>
          </w:p>
        </w:tc>
        <w:tc>
          <w:tcPr>
            <w:tcW w:type="dxa" w:w="4560"/>
            <w:tcMar>
              <w:top w:type="dxa" w:w="60"/>
              <w:left w:type="dxa" w:w="90"/>
              <w:bottom w:type="dxa" w:w="60"/>
              <w:right w:type="dxa" w:w="90"/>
            </w:tcMar>
          </w:tcPr>
          <w:p>
            <w:pPr>
              <w:spacing w:after="0" w:line="250"/>
            </w:pPr>
            <w:r>
              <w:rPr>
                <w:sz w:val="18"/>
                <w:szCs w:val="18"/>
              </w:rPr>
              <w:t xml:space="preserve">Daily fleet status</w:t>
            </w:r>
          </w:p>
        </w:tc>
      </w:tr>
      <w:tr>
        <w:tc>
          <w:tcPr>
            <w:tcW w:type="dxa" w:w="3000"/>
            <w:tcMar>
              <w:top w:type="dxa" w:w="60"/>
              <w:left w:type="dxa" w:w="90"/>
              <w:bottom w:type="dxa" w:w="60"/>
              <w:right w:type="dxa" w:w="90"/>
            </w:tcMar>
          </w:tcPr>
          <w:p>
            <w:pPr>
              <w:spacing w:after="0" w:line="250"/>
            </w:pPr>
            <w:r>
              <w:rPr>
                <w:sz w:val="18"/>
                <w:szCs w:val="18"/>
              </w:rPr>
              <w:t xml:space="preserve">operational_port_congestion</w:t>
            </w:r>
          </w:p>
        </w:tc>
        <w:tc>
          <w:tcPr>
            <w:tcW w:type="dxa" w:w="800"/>
            <w:tcMar>
              <w:top w:type="dxa" w:w="60"/>
              <w:left w:type="dxa" w:w="90"/>
              <w:bottom w:type="dxa" w:w="60"/>
              <w:right w:type="dxa" w:w="90"/>
            </w:tcMar>
          </w:tcPr>
          <w:p>
            <w:pPr>
              <w:spacing w:after="0" w:line="250"/>
            </w:pPr>
            <w:r>
              <w:rPr>
                <w:sz w:val="18"/>
                <w:szCs w:val="18"/>
              </w:rPr>
              <w:t xml:space="preserve">10</w:t>
            </w:r>
          </w:p>
        </w:tc>
        <w:tc>
          <w:tcPr>
            <w:tcW w:type="dxa" w:w="1000"/>
            <w:tcMar>
              <w:top w:type="dxa" w:w="60"/>
              <w:left w:type="dxa" w:w="90"/>
              <w:bottom w:type="dxa" w:w="60"/>
              <w:right w:type="dxa" w:w="90"/>
            </w:tcMar>
          </w:tcPr>
          <w:p>
            <w:pPr>
              <w:spacing w:after="0" w:line="250"/>
            </w:pPr>
            <w:r>
              <w:rPr>
                <w:sz w:val="18"/>
                <w:szCs w:val="18"/>
              </w:rPr>
              <w:t xml:space="preserve">2</w:t>
            </w:r>
          </w:p>
        </w:tc>
        <w:tc>
          <w:tcPr>
            <w:tcW w:type="dxa" w:w="4560"/>
            <w:tcMar>
              <w:top w:type="dxa" w:w="60"/>
              <w:left w:type="dxa" w:w="90"/>
              <w:bottom w:type="dxa" w:w="60"/>
              <w:right w:type="dxa" w:w="90"/>
            </w:tcMar>
          </w:tcPr>
          <w:p>
            <w:pPr>
              <w:spacing w:after="0" w:line="250"/>
            </w:pPr>
            <w:r>
              <w:rPr>
                <w:sz w:val="18"/>
                <w:szCs w:val="18"/>
              </w:rPr>
              <w:t xml:space="preserve">Daily per-port congestion</w:t>
            </w:r>
          </w:p>
        </w:tc>
      </w:tr>
      <w:tr>
        <w:tc>
          <w:tcPr>
            <w:tcW w:type="dxa" w:w="3000"/>
            <w:tcMar>
              <w:top w:type="dxa" w:w="60"/>
              <w:left w:type="dxa" w:w="90"/>
              <w:bottom w:type="dxa" w:w="60"/>
              <w:right w:type="dxa" w:w="90"/>
            </w:tcMar>
          </w:tcPr>
          <w:p>
            <w:pPr>
              <w:spacing w:after="0" w:line="250"/>
            </w:pPr>
            <w:r>
              <w:rPr>
                <w:sz w:val="18"/>
                <w:szCs w:val="18"/>
              </w:rPr>
              <w:t xml:space="preserve">operational_schedule_reliability</w:t>
            </w:r>
          </w:p>
        </w:tc>
        <w:tc>
          <w:tcPr>
            <w:tcW w:type="dxa" w:w="800"/>
            <w:tcMar>
              <w:top w:type="dxa" w:w="60"/>
              <w:left w:type="dxa" w:w="90"/>
              <w:bottom w:type="dxa" w:w="60"/>
              <w:right w:type="dxa" w:w="90"/>
            </w:tcMar>
          </w:tcPr>
          <w:p>
            <w:pPr>
              <w:spacing w:after="0" w:line="250"/>
            </w:pPr>
            <w:r>
              <w:rPr>
                <w:sz w:val="18"/>
                <w:szCs w:val="18"/>
              </w:rPr>
              <w:t xml:space="preserve">8</w:t>
            </w:r>
          </w:p>
        </w:tc>
        <w:tc>
          <w:tcPr>
            <w:tcW w:type="dxa" w:w="1000"/>
            <w:tcMar>
              <w:top w:type="dxa" w:w="60"/>
              <w:left w:type="dxa" w:w="90"/>
              <w:bottom w:type="dxa" w:w="60"/>
              <w:right w:type="dxa" w:w="90"/>
            </w:tcMar>
          </w:tcPr>
          <w:p>
            <w:pPr>
              <w:spacing w:after="0" w:line="250"/>
            </w:pPr>
            <w:r>
              <w:rPr>
                <w:sz w:val="18"/>
                <w:szCs w:val="18"/>
              </w:rPr>
              <w:t xml:space="preserve">2</w:t>
            </w:r>
          </w:p>
        </w:tc>
        <w:tc>
          <w:tcPr>
            <w:tcW w:type="dxa" w:w="4560"/>
            <w:tcMar>
              <w:top w:type="dxa" w:w="60"/>
              <w:left w:type="dxa" w:w="90"/>
              <w:bottom w:type="dxa" w:w="60"/>
              <w:right w:type="dxa" w:w="90"/>
            </w:tcMar>
          </w:tcPr>
          <w:p>
            <w:pPr>
              <w:spacing w:after="0" w:line="250"/>
            </w:pPr>
            <w:r>
              <w:rPr>
                <w:sz w:val="18"/>
                <w:szCs w:val="18"/>
              </w:rPr>
              <w:t xml:space="preserve">Monthly reliability</w:t>
            </w:r>
          </w:p>
        </w:tc>
      </w:tr>
      <w:tr>
        <w:tc>
          <w:tcPr>
            <w:tcW w:type="dxa" w:w="3000"/>
            <w:tcMar>
              <w:top w:type="dxa" w:w="60"/>
              <w:left w:type="dxa" w:w="90"/>
              <w:bottom w:type="dxa" w:w="60"/>
              <w:right w:type="dxa" w:w="90"/>
            </w:tcMar>
          </w:tcPr>
          <w:p>
            <w:pPr>
              <w:spacing w:after="0" w:line="250"/>
            </w:pPr>
            <w:r>
              <w:rPr>
                <w:sz w:val="18"/>
                <w:szCs w:val="18"/>
              </w:rPr>
              <w:t xml:space="preserve">newsletter_editions</w:t>
            </w:r>
          </w:p>
        </w:tc>
        <w:tc>
          <w:tcPr>
            <w:tcW w:type="dxa" w:w="800"/>
            <w:tcMar>
              <w:top w:type="dxa" w:w="60"/>
              <w:left w:type="dxa" w:w="90"/>
              <w:bottom w:type="dxa" w:w="60"/>
              <w:right w:type="dxa" w:w="90"/>
            </w:tcMar>
          </w:tcPr>
          <w:p>
            <w:pPr>
              <w:spacing w:after="0" w:line="250"/>
            </w:pPr>
            <w:r>
              <w:rPr>
                <w:sz w:val="18"/>
                <w:szCs w:val="18"/>
              </w:rPr>
              <w:t xml:space="preserve">10</w:t>
            </w:r>
          </w:p>
        </w:tc>
        <w:tc>
          <w:tcPr>
            <w:tcW w:type="dxa" w:w="1000"/>
            <w:tcMar>
              <w:top w:type="dxa" w:w="60"/>
              <w:left w:type="dxa" w:w="90"/>
              <w:bottom w:type="dxa" w:w="60"/>
              <w:right w:type="dxa" w:w="90"/>
            </w:tcMar>
          </w:tcPr>
          <w:p>
            <w:pPr>
              <w:spacing w:after="0" w:line="250"/>
            </w:pPr>
            <w:r>
              <w:rPr>
                <w:sz w:val="18"/>
                <w:szCs w:val="18"/>
              </w:rPr>
              <w:t xml:space="preserve">2</w:t>
            </w:r>
          </w:p>
        </w:tc>
        <w:tc>
          <w:tcPr>
            <w:tcW w:type="dxa" w:w="4560"/>
            <w:tcMar>
              <w:top w:type="dxa" w:w="60"/>
              <w:left w:type="dxa" w:w="90"/>
              <w:bottom w:type="dxa" w:w="60"/>
              <w:right w:type="dxa" w:w="90"/>
            </w:tcMar>
          </w:tcPr>
          <w:p>
            <w:pPr>
              <w:spacing w:after="0" w:line="250"/>
            </w:pPr>
            <w:r>
              <w:rPr>
                <w:sz w:val="18"/>
                <w:szCs w:val="18"/>
              </w:rPr>
              <w:t xml:space="preserve">One row per ISO week</w:t>
            </w:r>
          </w:p>
        </w:tc>
      </w:tr>
      <w:tr>
        <w:tc>
          <w:tcPr>
            <w:tcW w:type="dxa" w:w="3000"/>
            <w:tcMar>
              <w:top w:type="dxa" w:w="60"/>
              <w:left w:type="dxa" w:w="90"/>
              <w:bottom w:type="dxa" w:w="60"/>
              <w:right w:type="dxa" w:w="90"/>
            </w:tcMar>
          </w:tcPr>
          <w:p>
            <w:pPr>
              <w:spacing w:after="0" w:line="250"/>
            </w:pPr>
            <w:r>
              <w:rPr>
                <w:sz w:val="18"/>
                <w:szCs w:val="18"/>
              </w:rPr>
              <w:t xml:space="preserve">reports</w:t>
            </w:r>
          </w:p>
        </w:tc>
        <w:tc>
          <w:tcPr>
            <w:tcW w:type="dxa" w:w="800"/>
            <w:tcMar>
              <w:top w:type="dxa" w:w="60"/>
              <w:left w:type="dxa" w:w="90"/>
              <w:bottom w:type="dxa" w:w="60"/>
              <w:right w:type="dxa" w:w="90"/>
            </w:tcMar>
          </w:tcPr>
          <w:p>
            <w:pPr>
              <w:spacing w:after="0" w:line="250"/>
            </w:pPr>
            <w:r>
              <w:rPr>
                <w:sz w:val="18"/>
                <w:szCs w:val="18"/>
              </w:rPr>
              <w:t xml:space="preserve">13</w:t>
            </w:r>
          </w:p>
        </w:tc>
        <w:tc>
          <w:tcPr>
            <w:tcW w:type="dxa" w:w="1000"/>
            <w:tcMar>
              <w:top w:type="dxa" w:w="60"/>
              <w:left w:type="dxa" w:w="90"/>
              <w:bottom w:type="dxa" w:w="60"/>
              <w:right w:type="dxa" w:w="90"/>
            </w:tcMar>
          </w:tcPr>
          <w:p>
            <w:pPr>
              <w:spacing w:after="0" w:line="250"/>
            </w:pPr>
            <w:r>
              <w:rPr>
                <w:sz w:val="18"/>
                <w:szCs w:val="18"/>
              </w:rPr>
              <w:t xml:space="preserve">1</w:t>
            </w:r>
          </w:p>
        </w:tc>
        <w:tc>
          <w:tcPr>
            <w:tcW w:type="dxa" w:w="4560"/>
            <w:tcMar>
              <w:top w:type="dxa" w:w="60"/>
              <w:left w:type="dxa" w:w="90"/>
              <w:bottom w:type="dxa" w:w="60"/>
              <w:right w:type="dxa" w:w="90"/>
            </w:tcMar>
          </w:tcPr>
          <w:p>
            <w:pPr>
              <w:spacing w:after="0" w:line="250"/>
            </w:pPr>
            <w:r>
              <w:rPr>
                <w:sz w:val="18"/>
                <w:szCs w:val="18"/>
              </w:rPr>
              <w:t xml:space="preserve">Analysis narrative; digest columns dormant</w:t>
            </w:r>
          </w:p>
        </w:tc>
      </w:tr>
      <w:tr>
        <w:tc>
          <w:tcPr>
            <w:tcW w:type="dxa" w:w="3000"/>
            <w:tcMar>
              <w:top w:type="dxa" w:w="60"/>
              <w:left w:type="dxa" w:w="90"/>
              <w:bottom w:type="dxa" w:w="60"/>
              <w:right w:type="dxa" w:w="90"/>
            </w:tcMar>
          </w:tcPr>
          <w:p>
            <w:pPr>
              <w:spacing w:after="0" w:line="250"/>
            </w:pPr>
            <w:r>
              <w:rPr>
                <w:sz w:val="18"/>
                <w:szCs w:val="18"/>
              </w:rPr>
              <w:t xml:space="preserve">report_recipients</w:t>
            </w:r>
          </w:p>
        </w:tc>
        <w:tc>
          <w:tcPr>
            <w:tcW w:type="dxa" w:w="800"/>
            <w:tcMar>
              <w:top w:type="dxa" w:w="60"/>
              <w:left w:type="dxa" w:w="90"/>
              <w:bottom w:type="dxa" w:w="60"/>
              <w:right w:type="dxa" w:w="90"/>
            </w:tcMar>
          </w:tcPr>
          <w:p>
            <w:pPr>
              <w:spacing w:after="0" w:line="250"/>
            </w:pPr>
            <w:r>
              <w:rPr>
                <w:sz w:val="18"/>
                <w:szCs w:val="18"/>
              </w:rPr>
              <w:t xml:space="preserve">6</w:t>
            </w:r>
          </w:p>
        </w:tc>
        <w:tc>
          <w:tcPr>
            <w:tcW w:type="dxa" w:w="1000"/>
            <w:tcMar>
              <w:top w:type="dxa" w:w="60"/>
              <w:left w:type="dxa" w:w="90"/>
              <w:bottom w:type="dxa" w:w="60"/>
              <w:right w:type="dxa" w:w="90"/>
            </w:tcMar>
          </w:tcPr>
          <w:p>
            <w:pPr>
              <w:spacing w:after="0" w:line="250"/>
            </w:pPr>
            <w:r>
              <w:rPr>
                <w:sz w:val="18"/>
                <w:szCs w:val="18"/>
              </w:rPr>
              <w:t xml:space="preserve">2</w:t>
            </w:r>
          </w:p>
        </w:tc>
        <w:tc>
          <w:tcPr>
            <w:tcW w:type="dxa" w:w="4560"/>
            <w:tcMar>
              <w:top w:type="dxa" w:w="60"/>
              <w:left w:type="dxa" w:w="90"/>
              <w:bottom w:type="dxa" w:w="60"/>
              <w:right w:type="dxa" w:w="90"/>
            </w:tcMar>
          </w:tcPr>
          <w:p>
            <w:pPr>
              <w:spacing w:after="0" w:line="250"/>
            </w:pPr>
            <w:r>
              <w:rPr>
                <w:sz w:val="18"/>
                <w:szCs w:val="18"/>
              </w:rPr>
              <w:t xml:space="preserve">Distribution list</w:t>
            </w:r>
          </w:p>
        </w:tc>
      </w:tr>
      <w:tr>
        <w:tc>
          <w:tcPr>
            <w:tcW w:type="dxa" w:w="3000"/>
            <w:tcMar>
              <w:top w:type="dxa" w:w="60"/>
              <w:left w:type="dxa" w:w="90"/>
              <w:bottom w:type="dxa" w:w="60"/>
              <w:right w:type="dxa" w:w="90"/>
            </w:tcMar>
          </w:tcPr>
          <w:p>
            <w:pPr>
              <w:spacing w:after="0" w:line="250"/>
            </w:pPr>
            <w:r>
              <w:rPr>
                <w:sz w:val="18"/>
                <w:szCs w:val="18"/>
              </w:rPr>
              <w:t xml:space="preserve">profiles</w:t>
            </w:r>
          </w:p>
        </w:tc>
        <w:tc>
          <w:tcPr>
            <w:tcW w:type="dxa" w:w="800"/>
            <w:tcMar>
              <w:top w:type="dxa" w:w="60"/>
              <w:left w:type="dxa" w:w="90"/>
              <w:bottom w:type="dxa" w:w="60"/>
              <w:right w:type="dxa" w:w="90"/>
            </w:tcMar>
          </w:tcPr>
          <w:p>
            <w:pPr>
              <w:spacing w:after="0" w:line="250"/>
            </w:pPr>
            <w:r>
              <w:rPr>
                <w:sz w:val="18"/>
                <w:szCs w:val="18"/>
              </w:rPr>
              <w:t xml:space="preserve">7</w:t>
            </w:r>
          </w:p>
        </w:tc>
        <w:tc>
          <w:tcPr>
            <w:tcW w:type="dxa" w:w="1000"/>
            <w:tcMar>
              <w:top w:type="dxa" w:w="60"/>
              <w:left w:type="dxa" w:w="90"/>
              <w:bottom w:type="dxa" w:w="60"/>
              <w:right w:type="dxa" w:w="90"/>
            </w:tcMar>
          </w:tcPr>
          <w:p>
            <w:pPr>
              <w:spacing w:after="0" w:line="250"/>
            </w:pPr>
            <w:r>
              <w:rPr>
                <w:sz w:val="18"/>
                <w:szCs w:val="18"/>
              </w:rPr>
              <w:t xml:space="preserve">5</w:t>
            </w:r>
          </w:p>
        </w:tc>
        <w:tc>
          <w:tcPr>
            <w:tcW w:type="dxa" w:w="4560"/>
            <w:tcMar>
              <w:top w:type="dxa" w:w="60"/>
              <w:left w:type="dxa" w:w="90"/>
              <w:bottom w:type="dxa" w:w="60"/>
              <w:right w:type="dxa" w:w="90"/>
            </w:tcMar>
          </w:tcPr>
          <w:p>
            <w:pPr>
              <w:spacing w:after="0" w:line="250"/>
            </w:pPr>
            <w:r>
              <w:rPr>
                <w:sz w:val="18"/>
                <w:szCs w:val="18"/>
              </w:rPr>
              <w:t xml:space="preserve">Users and roles</w:t>
            </w:r>
          </w:p>
        </w:tc>
      </w:tr>
      <w:tr>
        <w:tc>
          <w:tcPr>
            <w:tcW w:type="dxa" w:w="3000"/>
            <w:tcMar>
              <w:top w:type="dxa" w:w="60"/>
              <w:left w:type="dxa" w:w="90"/>
              <w:bottom w:type="dxa" w:w="60"/>
              <w:right w:type="dxa" w:w="90"/>
            </w:tcMar>
          </w:tcPr>
          <w:p>
            <w:pPr>
              <w:spacing w:after="0" w:line="250"/>
            </w:pPr>
            <w:r>
              <w:rPr>
                <w:sz w:val="18"/>
                <w:szCs w:val="18"/>
              </w:rPr>
              <w:t xml:space="preserve">audit_log</w:t>
            </w:r>
          </w:p>
        </w:tc>
        <w:tc>
          <w:tcPr>
            <w:tcW w:type="dxa" w:w="800"/>
            <w:tcMar>
              <w:top w:type="dxa" w:w="60"/>
              <w:left w:type="dxa" w:w="90"/>
              <w:bottom w:type="dxa" w:w="60"/>
              <w:right w:type="dxa" w:w="90"/>
            </w:tcMar>
          </w:tcPr>
          <w:p>
            <w:pPr>
              <w:spacing w:after="0" w:line="250"/>
            </w:pPr>
            <w:r>
              <w:rPr>
                <w:sz w:val="18"/>
                <w:szCs w:val="18"/>
              </w:rPr>
              <w:t xml:space="preserve">7</w:t>
            </w:r>
          </w:p>
        </w:tc>
        <w:tc>
          <w:tcPr>
            <w:tcW w:type="dxa" w:w="1000"/>
            <w:tcMar>
              <w:top w:type="dxa" w:w="60"/>
              <w:left w:type="dxa" w:w="90"/>
              <w:bottom w:type="dxa" w:w="60"/>
              <w:right w:type="dxa" w:w="90"/>
            </w:tcMar>
          </w:tcPr>
          <w:p>
            <w:pPr>
              <w:spacing w:after="0" w:line="250"/>
            </w:pPr>
            <w:r>
              <w:rPr>
                <w:sz w:val="18"/>
                <w:szCs w:val="18"/>
              </w:rPr>
              <w:t xml:space="preserve">2</w:t>
            </w:r>
          </w:p>
        </w:tc>
        <w:tc>
          <w:tcPr>
            <w:tcW w:type="dxa" w:w="4560"/>
            <w:tcMar>
              <w:top w:type="dxa" w:w="60"/>
              <w:left w:type="dxa" w:w="90"/>
              <w:bottom w:type="dxa" w:w="60"/>
              <w:right w:type="dxa" w:w="90"/>
            </w:tcMar>
          </w:tcPr>
          <w:p>
            <w:pPr>
              <w:spacing w:after="0" w:line="250"/>
            </w:pPr>
            <w:r>
              <w:rPr>
                <w:sz w:val="18"/>
                <w:szCs w:val="18"/>
              </w:rPr>
              <w:t xml:space="preserve">Append-only action record</w:t>
            </w:r>
          </w:p>
        </w:tc>
      </w:tr>
      <w:tr>
        <w:tc>
          <w:tcPr>
            <w:tcW w:type="dxa" w:w="3000"/>
            <w:tcMar>
              <w:top w:type="dxa" w:w="60"/>
              <w:left w:type="dxa" w:w="90"/>
              <w:bottom w:type="dxa" w:w="60"/>
              <w:right w:type="dxa" w:w="90"/>
            </w:tcMar>
          </w:tcPr>
          <w:p>
            <w:pPr>
              <w:spacing w:after="0" w:line="250"/>
            </w:pPr>
            <w:r>
              <w:rPr>
                <w:sz w:val="18"/>
                <w:szCs w:val="18"/>
              </w:rPr>
              <w:t xml:space="preserve">app_settings</w:t>
            </w:r>
          </w:p>
        </w:tc>
        <w:tc>
          <w:tcPr>
            <w:tcW w:type="dxa" w:w="800"/>
            <w:tcMar>
              <w:top w:type="dxa" w:w="60"/>
              <w:left w:type="dxa" w:w="90"/>
              <w:bottom w:type="dxa" w:w="60"/>
              <w:right w:type="dxa" w:w="90"/>
            </w:tcMar>
          </w:tcPr>
          <w:p>
            <w:pPr>
              <w:spacing w:after="0" w:line="250"/>
            </w:pPr>
            <w:r>
              <w:rPr>
                <w:sz w:val="18"/>
                <w:szCs w:val="18"/>
              </w:rPr>
              <w:t xml:space="preserve">4</w:t>
            </w:r>
          </w:p>
        </w:tc>
        <w:tc>
          <w:tcPr>
            <w:tcW w:type="dxa" w:w="1000"/>
            <w:tcMar>
              <w:top w:type="dxa" w:w="60"/>
              <w:left w:type="dxa" w:w="90"/>
              <w:bottom w:type="dxa" w:w="60"/>
              <w:right w:type="dxa" w:w="90"/>
            </w:tcMar>
          </w:tcPr>
          <w:p>
            <w:pPr>
              <w:spacing w:after="0" w:line="250"/>
            </w:pPr>
            <w:r>
              <w:rPr>
                <w:sz w:val="18"/>
                <w:szCs w:val="18"/>
              </w:rPr>
              <w:t xml:space="preserve">2</w:t>
            </w:r>
          </w:p>
        </w:tc>
        <w:tc>
          <w:tcPr>
            <w:tcW w:type="dxa" w:w="4560"/>
            <w:tcMar>
              <w:top w:type="dxa" w:w="60"/>
              <w:left w:type="dxa" w:w="90"/>
              <w:bottom w:type="dxa" w:w="60"/>
              <w:right w:type="dxa" w:w="90"/>
            </w:tcMar>
          </w:tcPr>
          <w:p>
            <w:pPr>
              <w:spacing w:after="0" w:line="250"/>
            </w:pPr>
            <w:r>
              <w:rPr>
                <w:sz w:val="18"/>
                <w:szCs w:val="18"/>
              </w:rPr>
              <w:t xml:space="preserve">Key-value configuration</w:t>
            </w:r>
          </w:p>
        </w:tc>
      </w:tr>
      <w:tr>
        <w:tc>
          <w:tcPr>
            <w:tcW w:type="dxa" w:w="3000"/>
            <w:tcMar>
              <w:top w:type="dxa" w:w="60"/>
              <w:left w:type="dxa" w:w="90"/>
              <w:bottom w:type="dxa" w:w="60"/>
              <w:right w:type="dxa" w:w="90"/>
            </w:tcMar>
          </w:tcPr>
          <w:p>
            <w:pPr>
              <w:spacing w:after="0" w:line="250"/>
            </w:pPr>
            <w:r>
              <w:rPr>
                <w:sz w:val="18"/>
                <w:szCs w:val="18"/>
              </w:rPr>
              <w:t xml:space="preserve">integration_secrets</w:t>
            </w:r>
          </w:p>
        </w:tc>
        <w:tc>
          <w:tcPr>
            <w:tcW w:type="dxa" w:w="800"/>
            <w:tcMar>
              <w:top w:type="dxa" w:w="60"/>
              <w:left w:type="dxa" w:w="90"/>
              <w:bottom w:type="dxa" w:w="60"/>
              <w:right w:type="dxa" w:w="90"/>
            </w:tcMar>
          </w:tcPr>
          <w:p>
            <w:pPr>
              <w:spacing w:after="0" w:line="250"/>
            </w:pPr>
            <w:r>
              <w:rPr>
                <w:sz w:val="18"/>
                <w:szCs w:val="18"/>
              </w:rPr>
              <w:t xml:space="preserve">8</w:t>
            </w:r>
          </w:p>
        </w:tc>
        <w:tc>
          <w:tcPr>
            <w:tcW w:type="dxa" w:w="1000"/>
            <w:tcMar>
              <w:top w:type="dxa" w:w="60"/>
              <w:left w:type="dxa" w:w="90"/>
              <w:bottom w:type="dxa" w:w="60"/>
              <w:right w:type="dxa" w:w="90"/>
            </w:tcMar>
          </w:tcPr>
          <w:p>
            <w:pPr>
              <w:spacing w:after="0" w:line="250"/>
            </w:pPr>
            <w:r>
              <w:rPr>
                <w:sz w:val="18"/>
                <w:szCs w:val="18"/>
              </w:rPr>
              <w:t xml:space="preserve">2</w:t>
            </w:r>
          </w:p>
        </w:tc>
        <w:tc>
          <w:tcPr>
            <w:tcW w:type="dxa" w:w="4560"/>
            <w:tcMar>
              <w:top w:type="dxa" w:w="60"/>
              <w:left w:type="dxa" w:w="90"/>
              <w:bottom w:type="dxa" w:w="60"/>
              <w:right w:type="dxa" w:w="90"/>
            </w:tcMar>
          </w:tcPr>
          <w:p>
            <w:pPr>
              <w:spacing w:after="0" w:line="250"/>
            </w:pPr>
            <w:r>
              <w:rPr>
                <w:sz w:val="18"/>
                <w:szCs w:val="18"/>
              </w:rPr>
              <w:t xml:space="preserve">Vault references and model identifiers</w:t>
            </w:r>
          </w:p>
        </w:tc>
      </w:tr>
    </w:tbl>
    <w:p>
      <w:pPr>
        <w:spacing w:after="180" w:line="276"/>
      </w:pPr>
      <w:r>
        <w:rPr>
          <w:sz w:val="21"/>
          <w:szCs w:val="21"/>
        </w:rPr>
        <w:t xml:space="preserve"/>
      </w:r>
    </w:p>
    <w:p>
      <w:pPr>
        <w:pStyle w:val="Heading1"/>
        <w:spacing w:after="130" w:before="260"/>
      </w:pPr>
      <w:r>
        <w:rPr>
          <w:b/>
          <w:bCs/>
          <w:color w:val="1F3864"/>
        </w:rPr>
        <w:t xml:space="preserve">12. Known limitations</w:t>
      </w:r>
    </w:p>
    <w:p>
      <w:pPr>
        <w:spacing w:after="120" w:line="276"/>
      </w:pPr>
      <w:r>
        <w:rPr>
          <w:sz w:val="21"/>
          <w:szCs w:val="21"/>
        </w:rPr>
        <w:t xml:space="preserve">Recorded because each is measured rather than suspected.</w:t>
      </w:r>
    </w:p>
    <w:p>
      <w:pPr>
        <w:pStyle w:val="Heading3"/>
        <w:spacing w:after="130" w:before="260"/>
      </w:pPr>
      <w:r>
        <w:rPr>
          <w:b/>
          <w:bCs/>
          <w:color w:val="1F3864"/>
        </w:rPr>
        <w:t xml:space="preserve">12.1 Duplicate storage by construction</w:t>
      </w:r>
    </w:p>
    <w:p>
      <w:pPr>
        <w:spacing w:after="120" w:line="276"/>
      </w:pPr>
      <w:r>
        <w:rPr>
          <w:sz w:val="21"/>
          <w:szCs w:val="21"/>
        </w:rPr>
        <w:t xml:space="preserve">The dedup fingerprint includes media. For Google Alerts, media holds the alert query name rather than the publisher, so the same article captured by two standing alerts produces two different keys and is stored twice. This is structural, not intermittent: any article matching two alerts is duplicated.</w:t>
      </w:r>
    </w:p>
    <w:p>
      <w:pPr>
        <w:pStyle w:val="Heading3"/>
        <w:spacing w:after="130" w:before="260"/>
      </w:pPr>
      <w:r>
        <w:rPr>
          <w:b/>
          <w:bCs/>
          <w:color w:val="1F3864"/>
        </w:rPr>
        <w:t xml:space="preserve">12.2 Snippet quality</w:t>
      </w:r>
    </w:p>
    <w:p>
      <w:pPr>
        <w:spacing w:after="120" w:line="276"/>
      </w:pPr>
      <w:r>
        <w:rPr>
          <w:sz w:val="21"/>
          <w:szCs w:val="21"/>
        </w:rPr>
        <w:t xml:space="preserve">Google Alerts bodies are short windows onto a page, centred on whichever term the alert matched. Measured on one duplicated pair, the two bodies were 156 and 154 characters and shared 6 of 39 distinct tokens; neither was about the story named in the shared headline. Coding operates on that text, so grade divergence between duplicates reflects genuinely different input rather than model instability.</w:t>
      </w:r>
    </w:p>
    <w:p>
      <w:pPr>
        <w:pStyle w:val="Heading3"/>
        <w:spacing w:after="130" w:before="260"/>
      </w:pPr>
      <w:r>
        <w:rPr>
          <w:b/>
          <w:bCs/>
          <w:color w:val="1F3864"/>
        </w:rPr>
        <w:t xml:space="preserve">12.3 Top grade unreached</w:t>
      </w:r>
    </w:p>
    <w:p>
      <w:pPr>
        <w:spacing w:after="120" w:line="276"/>
      </w:pPr>
      <w:r>
        <w:rPr>
          <w:sz w:val="21"/>
          <w:szCs w:val="21"/>
        </w:rPr>
        <w:t xml:space="preserve">Very favourable holds zero articles across the coded corpus, and the 80–100 relevance band contains only Very unfavourable rows. The grade is reachable under test. Whether the absence reflects the period covered or an asymmetry between the top and bottom anchors is not yet established.</w:t>
      </w:r>
    </w:p>
    <w:p>
      <w:pPr>
        <w:pStyle w:val="Heading3"/>
        <w:spacing w:after="130" w:before="260"/>
      </w:pPr>
      <w:r>
        <w:rPr>
          <w:b/>
          <w:bCs/>
          <w:color w:val="1F3864"/>
        </w:rPr>
        <w:t xml:space="preserve">12.4 Region vocabulary</w:t>
      </w:r>
    </w:p>
    <w:p>
      <w:pPr>
        <w:spacing w:after="120" w:line="276"/>
      </w:pPr>
      <w:r>
        <w:rPr>
          <w:sz w:val="21"/>
          <w:szCs w:val="21"/>
        </w:rPr>
        <w:t xml:space="preserve">The congestion region vocabulary is narrower than the source dashboard's regional breakdown, so several regions cannot currently be entered.</w:t>
      </w:r>
    </w:p>
    <w:p>
      <w:pPr>
        <w:pStyle w:val="Heading3"/>
        <w:spacing w:after="130" w:before="260"/>
      </w:pPr>
      <w:r>
        <w:rPr>
          <w:b/>
          <w:bCs/>
          <w:color w:val="1F3864"/>
        </w:rPr>
        <w:t xml:space="preserve">12.5 Untested policy tier</w:t>
      </w:r>
    </w:p>
    <w:p>
      <w:pPr>
        <w:spacing w:after="120" w:line="276"/>
      </w:pPr>
      <w:r>
        <w:rPr>
          <w:sz w:val="21"/>
          <w:szCs w:val="21"/>
        </w:rPr>
        <w:t xml:space="preserve">The automated check suites include a tier that exercises row-level security as real curate and read users. No read-role account exists in the project, so that tier has not run; the suites report it as unproven and exit non-zero rather than passing quietly.</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Nestlé SCM Media Monitor — System Architecture   |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pPr>
    <w:rPr>
      <w:b/>
      <w:bCs/>
      <w:color w:val="1F3864"/>
      <w:sz w:val="30"/>
      <w:szCs w:val="30"/>
    </w:rPr>
  </w:style>
  <w:style w:type="paragraph" w:styleId="Heading2">
    <w:name w:val="Heading 2"/>
    <w:basedOn w:val="Normal"/>
    <w:next w:val="Normal"/>
    <w:qFormat/>
    <w:pPr>
      <w:spacing w:after="120" w:before="240"/>
    </w:pPr>
    <w:rPr>
      <w:b/>
      <w:bCs/>
      <w:color w:val="1F3864"/>
      <w:sz w:val="25"/>
      <w:szCs w:val="25"/>
    </w:rPr>
  </w:style>
  <w:style w:type="paragraph" w:styleId="Heading3">
    <w:name w:val="Heading 3"/>
    <w:basedOn w:val="Normal"/>
    <w:next w:val="Normal"/>
    <w:qFormat/>
    <w:pPr>
      <w:spacing w:after="100" w:before="200"/>
    </w:pPr>
    <w:rPr>
      <w:b/>
      <w:bCs/>
      <w:color w:val="2E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Nestlé SCM Media Monitor — System Architecture</dc:title>
  <dc:creator>numiVeda Solutions</dc:creator>
  <cp:lastModifiedBy>Un-named</cp:lastModifiedBy>
  <cp:revision>1</cp:revision>
  <dcterms:created xsi:type="dcterms:W3CDTF">2026-08-16T07:49:50.415Z</dcterms:created>
  <dcterms:modified xsi:type="dcterms:W3CDTF">2026-08-16T07:49:50.427Z</dcterms:modified>
</cp:coreProperties>
</file>

<file path=docProps/custom.xml><?xml version="1.0" encoding="utf-8"?>
<Properties xmlns="http://schemas.openxmlformats.org/officeDocument/2006/custom-properties" xmlns:vt="http://schemas.openxmlformats.org/officeDocument/2006/docPropsVTypes"/>
</file>