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COMPLAINT REGARDING NOISE POLLUTION, PUBLIC NUISANCE AND</w:t>
      </w:r>
    </w:p>
    <w:p>
      <w:pPr>
        <w:spacing w:after="40"/>
        <w:jc w:val="center"/>
      </w:pPr>
      <w:r>
        <w:rPr>
          <w:b/>
          <w:bCs/>
          <w:sz w:val="24"/>
          <w:szCs w:val="24"/>
        </w:rPr>
        <w:t xml:space="preserve">UNAUTHORISED COMMERCIAL OPERATION IN A RESIDENTIAL ZONE</w:t>
      </w:r>
    </w:p>
    <w:p>
      <w:pPr>
        <w:spacing w:after="160"/>
        <w:jc w:val="center"/>
      </w:pPr>
      <w:r>
        <w:rPr>
          <w:i/>
          <w:iCs/>
          <w:color w:val="555555"/>
          <w:sz w:val="18"/>
          <w:szCs w:val="18"/>
        </w:rPr>
        <w:t xml:space="preserve">(Consolidated and updated version — supersedes the letter dated 9 March 2026)</w:t>
      </w:r>
    </w:p>
    <w:p>
      <w:pPr>
        <w:pBdr>
          <w:bottom w:val="single" w:color="2E5496" w:sz="6" w:space="1"/>
        </w:pBdr>
        <w:spacing w:after="160"/>
      </w:pPr>
      <w:r>
        <w:t xml:space="preserve"/>
      </w:r>
    </w:p>
    <w:p>
      <w:pPr>
        <w:spacing w:after="160" w:line="276"/>
      </w:pPr>
      <w:r>
        <w:rPr>
          <w:b/>
          <w:bCs/>
        </w:rPr>
        <w:t xml:space="preserve">Date: </w:t>
      </w:r>
      <w:r>
        <w:t xml:space="preserve">__________ 2026</w:t>
      </w:r>
    </w:p>
    <w:p>
      <w:pPr>
        <w:spacing w:after="160" w:line="276"/>
      </w:pPr>
      <w:r>
        <w:rPr>
          <w:b/>
          <w:bCs/>
        </w:rPr>
        <w:t xml:space="preserve">To,</w:t>
      </w:r>
    </w:p>
    <w:p>
      <w:pPr>
        <w:spacing w:after="160" w:line="276"/>
      </w:pPr>
      <w:r>
        <w:rPr>
          <w:b/>
          <w:bCs/>
        </w:rPr>
        <w:t xml:space="preserve">The Chairman / The Member Secretary</w:t>
      </w:r>
    </w:p>
    <w:p>
      <w:pPr>
        <w:spacing w:after="160" w:line="276"/>
      </w:pPr>
      <w:r>
        <w:t xml:space="preserve">Goa State Pollution Control Board (GSPCB)</w:t>
      </w:r>
    </w:p>
    <w:p>
      <w:pPr>
        <w:spacing w:after="160" w:line="276"/>
      </w:pPr>
      <w:r>
        <w:t xml:space="preserve">Pilerne Industrial Estate, Opp. Saligao Seminary,</w:t>
      </w:r>
    </w:p>
    <w:p>
      <w:pPr>
        <w:spacing w:after="160" w:line="276"/>
      </w:pPr>
      <w:r>
        <w:t xml:space="preserve">Saligao, Marra, Bardez, Goa – 403 511</w:t>
      </w:r>
    </w:p>
    <w:p>
      <w:pPr>
        <w:spacing w:after="220" w:line="276"/>
      </w:pPr>
      <w:r>
        <w:rPr>
          <w:b/>
          <w:bCs/>
        </w:rPr>
        <w:t xml:space="preserve">Kind Attn: </w:t>
      </w:r>
      <w:r>
        <w:t xml:space="preserve">Er. Aryana Deshpande, Engineer, GSPCB</w:t>
      </w:r>
    </w:p>
    <w:p>
      <w:pPr>
        <w:spacing w:after="220" w:line="276"/>
      </w:pPr>
      <w:r>
        <w:rPr>
          <w:b/>
          <w:bCs/>
        </w:rPr>
        <w:t xml:space="preserve">Subject: </w:t>
      </w:r>
      <w:r>
        <w:t xml:space="preserve">Complaint by senior citizens against noise pollution, public nuisance, rowdy behaviour and late-night disturbance caused by the outdoor padel courts operated as the “Sunday Racquet and Social Club” at House No. 47/3, Gaunsawaddo, Sodiem, Siolim, immediately adjacent to residential villas at La Masseria, Survey No. 197/A, Siolim, Bardez – Goa.</w:t>
      </w:r>
    </w:p>
    <w:p>
      <w:pPr>
        <w:spacing w:after="160" w:line="276"/>
      </w:pPr>
      <w:r>
        <w:t xml:space="preserve">Respected Sir / Madam,</w:t>
      </w:r>
    </w:p>
    <w:p>
      <w:pPr>
        <w:spacing w:after="160" w:line="276"/>
      </w:pPr>
      <w:r>
        <w:rPr>
          <w:b/>
          <w:bCs/>
        </w:rPr>
        <w:t xml:space="preserve">1.  </w:t>
      </w:r>
      <w:r>
        <w:t xml:space="preserve">We, the undersigned residents and owners of villas situated at </w:t>
      </w:r>
      <w:r>
        <w:rPr>
          <w:b/>
          <w:bCs/>
        </w:rPr>
        <w:t xml:space="preserve">La Masseria, Survey No. 197/A, Village Siolim, Bardez, Goa – 403 517</w:t>
      </w:r>
      <w:r>
        <w:t xml:space="preserve">, respectfully submit this complaint seeking the urgent intervention of the Goa State Pollution Control Board in relation to the noise pollution, public nuisance and disorderly conduct arising from the operation of outdoor padel courts — run as the “Sunday Racquet and Social Club” at House No. 47/3, Gaunsawaddo, Sodiem, Siolim — situated immediately adjacent to our residential properties.</w:t>
      </w:r>
    </w:p>
    <w:p>
      <w:pPr>
        <w:pStyle w:val="Heading2"/>
      </w:pPr>
      <w:r>
        <w:t xml:space="preserve">A.  The Complainants</w:t>
      </w:r>
    </w:p>
    <w:p>
      <w:pPr>
        <w:spacing w:after="160" w:line="276"/>
      </w:pPr>
      <w:r>
        <w:t xml:space="preserve">Four of us are senior citizens above 60 years of age who have acquired and occupied the said villas for peaceful living, rest and health reasons: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26"/>
        <w:gridCol w:w="1500"/>
        <w:gridCol w:w="2500"/>
      </w:tblGrid>
      <w:tr>
        <w:trPr>
          <w:tblHeader/>
        </w:trPr>
        <w:tc>
          <w:tcPr>
            <w:tcW w:type="dxa" w:w="800"/>
            <w:shd w:fill="D9E2F3" w:val="clear"/>
            <w:tcMar>
              <w:top w:type="dxa" w:w="60"/>
              <w:left w:type="dxa" w:w="120"/>
              <w:bottom w:type="dxa" w:w="60"/>
              <w:right w:type="dxa" w:w="120"/>
            </w:tcMar>
          </w:tcPr>
          <w:p>
            <w:r>
              <w:rPr>
                <w:b/>
                <w:bCs/>
              </w:rPr>
              <w:t xml:space="preserve">Sr.</w:t>
            </w:r>
          </w:p>
        </w:tc>
        <w:tc>
          <w:tcPr>
            <w:tcW w:type="dxa" w:w="4226"/>
            <w:shd w:fill="D9E2F3" w:val="clear"/>
            <w:tcMar>
              <w:top w:type="dxa" w:w="60"/>
              <w:left w:type="dxa" w:w="120"/>
              <w:bottom w:type="dxa" w:w="60"/>
              <w:right w:type="dxa" w:w="120"/>
            </w:tcMar>
          </w:tcPr>
          <w:p>
            <w:r>
              <w:rPr>
                <w:b/>
                <w:bCs/>
              </w:rPr>
              <w:t xml:space="preserve">Name of Complainant</w:t>
            </w:r>
          </w:p>
        </w:tc>
        <w:tc>
          <w:tcPr>
            <w:tcW w:type="dxa" w:w="1500"/>
            <w:shd w:fill="D9E2F3" w:val="clear"/>
            <w:tcMar>
              <w:top w:type="dxa" w:w="60"/>
              <w:left w:type="dxa" w:w="120"/>
              <w:bottom w:type="dxa" w:w="60"/>
              <w:right w:type="dxa" w:w="120"/>
            </w:tcMar>
          </w:tcPr>
          <w:p>
            <w:r>
              <w:rPr>
                <w:b/>
                <w:bCs/>
              </w:rPr>
              <w:t xml:space="preserve">Age</w:t>
            </w:r>
          </w:p>
        </w:tc>
        <w:tc>
          <w:tcPr>
            <w:tcW w:type="dxa" w:w="2500"/>
            <w:shd w:fill="D9E2F3" w:val="clear"/>
            <w:tcMar>
              <w:top w:type="dxa" w:w="60"/>
              <w:left w:type="dxa" w:w="120"/>
              <w:bottom w:type="dxa" w:w="60"/>
              <w:right w:type="dxa" w:w="120"/>
            </w:tcMar>
          </w:tcPr>
          <w:p>
            <w:r>
              <w:rPr>
                <w:b/>
                <w:bCs/>
              </w:rPr>
              <w:t xml:space="preserve">Residence</w:t>
            </w:r>
          </w:p>
        </w:tc>
      </w:tr>
      <w:tr>
        <w:tc>
          <w:tcPr>
            <w:tcW w:type="dxa" w:w="800"/>
            <w:tcMar>
              <w:top w:type="dxa" w:w="60"/>
              <w:left w:type="dxa" w:w="120"/>
              <w:bottom w:type="dxa" w:w="60"/>
              <w:right w:type="dxa" w:w="120"/>
            </w:tcMar>
          </w:tcPr>
          <w:p>
            <w:r>
              <w:t xml:space="preserve">1.</w:t>
            </w:r>
          </w:p>
        </w:tc>
        <w:tc>
          <w:tcPr>
            <w:tcW w:type="dxa" w:w="4226"/>
            <w:tcMar>
              <w:top w:type="dxa" w:w="60"/>
              <w:left w:type="dxa" w:w="120"/>
              <w:bottom w:type="dxa" w:w="60"/>
              <w:right w:type="dxa" w:w="120"/>
            </w:tcMar>
          </w:tcPr>
          <w:p>
            <w:r>
              <w:t xml:space="preserve">Smt. Smriti Ahuja</w:t>
            </w:r>
          </w:p>
        </w:tc>
        <w:tc>
          <w:tcPr>
            <w:tcW w:type="dxa" w:w="1500"/>
            <w:tcMar>
              <w:top w:type="dxa" w:w="60"/>
              <w:left w:type="dxa" w:w="120"/>
              <w:bottom w:type="dxa" w:w="60"/>
              <w:right w:type="dxa" w:w="120"/>
            </w:tcMar>
          </w:tcPr>
          <w:p>
            <w:r>
              <w:t xml:space="preserve">63</w:t>
            </w:r>
          </w:p>
        </w:tc>
        <w:tc>
          <w:tcPr>
            <w:tcW w:type="dxa" w:w="2500"/>
            <w:tcMar>
              <w:top w:type="dxa" w:w="60"/>
              <w:left w:type="dxa" w:w="120"/>
              <w:bottom w:type="dxa" w:w="60"/>
              <w:right w:type="dxa" w:w="120"/>
            </w:tcMar>
          </w:tcPr>
          <w:p>
            <w:r>
              <w:t xml:space="preserve">Villa No. 11</w:t>
            </w:r>
          </w:p>
        </w:tc>
      </w:tr>
      <w:tr>
        <w:tc>
          <w:tcPr>
            <w:tcW w:type="dxa" w:w="800"/>
            <w:tcMar>
              <w:top w:type="dxa" w:w="60"/>
              <w:left w:type="dxa" w:w="120"/>
              <w:bottom w:type="dxa" w:w="60"/>
              <w:right w:type="dxa" w:w="120"/>
            </w:tcMar>
          </w:tcPr>
          <w:p>
            <w:r>
              <w:t xml:space="preserve">2.</w:t>
            </w:r>
          </w:p>
        </w:tc>
        <w:tc>
          <w:tcPr>
            <w:tcW w:type="dxa" w:w="4226"/>
            <w:tcMar>
              <w:top w:type="dxa" w:w="60"/>
              <w:left w:type="dxa" w:w="120"/>
              <w:bottom w:type="dxa" w:w="60"/>
              <w:right w:type="dxa" w:w="120"/>
            </w:tcMar>
          </w:tcPr>
          <w:p>
            <w:r>
              <w:t xml:space="preserve">Shri Rajiv Ahuja</w:t>
            </w:r>
          </w:p>
        </w:tc>
        <w:tc>
          <w:tcPr>
            <w:tcW w:type="dxa" w:w="1500"/>
            <w:tcMar>
              <w:top w:type="dxa" w:w="60"/>
              <w:left w:type="dxa" w:w="120"/>
              <w:bottom w:type="dxa" w:w="60"/>
              <w:right w:type="dxa" w:w="120"/>
            </w:tcMar>
          </w:tcPr>
          <w:p>
            <w:r>
              <w:t xml:space="preserve">63</w:t>
            </w:r>
          </w:p>
        </w:tc>
        <w:tc>
          <w:tcPr>
            <w:tcW w:type="dxa" w:w="2500"/>
            <w:tcMar>
              <w:top w:type="dxa" w:w="60"/>
              <w:left w:type="dxa" w:w="120"/>
              <w:bottom w:type="dxa" w:w="60"/>
              <w:right w:type="dxa" w:w="120"/>
            </w:tcMar>
          </w:tcPr>
          <w:p>
            <w:r>
              <w:t xml:space="preserve">Villa No. 11</w:t>
            </w:r>
          </w:p>
        </w:tc>
      </w:tr>
      <w:tr>
        <w:tc>
          <w:tcPr>
            <w:tcW w:type="dxa" w:w="800"/>
            <w:tcMar>
              <w:top w:type="dxa" w:w="60"/>
              <w:left w:type="dxa" w:w="120"/>
              <w:bottom w:type="dxa" w:w="60"/>
              <w:right w:type="dxa" w:w="120"/>
            </w:tcMar>
          </w:tcPr>
          <w:p>
            <w:r>
              <w:t xml:space="preserve">3.</w:t>
            </w:r>
          </w:p>
        </w:tc>
        <w:tc>
          <w:tcPr>
            <w:tcW w:type="dxa" w:w="4226"/>
            <w:tcMar>
              <w:top w:type="dxa" w:w="60"/>
              <w:left w:type="dxa" w:w="120"/>
              <w:bottom w:type="dxa" w:w="60"/>
              <w:right w:type="dxa" w:w="120"/>
            </w:tcMar>
          </w:tcPr>
          <w:p>
            <w:r>
              <w:t xml:space="preserve">Shri Gautam Vora</w:t>
            </w:r>
          </w:p>
        </w:tc>
        <w:tc>
          <w:tcPr>
            <w:tcW w:type="dxa" w:w="1500"/>
            <w:tcMar>
              <w:top w:type="dxa" w:w="60"/>
              <w:left w:type="dxa" w:w="120"/>
              <w:bottom w:type="dxa" w:w="60"/>
              <w:right w:type="dxa" w:w="120"/>
            </w:tcMar>
          </w:tcPr>
          <w:p>
            <w:r>
              <w:t xml:space="preserve">48</w:t>
            </w:r>
          </w:p>
        </w:tc>
        <w:tc>
          <w:tcPr>
            <w:tcW w:type="dxa" w:w="2500"/>
            <w:tcMar>
              <w:top w:type="dxa" w:w="60"/>
              <w:left w:type="dxa" w:w="120"/>
              <w:bottom w:type="dxa" w:w="60"/>
              <w:right w:type="dxa" w:w="120"/>
            </w:tcMar>
          </w:tcPr>
          <w:p>
            <w:r>
              <w:t xml:space="preserve">Villa No. 08</w:t>
            </w:r>
          </w:p>
        </w:tc>
      </w:tr>
      <w:tr>
        <w:tc>
          <w:tcPr>
            <w:tcW w:type="dxa" w:w="800"/>
            <w:tcMar>
              <w:top w:type="dxa" w:w="60"/>
              <w:left w:type="dxa" w:w="120"/>
              <w:bottom w:type="dxa" w:w="60"/>
              <w:right w:type="dxa" w:w="120"/>
            </w:tcMar>
          </w:tcPr>
          <w:p>
            <w:r>
              <w:t xml:space="preserve">4.</w:t>
            </w:r>
          </w:p>
        </w:tc>
        <w:tc>
          <w:tcPr>
            <w:tcW w:type="dxa" w:w="4226"/>
            <w:tcMar>
              <w:top w:type="dxa" w:w="60"/>
              <w:left w:type="dxa" w:w="120"/>
              <w:bottom w:type="dxa" w:w="60"/>
              <w:right w:type="dxa" w:w="120"/>
            </w:tcMar>
          </w:tcPr>
          <w:p>
            <w:r>
              <w:t xml:space="preserve">Smt. Madhavi Vora</w:t>
            </w:r>
          </w:p>
        </w:tc>
        <w:tc>
          <w:tcPr>
            <w:tcW w:type="dxa" w:w="1500"/>
            <w:tcMar>
              <w:top w:type="dxa" w:w="60"/>
              <w:left w:type="dxa" w:w="120"/>
              <w:bottom w:type="dxa" w:w="60"/>
              <w:right w:type="dxa" w:w="120"/>
            </w:tcMar>
          </w:tcPr>
          <w:p>
            <w:r>
              <w:t xml:space="preserve">69</w:t>
            </w:r>
          </w:p>
        </w:tc>
        <w:tc>
          <w:tcPr>
            <w:tcW w:type="dxa" w:w="2500"/>
            <w:tcMar>
              <w:top w:type="dxa" w:w="60"/>
              <w:left w:type="dxa" w:w="120"/>
              <w:bottom w:type="dxa" w:w="60"/>
              <w:right w:type="dxa" w:w="120"/>
            </w:tcMar>
          </w:tcPr>
          <w:p>
            <w:r>
              <w:t xml:space="preserve">Villa No. 08</w:t>
            </w:r>
          </w:p>
        </w:tc>
      </w:tr>
    </w:tbl>
    <w:p>
      <w:r>
        <w:t xml:space="preserve"/>
      </w:r>
    </w:p>
    <w:p>
      <w:pPr>
        <w:spacing w:after="160" w:line="276"/>
      </w:pPr>
      <w:r>
        <w:t xml:space="preserve">Several of the complainants suffer from serious medical conditions, including coronary artery disease with multiple cardiac stents, chronic heart ailments, diabetes and other age-related health issues. Medical records are annexed in support of this complaint. The continuing disturbance poses a direct risk to the health and well-being of elderly residents.</w:t>
      </w:r>
    </w:p>
    <w:p>
      <w:pPr>
        <w:pStyle w:val="Heading2"/>
      </w:pPr>
      <w:r>
        <w:t xml:space="preserve">B.  Nature of the Disturbance</w:t>
      </w:r>
    </w:p>
    <w:p>
      <w:pPr>
        <w:spacing w:after="160" w:line="276"/>
      </w:pPr>
      <w:r>
        <w:t xml:space="preserve">The outdoor padel courts have become operational only recently. Since the commencement of operations, the following disturbances are being experienced on a daily basis:</w:t>
      </w:r>
    </w:p>
    <w:p>
      <w:pPr>
        <w:pStyle w:val="ListParagraph"/>
        <w:numPr>
          <w:ilvl w:val="0"/>
          <w:numId w:val="2"/>
        </w:numPr>
        <w:spacing w:after="120" w:line="276"/>
      </w:pPr>
      <w:r>
        <w:rPr>
          <w:b/>
          <w:bCs/>
        </w:rPr>
        <w:t xml:space="preserve">Continuous sharp impact noise</w:t>
      </w:r>
      <w:r>
        <w:t xml:space="preserve"> from paddle-ball contact, clearly audible inside the villas and gardens;</w:t>
      </w:r>
    </w:p>
    <w:p>
      <w:pPr>
        <w:pStyle w:val="ListParagraph"/>
        <w:numPr>
          <w:ilvl w:val="0"/>
          <w:numId w:val="2"/>
        </w:numPr>
        <w:spacing w:after="120" w:line="276"/>
      </w:pPr>
      <w:r>
        <w:rPr>
          <w:b/>
          <w:bCs/>
        </w:rPr>
        <w:t xml:space="preserve">Rowdy behaviour</w:t>
      </w:r>
      <w:r>
        <w:t xml:space="preserve">, including shouting, abusive and foul language by players and visitors;</w:t>
      </w:r>
    </w:p>
    <w:p>
      <w:pPr>
        <w:pStyle w:val="ListParagraph"/>
        <w:numPr>
          <w:ilvl w:val="0"/>
          <w:numId w:val="2"/>
        </w:numPr>
        <w:spacing w:after="120" w:line="276"/>
      </w:pPr>
      <w:r>
        <w:rPr>
          <w:b/>
          <w:bCs/>
        </w:rPr>
        <w:t xml:space="preserve">Loud amplified music</w:t>
      </w:r>
      <w:r>
        <w:t xml:space="preserve"> played on the premises, particularly during evening and night hours, from around 7:00 a.m. and continuing late into the night, often up to midnight.</w:t>
      </w:r>
    </w:p>
    <w:p>
      <w:pPr>
        <w:spacing w:after="160" w:line="276"/>
      </w:pPr>
      <w:r>
        <w:t xml:space="preserve">The padel courts directly face our villas, with no effective acoustic barrier or physical buffer, rendering the disturbance continuous and unavoidable.</w:t>
      </w:r>
    </w:p>
    <w:p>
      <w:pPr>
        <w:pStyle w:val="Heading2"/>
      </w:pPr>
      <w:r>
        <w:t xml:space="preserve">C.  Measured Noise Levels and Statutory Violation</w:t>
      </w:r>
    </w:p>
    <w:p>
      <w:pPr>
        <w:spacing w:after="160" w:line="276"/>
      </w:pPr>
      <w:r>
        <w:t xml:space="preserve">Mr. Gautam Vora, a resident of the complex, has conducted objective sound-level measurements using a professional-grade sound level (decibel) meter. The readings recorded during active play consistently ranged between </w:t>
      </w:r>
      <w:r>
        <w:rPr>
          <w:b/>
          <w:bCs/>
        </w:rPr>
        <w:t xml:space="preserve">68 dB(A) and 75 dB(A)</w:t>
      </w:r>
      <w:r>
        <w:t xml:space="preserve">, which substantially exceed the permissible daytime ambient noise limit of </w:t>
      </w:r>
      <w:r>
        <w:rPr>
          <w:b/>
          <w:bCs/>
        </w:rPr>
        <w:t xml:space="preserve">55 dB(A)</w:t>
      </w:r>
      <w:r>
        <w:t xml:space="preserve"> prescribed for residential areas under Schedule III read with Rule 3 of the </w:t>
      </w:r>
      <w:r>
        <w:rPr>
          <w:b/>
          <w:bCs/>
        </w:rPr>
        <w:t xml:space="preserve">Noise Pollution (Regulation and Control) Rules, 2000</w:t>
      </w:r>
      <w:r>
        <w:t xml:space="preserve">, framed under the Environment (Protection) Act, 1986. The permissible night-time limit for residential areas is </w:t>
      </w:r>
      <w:r>
        <w:rPr>
          <w:b/>
          <w:bCs/>
        </w:rPr>
        <w:t xml:space="preserve">45 dB(A)</w:t>
      </w:r>
      <w:r>
        <w:t xml:space="preserve">, which is exceeded by an even wider margin when amplified music is played after 10:00 p.m.</w:t>
      </w:r>
    </w:p>
    <w:p>
      <w:pPr>
        <w:spacing w:after="160" w:line="276"/>
      </w:pPr>
      <w:r>
        <w:t xml:space="preserve">These readings were recorded solely during active gameplay and increase significantly when music is played. Such excessive noise constitutes a clear statutory violation and amounts to a continuing public nuisance actionable under the said Rules, the Environment (Protection) Act, 1986, and Section 133 of the Code of Criminal Procedure, 1973 (now Section 152 of the Bharatiya Nagarik Suraksha Sanhita, 2023). The complainants are prepared to produce and demonstrate the sound-level readings before the competent authority, if required.</w:t>
      </w:r>
    </w:p>
    <w:p>
      <w:pPr>
        <w:pStyle w:val="Heading2"/>
      </w:pPr>
      <w:r>
        <w:t xml:space="preserve">D.  A Documented History of Unauthorised Construction at the Same Plot</w:t>
      </w:r>
    </w:p>
    <w:p>
      <w:pPr>
        <w:spacing w:after="160" w:line="276"/>
      </w:pPr>
      <w:r>
        <w:t xml:space="preserve">This is not the first time the structures at this plot have been found to be unauthorised. By </w:t>
      </w:r>
      <w:r>
        <w:rPr>
          <w:b/>
          <w:bCs/>
        </w:rPr>
        <w:t xml:space="preserve">Revocation Order Ref. No. V.P.S.S./2008-09/977 dated 24 September 2008</w:t>
      </w:r>
      <w:r>
        <w:t xml:space="preserve">, the Village Panchayat Siolim-Sodiem revoked Construction Licence No. F.01/V.P.S.S./2008-09/ResH/74 in respect of the structure at </w:t>
      </w:r>
      <w:r>
        <w:rPr>
          <w:b/>
          <w:bCs/>
        </w:rPr>
        <w:t xml:space="preserve">Survey No. 197/7, Gaunsawado, Siolim</w:t>
      </w:r>
      <w:r>
        <w:t xml:space="preserve">, under Sections 66(1), 66(3) and 66(4) of the Goa Panchayat Raj Act, 1994.</w:t>
      </w:r>
    </w:p>
    <w:p>
      <w:pPr>
        <w:spacing w:after="160" w:line="276"/>
      </w:pPr>
      <w:r>
        <w:t xml:space="preserve">That revocation followed a complaint by </w:t>
      </w:r>
      <w:r>
        <w:rPr>
          <w:b/>
          <w:bCs/>
        </w:rPr>
        <w:t xml:space="preserve">Mr. Olympio Almeida</w:t>
      </w:r>
      <w:r>
        <w:t xml:space="preserve">, a Stop-Work Notice dated 16 July 2008, and an inspection report of the Town &amp; Country Planning Department, Mapusa (Ref. DB/18694/08/1755 dated 11 July 2008), which confirmed that the construction was “not as per the approved plan.” The padel courts and clubhouse now operating on this very plot therefore stand on a property with a documented record of construction in breach of sanctioned plans and Panchayat conditions — a commercial sporting facility operating in what is a residential zone.</w:t>
      </w:r>
    </w:p>
    <w:p>
      <w:pPr>
        <w:pStyle w:val="Heading2"/>
      </w:pPr>
      <w:r>
        <w:t xml:space="preserve">E.  Legal and Regulatory Concerns</w:t>
      </w:r>
    </w:p>
    <w:p>
      <w:pPr>
        <w:spacing w:after="160" w:line="276"/>
      </w:pPr>
      <w:r>
        <w:t xml:space="preserve">The activities complained of constitute a public nuisance and noise pollution, and violate, among others:</w:t>
      </w:r>
    </w:p>
    <w:p>
      <w:pPr>
        <w:pStyle w:val="ListParagraph"/>
        <w:numPr>
          <w:ilvl w:val="0"/>
          <w:numId w:val="3"/>
        </w:numPr>
        <w:spacing w:after="120" w:line="276"/>
      </w:pPr>
      <w:r>
        <w:t xml:space="preserve">The Noise Pollution (Regulation and Control) Rules, 2000, and the ambient noise standards prescribed therein for residential areas;</w:t>
      </w:r>
    </w:p>
    <w:p>
      <w:pPr>
        <w:pStyle w:val="ListParagraph"/>
        <w:numPr>
          <w:ilvl w:val="0"/>
          <w:numId w:val="3"/>
        </w:numPr>
        <w:spacing w:after="120" w:line="276"/>
      </w:pPr>
      <w:r>
        <w:t xml:space="preserve">Residential-zone noise norms and time restrictions, including the prohibition on the use of loudspeakers / amplified sound between 10:00 p.m. and 6:00 a.m.;</w:t>
      </w:r>
    </w:p>
    <w:p>
      <w:pPr>
        <w:pStyle w:val="ListParagraph"/>
        <w:numPr>
          <w:ilvl w:val="0"/>
          <w:numId w:val="3"/>
        </w:numPr>
        <w:spacing w:after="120" w:line="276"/>
      </w:pPr>
      <w:r>
        <w:t xml:space="preserve">The right to peaceful living and the right to sleep, recognised as part of the right to life under Article 21 of the Constitution of India (In re: Noise Pollution, (2005) 5 SCC 733);</w:t>
      </w:r>
    </w:p>
    <w:p>
      <w:pPr>
        <w:pStyle w:val="ListParagraph"/>
        <w:numPr>
          <w:ilvl w:val="0"/>
          <w:numId w:val="3"/>
        </w:numPr>
        <w:spacing w:after="120" w:line="276"/>
      </w:pPr>
      <w:r>
        <w:t xml:space="preserve">The settled principle that recreational or commercial activities cannot be carried out in a manner that disturbs residential peace, especially where senior citizens are affected.</w:t>
      </w:r>
    </w:p>
    <w:p>
      <w:pPr>
        <w:spacing w:after="160" w:line="276"/>
      </w:pPr>
      <w:r>
        <w:t xml:space="preserve">Outdoor padel courts generate impulse noise that is inherently incompatible with residential use. When coupled with late-night activity, loud music and unruly behaviour, the activity becomes entirely unsuitable and unlawful in a residential setting. The courts are situated at an approximate distance of only 30 to 40 feet from our residential villas, with no effective buffer. Given the nature of impulse noise and the senior-citizen profile of the residents, this proximity is wholly incompatible with peaceful residential use.</w:t>
      </w:r>
    </w:p>
    <w:p>
      <w:pPr>
        <w:pStyle w:val="Heading2"/>
      </w:pPr>
      <w:r>
        <w:t xml:space="preserve">F.  Reliefs Respectfully Sought</w:t>
      </w:r>
    </w:p>
    <w:p>
      <w:pPr>
        <w:spacing w:after="160" w:line="276"/>
      </w:pPr>
      <w:r>
        <w:t xml:space="preserve">In view of the above, we respectfully request the Goa State Pollution Control Board to:</w:t>
      </w:r>
    </w:p>
    <w:p>
      <w:pPr>
        <w:pStyle w:val="ListParagraph"/>
        <w:numPr>
          <w:ilvl w:val="0"/>
          <w:numId w:val="4"/>
        </w:numPr>
        <w:spacing w:after="120" w:line="276"/>
      </w:pPr>
      <w:r>
        <w:t xml:space="preserve">Conduct an immediate site inspection, including during evening and night hours, to verify the noise levels and the disturbance complained of;</w:t>
      </w:r>
    </w:p>
    <w:p>
      <w:pPr>
        <w:pStyle w:val="ListParagraph"/>
        <w:numPr>
          <w:ilvl w:val="0"/>
          <w:numId w:val="4"/>
        </w:numPr>
        <w:spacing w:after="120" w:line="276"/>
      </w:pPr>
      <w:r>
        <w:t xml:space="preserve">Direct the immediate suspension of the outdoor padel-court operations till the pending inquiry is concluded;</w:t>
      </w:r>
    </w:p>
    <w:p>
      <w:pPr>
        <w:pStyle w:val="ListParagraph"/>
        <w:numPr>
          <w:ilvl w:val="0"/>
          <w:numId w:val="4"/>
        </w:numPr>
        <w:spacing w:after="120" w:line="276"/>
      </w:pPr>
      <w:r>
        <w:t xml:space="preserve">Take action under the applicable noise-pollution and public-nuisance provisions, including the Noise Pollution (Regulation and Control) Rules, 2000;</w:t>
      </w:r>
    </w:p>
    <w:p>
      <w:pPr>
        <w:pStyle w:val="ListParagraph"/>
        <w:numPr>
          <w:ilvl w:val="0"/>
          <w:numId w:val="4"/>
        </w:numPr>
        <w:spacing w:after="120" w:line="276"/>
      </w:pPr>
      <w:r>
        <w:t xml:space="preserve">Issue necessary directions to prevent loud music, amplified sound and late-night disturbance, and to enforce the 10:00 p.m. to 6:00 a.m. silence norm;</w:t>
      </w:r>
    </w:p>
    <w:p>
      <w:pPr>
        <w:pStyle w:val="ListParagraph"/>
        <w:numPr>
          <w:ilvl w:val="0"/>
          <w:numId w:val="4"/>
        </w:numPr>
        <w:spacing w:after="120" w:line="276"/>
      </w:pPr>
      <w:r>
        <w:t xml:space="preserve">Pass appropriate orders to protect the health, safety and peaceful living of the senior-citizen residents; and</w:t>
      </w:r>
    </w:p>
    <w:p>
      <w:pPr>
        <w:pStyle w:val="ListParagraph"/>
        <w:numPr>
          <w:ilvl w:val="0"/>
          <w:numId w:val="4"/>
        </w:numPr>
        <w:spacing w:after="120" w:line="276"/>
      </w:pPr>
      <w:r>
        <w:t xml:space="preserve">Examine, in coordination with the Town &amp; Country Planning Department and the Village Panchayat Siolim-Sodiem, the legality of the commercial sporting operation on a residential plot with a prior history of licence revocation.</w:t>
      </w:r>
    </w:p>
    <w:p>
      <w:pPr>
        <w:spacing w:after="160" w:line="276"/>
      </w:pPr>
      <w:r>
        <w:t xml:space="preserve">We trust that the Goa State Pollution Control Board will take urgent and compassionate action, keeping in mind the welfare of senior citizens and the sanctity of residential living.</w:t>
      </w:r>
    </w:p>
    <w:p>
      <w:r>
        <w:t xml:space="preserve"/>
      </w:r>
    </w:p>
    <w:p>
      <w:pPr>
        <w:spacing w:after="160" w:line="276"/>
      </w:pPr>
      <w:r>
        <w:t xml:space="preserve">Yours faithfully,</w:t>
      </w:r>
    </w:p>
    <w:p>
      <w:r>
        <w:t xml:space="preserve"/>
      </w:r>
    </w:p>
    <w:p>
      <w:pPr>
        <w:spacing w:after="160" w:line="276"/>
      </w:pPr>
      <w:r>
        <w:t xml:space="preserve">For and on behalf of the residents of La Masseria, Siolim:</w:t>
      </w:r>
    </w:p>
    <w:p>
      <w:r>
        <w:t xml:space="preserve"/>
      </w:r>
    </w:p>
    <w:p>
      <w:r>
        <w:t xml:space="preserve"/>
      </w:r>
    </w:p>
    <w:p>
      <w:pPr>
        <w:spacing w:after="160" w:line="276"/>
      </w:pPr>
      <w:r>
        <w:t xml:space="preserve">Smt. Smriti Ahuja            Shri Rajiv Ahuja            Shri Gautam Vora            Smt. Madhavi Vora</w:t>
      </w:r>
    </w:p>
    <w:p>
      <w:pPr>
        <w:pBdr>
          <w:bottom w:val="single" w:color="2E5496" w:sz="6" w:space="1"/>
        </w:pBdr>
        <w:spacing w:after="160"/>
      </w:pPr>
      <w:r>
        <w:t xml:space="preserve"/>
      </w:r>
    </w:p>
    <w:p>
      <w:pPr>
        <w:spacing w:after="160" w:line="276"/>
      </w:pPr>
      <w:r>
        <w:rPr>
          <w:b/>
          <w:bCs/>
        </w:rPr>
        <w:t xml:space="preserve">Authorised Representative of the Complainants: </w:t>
      </w:r>
      <w:r>
        <w:t xml:space="preserve">Mr. Gautam Vora</w:t>
      </w:r>
    </w:p>
    <w:p>
      <w:pPr>
        <w:spacing w:after="160" w:line="276"/>
      </w:pPr>
      <w:r>
        <w:rPr>
          <w:b/>
          <w:bCs/>
        </w:rPr>
        <w:t xml:space="preserve">Address: </w:t>
      </w:r>
      <w:r>
        <w:t xml:space="preserve">Villa No. 08, La Masseria, Siolim, Bardez, Goa – 403 517</w:t>
      </w:r>
    </w:p>
    <w:p>
      <w:pPr>
        <w:spacing w:after="160" w:line="276"/>
      </w:pPr>
      <w:r>
        <w:rPr>
          <w:b/>
          <w:bCs/>
        </w:rPr>
        <w:t xml:space="preserve">Mobile: </w:t>
      </w:r>
      <w:r>
        <w:t xml:space="preserve">+91 98207 00995     </w:t>
      </w:r>
      <w:r>
        <w:rPr>
          <w:b/>
          <w:bCs/>
        </w:rPr>
        <w:t xml:space="preserve">Email: </w:t>
      </w:r>
      <w:r>
        <w:t xml:space="preserve">advskgoa@gmail.com</w:t>
      </w:r>
    </w:p>
    <w:p>
      <w:r>
        <w:t xml:space="preserve"/>
      </w:r>
    </w:p>
    <w:p>
      <w:pPr>
        <w:spacing w:after="160" w:line="276"/>
      </w:pPr>
      <w:r>
        <w:rPr>
          <w:b/>
          <w:bCs/>
        </w:rPr>
        <w:t xml:space="preserve">Enclosures: </w:t>
      </w:r>
      <w:r>
        <w:t xml:space="preserve">(i) Sound-level measurement report; (ii) Photographs of the site and proximity; (iii) Medical records of the complainants; (iv) Village Panchayat Siolim-Sodiem Revocation Order dated 24.09.2008; (v) Copy of the earlier complaint dated 09.03.2026.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color w:val="666666"/>
        <w:sz w:val="16"/>
        <w:szCs w:val="16"/>
      </w:rPr>
      <w:t xml:space="preserve">Updated Master Complaint — La Masseria, Siolim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2026-06-08T16:43:43.922Z</dcterms:created>
  <dcterms:modified xsi:type="dcterms:W3CDTF">2026-06-08T16:43:43.922Z</dcterms:modified>
</cp:coreProperties>
</file>

<file path=docProps/custom.xml><?xml version="1.0" encoding="utf-8"?>
<Properties xmlns="http://schemas.openxmlformats.org/officeDocument/2006/custom-properties" xmlns:vt="http://schemas.openxmlformats.org/officeDocument/2006/docPropsVTypes"/>
</file>