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BP-70C65 Mixed-Media Inline Printing — Phase 1 Findings</w:t>
      </w:r>
    </w:p>
    <w:p>
      <w:pPr>
        <w:pStyle w:val="Author"/>
      </w:pPr>
      <w:r>
        <w:t xml:space="preserve">Diagnostic testkit (pre-implementation)</w:t>
      </w:r>
    </w:p>
    <w:p>
      <w:pPr>
        <w:pStyle w:val="Date"/>
      </w:pPr>
      <w:r>
        <w:t xml:space="preserve">2026-07-23</w:t>
      </w:r>
    </w:p>
    <w:p>
      <w:pPr>
        <w:pStyle w:val="FirstParagraph"/>
      </w:pPr>
      <w:r>
        <w:rPr>
          <w:b/>
          <w:bCs/>
        </w:rPr>
        <w:t xml:space="preserve">Objective.</w:t>
      </w:r>
      <w:r>
        <w:t xml:space="preserve"> </w:t>
      </w:r>
      <w:r>
        <w:t xml:space="preserve">Determine — before building the production service — whether the Sharp</w:t>
      </w:r>
      <w:r>
        <w:t xml:space="preserve"> </w:t>
      </w:r>
      <w:r>
        <w:t xml:space="preserve">BP-70C65 can produce inline mixed media (tab / body / tab in one pass) from a single</w:t>
      </w:r>
      <w:r>
        <w:t xml:space="preserve"> </w:t>
      </w:r>
      <w:r>
        <w:t xml:space="preserve">print job submitted</w:t>
      </w:r>
      <w:r>
        <w:t xml:space="preserve"> </w:t>
      </w:r>
      <w:r>
        <w:rPr>
          <w:b/>
          <w:bCs/>
        </w:rPr>
        <w:t xml:space="preserve">programmatically</w:t>
      </w:r>
      <w:r>
        <w:t xml:space="preserve"> </w:t>
      </w:r>
      <w:r>
        <w:t xml:space="preserve">(not through the driver’s manual dialog).</w:t>
      </w:r>
    </w:p>
    <w:p>
      <w:pPr>
        <w:pStyle w:val="BodyText"/>
      </w:pPr>
      <w:r>
        <w:rPr>
          <w:b/>
          <w:bCs/>
        </w:rPr>
        <w:t xml:space="preserve">Environment.</w:t>
      </w:r>
      <w:r>
        <w:t xml:space="preserve"> </w:t>
      </w:r>
      <w:r>
        <w:t xml:space="preserve">Printer: Sharp BP-70C65, queue</w:t>
      </w:r>
      <w:r>
        <w:t xml:space="preserve"> </w:t>
      </w:r>
      <w:r>
        <w:rPr>
          <w:rStyle w:val="VerbatimChar"/>
        </w:rPr>
        <w:t xml:space="preserve">SHARP#1</w:t>
      </w:r>
      <w:r>
        <w:t xml:space="preserve">, driver</w:t>
      </w:r>
      <w:r>
        <w:t xml:space="preserve"> </w:t>
      </w:r>
      <w:r>
        <w:rPr>
          <w:rStyle w:val="VerbatimChar"/>
        </w:rPr>
        <w:t xml:space="preserve">SHARP BP-70C65 PCL6</w:t>
      </w:r>
      <w:r>
        <w:t xml:space="preserve"> </w:t>
      </w:r>
      <w:r>
        <w:t xml:space="preserve">(v3 / GDI,</w:t>
      </w:r>
      <w:r>
        <w:t xml:space="preserve"> </w:t>
      </w:r>
      <w:r>
        <w:rPr>
          <w:rStyle w:val="VerbatimChar"/>
        </w:rPr>
        <w:t xml:space="preserve">IsXpsDevice = False</w:t>
      </w:r>
      <w:r>
        <w:t xml:space="preserve">), IP 192.168.1.147. Submitted from Windows PowerShell</w:t>
      </w:r>
      <w:r>
        <w:t xml:space="preserve"> </w:t>
      </w:r>
      <w:r>
        <w:t xml:space="preserve">5.1 via</w:t>
      </w:r>
      <w:r>
        <w:t xml:space="preserve"> </w:t>
      </w:r>
      <w:r>
        <w:rPr>
          <w:rStyle w:val="VerbatimChar"/>
        </w:rPr>
        <w:t xml:space="preserve">System.Printing</w:t>
      </w:r>
      <w:r>
        <w:t xml:space="preserve"> </w:t>
      </w:r>
      <w:r>
        <w:t xml:space="preserve">/ XPS. Every option string below was read from the machine’s</w:t>
      </w:r>
      <w:r>
        <w:t xml:space="preserve"> </w:t>
      </w:r>
      <w:r>
        <w:t xml:space="preserve">own capabilities — none hardcoded or assumed.</w:t>
      </w:r>
    </w:p>
    <w:p>
      <w:pPr>
        <w:pStyle w:val="BodyText"/>
      </w:pPr>
      <w:r>
        <w:rPr>
          <w:b/>
          <w:bCs/>
        </w:rPr>
        <w:t xml:space="preserve">Approach (what we did).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</w:t>
      </w:r>
      <w:r>
        <w:t xml:space="preserve"> </w:t>
      </w:r>
      <w:r>
        <w:t xml:space="preserve">— read the driver’s PrintCapabilities (</w:t>
      </w:r>
      <w:r>
        <w:rPr>
          <w:rStyle w:val="VerbatimChar"/>
        </w:rPr>
        <w:t xml:space="preserve">GetPrintCapabilitiesAsXml</w:t>
      </w:r>
      <w:r>
        <w:t xml:space="preserve">);</w:t>
      </w:r>
      <w:r>
        <w:t xml:space="preserve"> </w:t>
      </w:r>
      <w:r>
        <w:t xml:space="preserve">enumerated all features and resolved exact option strings from the machine.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</w:t>
      </w:r>
      <w:r>
        <w:t xml:space="preserve"> </w:t>
      </w:r>
      <w:r>
        <w:t xml:space="preserve">XPS jobs with per-page PrintTickets (body = Plain, tab = Tab Paper) using</w:t>
      </w:r>
      <w:r>
        <w:t xml:space="preserve"> </w:t>
      </w:r>
      <w:r>
        <w:t xml:space="preserve">those resolved strings.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Captured the driver’s actual output (PCL/PJL)</w:t>
      </w:r>
      <w:r>
        <w:t xml:space="preserve"> </w:t>
      </w:r>
      <w:r>
        <w:t xml:space="preserve">by cloning the driver onto a FILE</w:t>
      </w:r>
      <w:r>
        <w:t xml:space="preserve"> </w:t>
      </w:r>
      <w:r>
        <w:t xml:space="preserve">port — renders to a file; nothing prints on the device; no driver installed or changed.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test</w:t>
      </w:r>
      <w:r>
        <w:t xml:space="preserve"> </w:t>
      </w:r>
      <w:r>
        <w:t xml:space="preserve">— job-level media, to separate driver behaviour from the submission path.</w:t>
      </w:r>
    </w:p>
    <w:p>
      <w:pPr>
        <w:pStyle w:val="FirstParagraph"/>
      </w:pPr>
      <w:r>
        <w:rPr>
          <w:b/>
          <w:bCs/>
        </w:rPr>
        <w:t xml:space="preserve">Evidence — what software can control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print-capabilities.xml</w:t>
      </w:r>
      <w:r>
        <w:t xml:space="preserve">). The driver exposes a</w:t>
      </w:r>
      <w:r>
        <w:t xml:space="preserve"> </w:t>
      </w:r>
      <w:r>
        <w:t xml:space="preserve">fixed menu of settings to software; the ones that matter: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Tray: whole-job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JobInputBin</w:t>
      </w:r>
      <w:r>
        <w:t xml:space="preserve">) — no per-page tray (</w:t>
      </w:r>
      <w:r>
        <w:rPr>
          <w:rStyle w:val="VerbatimChar"/>
        </w:rPr>
        <w:t xml:space="preserve">PageInputBin</w:t>
      </w:r>
      <w:r>
        <w:t xml:space="preserve"> </w:t>
      </w:r>
      <w:r>
        <w:t xml:space="preserve">is absent).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 / insert feature: not exposed</w:t>
      </w:r>
      <w:r>
        <w:t xml:space="preserve"> </w:t>
      </w:r>
      <w:r>
        <w:t xml:space="preserve">— it exists only in the manual driver window.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“Tab Paper”</w:t>
      </w:r>
      <w:r>
        <w:rPr>
          <w:b/>
          <w:bCs/>
        </w:rPr>
        <w:t xml:space="preserve">: a whole-job paper type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PageMediaType</w:t>
      </w:r>
      <w:r>
        <w:t xml:space="preserve">), not per page.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tab/body/tab needs a different tray per page; this driver takes</w:t>
      </w:r>
      <w:r>
        <w:t xml:space="preserve"> </w:t>
      </w:r>
      <w:r>
        <w:rPr>
          <w:b/>
          <w:bCs/>
        </w:rPr>
        <w:t xml:space="preserve">one tray</w:t>
      </w:r>
      <w:r>
        <w:rPr>
          <w:b/>
          <w:bCs/>
        </w:rPr>
        <w:t xml:space="preserve"> </w:t>
      </w:r>
      <w:r>
        <w:rPr>
          <w:b/>
          <w:bCs/>
        </w:rPr>
        <w:t xml:space="preserve">and one paper type per job.</w:t>
      </w:r>
    </w:p>
    <w:p>
      <w:pPr>
        <w:pStyle w:val="BodyText"/>
      </w:pPr>
      <w:r>
        <w:rPr>
          <w:b/>
          <w:bCs/>
        </w:rPr>
        <w:t xml:space="preserve">Evidence — submission attempts</w:t>
      </w:r>
      <w:r>
        <w:t xml:space="preserve"> </w:t>
      </w:r>
      <w:r>
        <w:t xml:space="preserve">(each captured from the driver’s emitted PCL):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Captured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PrintQueue.AddJob(fastCopy=true)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System.NotSupportedException</w:t>
            </w:r>
            <w:r>
              <w:t xml:space="preserve"> </w:t>
            </w:r>
            <w:r>
              <w:t xml:space="preserve">— requires an XPSDrv printer (this is v3/GDI)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StartXpsPrintJob</w:t>
            </w:r>
            <w:r>
              <w:t xml:space="preserve"> </w:t>
            </w:r>
            <w:r>
              <w:t xml:space="preserve">(XPS Print API)</w:t>
            </w:r>
          </w:p>
        </w:tc>
        <w:tc>
          <w:tcPr/>
          <w:p>
            <w:pPr>
              <w:pStyle w:val="Compact"/>
            </w:pPr>
            <w:r>
              <w:t xml:space="preserve">bytes accepted,</w:t>
            </w:r>
            <w:r>
              <w:t xml:space="preserve"> </w:t>
            </w:r>
            <w:r>
              <w:rPr>
                <w:b/>
                <w:bCs/>
              </w:rPr>
              <w:t xml:space="preserve">never renders</w:t>
            </w:r>
            <w:r>
              <w:t xml:space="preserve"> </w:t>
            </w:r>
            <w:r>
              <w:t xml:space="preserve">(jobId=0, E_PENDING, no output)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XpsDocumentWriter.Write(sequence)</w:t>
            </w:r>
          </w:p>
        </w:tc>
        <w:tc>
          <w:tcPr/>
          <w:p>
            <w:pPr>
              <w:pStyle w:val="Compact"/>
            </w:pPr>
            <w:r>
              <w:t xml:space="preserve">renders; per-page tickets flattened → one</w:t>
            </w:r>
            <w:r>
              <w:t xml:space="preserve"> </w:t>
            </w:r>
            <w:r>
              <w:rPr>
                <w:rStyle w:val="VerbatimChar"/>
              </w:rPr>
              <w:t xml:space="preserve">@PJL SET MEDIATYPE=DEFAULTMEDIATYPE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XpsDocumentWriter</w:t>
            </w:r>
            <w:r>
              <w:t xml:space="preserve"> </w:t>
            </w:r>
            <w:r>
              <w:t xml:space="preserve">per-page collator (Plain/Tab/Plain)</w:t>
            </w:r>
          </w:p>
        </w:tc>
        <w:tc>
          <w:tcPr/>
          <w:p>
            <w:pPr>
              <w:pStyle w:val="Compact"/>
            </w:pPr>
            <w:r>
              <w:t xml:space="preserve">renders;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@PJL SET MEDIATYPE=PLAIN1</w:t>
            </w:r>
            <w:r>
              <w:t xml:space="preserve"> </w:t>
            </w:r>
            <w:r>
              <w:t xml:space="preserve">— the tab page’s media is dropped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 — control test</w:t>
      </w:r>
      <w:r>
        <w:t xml:space="preserve"> </w:t>
      </w:r>
      <w:r>
        <w:t xml:space="preserve">(single-page job, whole-job media):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 media</w:t>
            </w:r>
          </w:p>
        </w:tc>
        <w:tc>
          <w:tcPr/>
          <w:p>
            <w:pPr>
              <w:pStyle w:val="Compact"/>
            </w:pPr>
            <w:r>
              <w:t xml:space="preserve">Captured PCL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@PJL SET MEDIATYPE=PLAIN1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Paper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@PJL SET MEDIATYPE=TAB</w:t>
            </w:r>
          </w:p>
        </w:tc>
      </w:tr>
    </w:tbl>
    <w:p>
      <w:pPr>
        <w:pStyle w:val="BodyText"/>
      </w:pPr>
      <w:r>
        <w:t xml:space="preserve">Different → the driver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accept and honour a submitted media type (including the</w:t>
      </w:r>
      <w:r>
        <w:t xml:space="preserve"> </w:t>
      </w:r>
      <w:r>
        <w:t xml:space="preserve">private Tab Paper) —</w:t>
      </w:r>
      <w:r>
        <w:t xml:space="preserve"> </w:t>
      </w:r>
      <w:r>
        <w:rPr>
          <w:b/>
          <w:bCs/>
        </w:rPr>
        <w:t xml:space="preserve">at the job level.</w:t>
      </w:r>
    </w:p>
    <w:p>
      <w:pPr>
        <w:pStyle w:val="BodyText"/>
      </w:pPr>
      <w:r>
        <w:rPr>
          <w:b/>
          <w:bCs/>
        </w:rPr>
        <w:t xml:space="preserve">Conclusion (evidence-backed).</w:t>
      </w:r>
      <w:r>
        <w:t xml:space="preserve"> </w:t>
      </w:r>
      <w:r>
        <w:t xml:space="preserve">The BP-70C65 PCL6 driver honours</w:t>
      </w:r>
      <w:r>
        <w:t xml:space="preserve"> </w:t>
      </w:r>
      <w:r>
        <w:rPr>
          <w:b/>
          <w:bCs/>
        </w:rPr>
        <w:t xml:space="preserve">one media type per</w:t>
      </w:r>
      <w:r>
        <w:rPr>
          <w:b/>
          <w:bCs/>
        </w:rP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via a submitted PrintTicket — a whole-job Tab job really emits</w:t>
      </w:r>
      <w:r>
        <w:t xml:space="preserve"> </w:t>
      </w:r>
      <w:r>
        <w:rPr>
          <w:rStyle w:val="VerbatimChar"/>
        </w:rPr>
        <w:t xml:space="preserve">MEDIATYPE=TAB</w:t>
      </w:r>
      <w:r>
        <w:t xml:space="preserve"> </w:t>
      </w:r>
      <w:r>
        <w:t xml:space="preserve">—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per-page media switching within a single job collapses to the first page’s media.</w:t>
      </w:r>
      <w:r>
        <w:t xml:space="preserve"> </w:t>
      </w:r>
      <w:r>
        <w:t xml:space="preserve">There is no per-page tray feature and no programmatically-settable tab/insert feature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TABPRINT</w:t>
      </w:r>
      <w:r>
        <w:t xml:space="preserve"> </w:t>
      </w:r>
      <w:r>
        <w:t xml:space="preserve">is a PJL knob with no PrintTicket keyword).</w:t>
      </w:r>
      <w:r>
        <w:t xml:space="preserve"> </w:t>
      </w:r>
      <w:r>
        <w:rPr>
          <w:b/>
          <w:bCs/>
        </w:rPr>
        <w:t xml:space="preserve">Therefore inline tab/body/tab</w:t>
      </w:r>
      <w:r>
        <w:rPr>
          <w:b/>
          <w:bCs/>
        </w:rPr>
        <w:t xml:space="preserve"> </w:t>
      </w:r>
      <w:r>
        <w:rPr>
          <w:b/>
          <w:bCs/>
        </w:rPr>
        <w:t xml:space="preserve">from a single automated job is not achievable on this driver via submission.</w:t>
      </w:r>
    </w:p>
    <w:p>
      <w:pPr>
        <w:pStyle w:val="BodyText"/>
      </w:pPr>
      <w:r>
        <w:rPr>
          <w:b/>
          <w:bCs/>
        </w:rPr>
        <w:t xml:space="preserve">Scope limits (not tested).</w:t>
      </w:r>
      <w:r>
        <w:t xml:space="preserve"> </w:t>
      </w:r>
      <w:r>
        <w:t xml:space="preserve">No physical sheets were printed — findings are from the</w:t>
      </w:r>
      <w:r>
        <w:t xml:space="preserve"> </w:t>
      </w:r>
      <w:r>
        <w:t xml:space="preserve">driver’s emitted PCL. The Sharp</w:t>
      </w:r>
      <w:r>
        <w:t xml:space="preserve"> </w:t>
      </w:r>
      <w:r>
        <w:rPr>
          <w:b/>
          <w:bCs/>
        </w:rPr>
        <w:t xml:space="preserve">V4 / XPSDrv</w:t>
      </w:r>
      <w:r>
        <w:t xml:space="preserve"> </w:t>
      </w:r>
      <w:r>
        <w:t xml:space="preserve">driver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tested: it would</w:t>
      </w:r>
      <w:r>
        <w:t xml:space="preserve"> </w:t>
      </w:r>
      <w:r>
        <w:t xml:space="preserve">require installing a driver on the live production unit (production risk) and would need</w:t>
      </w:r>
      <w:r>
        <w:t xml:space="preserve"> </w:t>
      </w:r>
      <w:r>
        <w:t xml:space="preserve">a non-production BP-70C65. Low-level private-DEVMODE manipulation and any Sharp print SDK</w:t>
      </w:r>
      <w:r>
        <w:t xml:space="preserve"> </w:t>
      </w:r>
      <w:r>
        <w:t xml:space="preserve">were out of scope.</w:t>
      </w:r>
    </w:p>
    <w:p>
      <w:pPr>
        <w:pStyle w:val="BodyText"/>
      </w:pPr>
      <w:r>
        <w:rPr>
          <w:b/>
          <w:bCs/>
        </w:rPr>
        <w:t xml:space="preserve">Decision / options.</w:t>
      </w:r>
      <w:r>
        <w:t xml:space="preserve"> </w:t>
      </w:r>
      <w:r>
        <w:t xml:space="preserve">(1) Test the V4/XPSDrv driver on a non-production BP-70C65 — the</w:t>
      </w:r>
      <w:r>
        <w:t xml:space="preserve"> </w:t>
      </w:r>
      <w:r>
        <w:t xml:space="preserve">only remaining path that could enable inline. (2) Move the automated workflow to a</w:t>
      </w:r>
      <w:r>
        <w:t xml:space="preserve"> </w:t>
      </w:r>
      <w:r>
        <w:t xml:space="preserve">printer/driver that supports per-page media programmatically. (3) Keep mixed media as a</w:t>
      </w:r>
      <w:r>
        <w:t xml:space="preserve"> </w:t>
      </w:r>
      <w:r>
        <w:t xml:space="preserve">manual driver-dialog task (works, not automatable).</w:t>
      </w:r>
    </w:p>
    <w:p>
      <w:pPr>
        <w:pStyle w:val="BodyText"/>
      </w:pPr>
      <w:r>
        <w:rPr>
          <w:i/>
          <w:iCs/>
        </w:rPr>
        <w:t xml:space="preserve">Phase 1 answered its gate question with captured evidence, in diagnostic scope, before</w:t>
      </w:r>
      <w:r>
        <w:rPr>
          <w:i/>
          <w:iCs/>
        </w:rPr>
        <w:t xml:space="preserve"> </w:t>
      </w:r>
      <w:r>
        <w:rPr>
          <w:i/>
          <w:iCs/>
        </w:rPr>
        <w:t xml:space="preserve">any production code was written. Source artifacts (capabilities XML, captured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.prn</w:t>
      </w:r>
      <w:r>
        <w:rPr>
          <w:i/>
          <w:iCs/>
        </w:rPr>
        <w:t xml:space="preserve"> </w:t>
      </w:r>
      <w:r>
        <w:rPr>
          <w:i/>
          <w:iCs/>
        </w:rPr>
        <w:t xml:space="preserve">files, toolkit, full log) are in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mixed-media-inline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BP-70C65 Mixed-Media Inline Printing — Phase 1 Findings</dc:title>
  <dc:creator>Diagnostic testkit (pre-implementation)</dc:creator>
  <cp:keywords/>
  <dcterms:created xsi:type="dcterms:W3CDTF">2026-07-23T10:35:55Z</dcterms:created>
  <dcterms:modified xsi:type="dcterms:W3CDTF">2026-07-23T10:35:55Z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2026-07-23</vt:lpwstr>
  </property>
</Properties>
</file>