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971i1e1latp" w:id="0"/>
      <w:bookmarkEnd w:id="0"/>
      <w:r w:rsidDel="00000000" w:rsidR="00000000" w:rsidRPr="00000000">
        <w:rPr>
          <w:rtl w:val="0"/>
        </w:rPr>
        <w:t xml:space="preserve">Guia de Estudos: Gestão de Superfície de Ataque (ASM), Segurança Cibernética e Inteligência de Fontes Abertas (OSINT)</w:t>
      </w:r>
    </w:p>
    <w:p w:rsidR="00000000" w:rsidDel="00000000" w:rsidP="00000000" w:rsidRDefault="00000000" w:rsidRPr="00000000" w14:paraId="00000002">
      <w:pPr>
        <w:rPr/>
      </w:pPr>
      <w:r w:rsidDel="00000000" w:rsidR="00000000" w:rsidRPr="00000000">
        <w:rPr>
          <w:rtl w:val="0"/>
        </w:rPr>
        <w:t xml:space="preserve">Este guia de estudos foi elaborado para sintetizar os principais conceitos, arcabouços legais, dimensões técnicas e controvérsias associadas à Gestão de Superfície de Ataque (ASM), à Proteção contra Riscos Digitais (DRP), à Inteligência contra Ameaças Cibernéticas (CTI) e ao uso de Inteligência de Fontes Abertas (OSINT). O objetivo é fornecer um material estruturado para revisão de conteúdo, preparação técnica e análise crítica das práticas de inteligência e segurança da informação.</w:t>
      </w:r>
    </w:p>
    <w:p w:rsidR="00000000" w:rsidDel="00000000" w:rsidP="00000000" w:rsidRDefault="00000000" w:rsidRPr="00000000" w14:paraId="00000003">
      <w:pPr>
        <w:pStyle w:val="Heading4"/>
        <w:rPr/>
      </w:pPr>
      <w:bookmarkStart w:colFirst="0" w:colLast="0" w:name="_wi0rfk8zyrd9" w:id="1"/>
      <w:bookmarkEnd w:id="1"/>
      <w:r w:rsidDel="00000000" w:rsidR="00000000" w:rsidRPr="00000000">
        <w:rPr>
          <w:rtl w:val="0"/>
        </w:rPr>
        <w:t xml:space="preserve">Questionário de Avaliação (10 Questões Curtas)</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O que é</w:t>
      </w:r>
      <w:r w:rsidDel="00000000" w:rsidR="00000000" w:rsidRPr="00000000">
        <w:rPr>
          <w:rtl w:val="0"/>
        </w:rPr>
        <w:t xml:space="preserve">  </w:t>
      </w:r>
      <w:r w:rsidDel="00000000" w:rsidR="00000000" w:rsidRPr="00000000">
        <w:rPr>
          <w:b w:val="1"/>
          <w:bCs w:val="1"/>
          <w:i w:val="1"/>
          <w:iCs w:val="1"/>
          <w:rtl w:val="0"/>
        </w:rPr>
        <w:t xml:space="preserve">Attack Surface Management</w:t>
      </w:r>
      <w:r w:rsidDel="00000000" w:rsidR="00000000" w:rsidRPr="00000000">
        <w:rPr>
          <w:rtl w:val="0"/>
        </w:rPr>
        <w:t xml:space="preserve">  </w:t>
      </w:r>
      <w:r w:rsidDel="00000000" w:rsidR="00000000" w:rsidRPr="00000000">
        <w:rPr>
          <w:b w:val="1"/>
          <w:bCs w:val="1"/>
          <w:rtl w:val="0"/>
        </w:rPr>
        <w:t xml:space="preserve">(ASM) e quais são as suas três funções operacionais primárias?</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De que maneira a solução de</w:t>
      </w:r>
      <w:r w:rsidDel="00000000" w:rsidR="00000000" w:rsidRPr="00000000">
        <w:rPr>
          <w:rtl w:val="0"/>
        </w:rPr>
        <w:t xml:space="preserve">  </w:t>
      </w:r>
      <w:r w:rsidDel="00000000" w:rsidR="00000000" w:rsidRPr="00000000">
        <w:rPr>
          <w:b w:val="1"/>
          <w:bCs w:val="1"/>
          <w:i w:val="1"/>
          <w:iCs w:val="1"/>
          <w:rtl w:val="0"/>
        </w:rPr>
        <w:t xml:space="preserve">Digital Risk Protection</w:t>
      </w:r>
      <w:r w:rsidDel="00000000" w:rsidR="00000000" w:rsidRPr="00000000">
        <w:rPr>
          <w:rtl w:val="0"/>
        </w:rPr>
        <w:t xml:space="preserve">  </w:t>
      </w:r>
      <w:r w:rsidDel="00000000" w:rsidR="00000000" w:rsidRPr="00000000">
        <w:rPr>
          <w:b w:val="1"/>
          <w:bCs w:val="1"/>
          <w:rtl w:val="0"/>
        </w:rPr>
        <w:t xml:space="preserve">(DRP) se diferencia funcionalmente do</w:t>
      </w:r>
      <w:r w:rsidDel="00000000" w:rsidR="00000000" w:rsidRPr="00000000">
        <w:rPr>
          <w:rtl w:val="0"/>
        </w:rPr>
        <w:t xml:space="preserve">  </w:t>
      </w:r>
      <w:r w:rsidDel="00000000" w:rsidR="00000000" w:rsidRPr="00000000">
        <w:rPr>
          <w:b w:val="1"/>
          <w:bCs w:val="1"/>
          <w:i w:val="1"/>
          <w:iCs w:val="1"/>
          <w:rtl w:val="0"/>
        </w:rPr>
        <w:t xml:space="preserve">Cyber Threat Intelligence</w:t>
      </w:r>
      <w:r w:rsidDel="00000000" w:rsidR="00000000" w:rsidRPr="00000000">
        <w:rPr>
          <w:rtl w:val="0"/>
        </w:rPr>
        <w:t xml:space="preserve">  </w:t>
      </w:r>
      <w:r w:rsidDel="00000000" w:rsidR="00000000" w:rsidRPr="00000000">
        <w:rPr>
          <w:b w:val="1"/>
          <w:bCs w:val="1"/>
          <w:rtl w:val="0"/>
        </w:rPr>
        <w:t xml:space="preserve">(CTI)?</w:t>
      </w:r>
    </w:p>
    <w:p w:rsidR="00000000" w:rsidDel="00000000" w:rsidP="00000000" w:rsidRDefault="00000000" w:rsidRPr="00000000" w14:paraId="00000006">
      <w:pPr>
        <w:numPr>
          <w:ilvl w:val="0"/>
          <w:numId w:val="3"/>
        </w:numPr>
        <w:ind w:left="720" w:hanging="360"/>
        <w:rPr>
          <w:b w:val="1"/>
          <w:bCs w:val="1"/>
        </w:rPr>
      </w:pPr>
      <w:r w:rsidDel="00000000" w:rsidR="00000000" w:rsidRPr="00000000">
        <w:rPr>
          <w:b w:val="1"/>
          <w:bCs w:val="1"/>
          <w:rtl w:val="0"/>
        </w:rPr>
        <w:t xml:space="preserve">Qual foi o entendimento consolidado pelo Supremo Tribunal Federal (STF) na ADPF 722 a respeito do "Dossiê Antifascista"?</w:t>
      </w:r>
    </w:p>
    <w:p w:rsidR="00000000" w:rsidDel="00000000" w:rsidP="00000000" w:rsidRDefault="00000000" w:rsidRPr="00000000" w14:paraId="00000007">
      <w:pPr>
        <w:numPr>
          <w:ilvl w:val="0"/>
          <w:numId w:val="3"/>
        </w:numPr>
        <w:ind w:left="720" w:hanging="360"/>
        <w:rPr>
          <w:b w:val="1"/>
          <w:bCs w:val="1"/>
        </w:rPr>
      </w:pPr>
      <w:r w:rsidDel="00000000" w:rsidR="00000000" w:rsidRPr="00000000">
        <w:rPr>
          <w:b w:val="1"/>
          <w:bCs w:val="1"/>
          <w:rtl w:val="0"/>
        </w:rPr>
        <w:t xml:space="preserve">Como a Lei Geral de Proteção de Dados Pessoais (LGPD) regula o uso de dados de acesso público e quais são as suas exceções de aplicação?</w:t>
      </w:r>
    </w:p>
    <w:p w:rsidR="00000000" w:rsidDel="00000000" w:rsidP="00000000" w:rsidRDefault="00000000" w:rsidRPr="00000000" w14:paraId="00000008">
      <w:pPr>
        <w:numPr>
          <w:ilvl w:val="0"/>
          <w:numId w:val="3"/>
        </w:numPr>
        <w:ind w:left="720" w:hanging="360"/>
        <w:rPr>
          <w:b w:val="1"/>
          <w:bCs w:val="1"/>
        </w:rPr>
      </w:pPr>
      <w:r w:rsidDel="00000000" w:rsidR="00000000" w:rsidRPr="00000000">
        <w:rPr>
          <w:b w:val="1"/>
          <w:bCs w:val="1"/>
          <w:rtl w:val="0"/>
        </w:rPr>
        <w:t xml:space="preserve">Por qual razão o Tribunal de Contas da União (TCU) determinou a suspensão cautelar do pregão para aquisição do sistema OSINT pelo Ministério da Justiça em 2021?</w:t>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Quais são as quatro disciplinas clássicas de coleta de inteligência e qual parcela do orçamento governamental a fase de coleta costuma absorver?</w:t>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Quais foram os marcos históricos decisivos para a institucionalização do OSINT nos Estados Unidos a partir da década de 1930 até os anos 2000?</w:t>
      </w:r>
    </w:p>
    <w:p w:rsidR="00000000" w:rsidDel="00000000" w:rsidP="00000000" w:rsidRDefault="00000000" w:rsidRPr="00000000" w14:paraId="0000000B">
      <w:pPr>
        <w:numPr>
          <w:ilvl w:val="0"/>
          <w:numId w:val="3"/>
        </w:numPr>
        <w:ind w:left="720" w:hanging="360"/>
        <w:rPr>
          <w:b w:val="1"/>
          <w:bCs w:val="1"/>
        </w:rPr>
      </w:pPr>
      <w:r w:rsidDel="00000000" w:rsidR="00000000" w:rsidRPr="00000000">
        <w:rPr>
          <w:b w:val="1"/>
          <w:bCs w:val="1"/>
          <w:rtl w:val="0"/>
        </w:rPr>
        <w:t xml:space="preserve">Qual foi o resultado do levantamento realizado junto a 19 órgãos públicos brasileiros sobre a utilização de OSINT em investigações criminais e a existência de normas específicas?</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Qual é o impacto do fenômeno conhecido como</w:t>
      </w:r>
      <w:r w:rsidDel="00000000" w:rsidR="00000000" w:rsidRPr="00000000">
        <w:rPr>
          <w:rtl w:val="0"/>
        </w:rPr>
        <w:t xml:space="preserve">  </w:t>
      </w:r>
      <w:r w:rsidDel="00000000" w:rsidR="00000000" w:rsidRPr="00000000">
        <w:rPr>
          <w:b w:val="1"/>
          <w:bCs w:val="1"/>
          <w:i w:val="1"/>
          <w:iCs w:val="1"/>
          <w:rtl w:val="0"/>
        </w:rPr>
        <w:t xml:space="preserve">Shadow IT</w:t>
      </w:r>
      <w:r w:rsidDel="00000000" w:rsidR="00000000" w:rsidRPr="00000000">
        <w:rPr>
          <w:rtl w:val="0"/>
        </w:rPr>
        <w:t xml:space="preserve">  </w:t>
      </w:r>
      <w:r w:rsidDel="00000000" w:rsidR="00000000" w:rsidRPr="00000000">
        <w:rPr>
          <w:b w:val="1"/>
          <w:bCs w:val="1"/>
          <w:rtl w:val="0"/>
        </w:rPr>
        <w:t xml:space="preserve">na expansão da superfície de ataque corporativa e na ocorrência de vazamentos?</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Quais táticas e técnicas do ecossistema MITRE ATT&amp;CK estão diretamente ligadas às etapas iniciais de reconhecimento e exploração da superfície de ataque externa?</w:t>
      </w:r>
    </w:p>
    <w:p w:rsidR="00000000" w:rsidDel="00000000" w:rsidP="00000000" w:rsidRDefault="00000000" w:rsidRPr="00000000" w14:paraId="0000000E">
      <w:pPr>
        <w:pStyle w:val="Heading4"/>
        <w:rPr/>
      </w:pPr>
      <w:bookmarkStart w:colFirst="0" w:colLast="0" w:name="_yt2tuw1x4x50" w:id="2"/>
      <w:bookmarkEnd w:id="2"/>
      <w:r w:rsidDel="00000000" w:rsidR="00000000" w:rsidRPr="00000000">
        <w:rPr>
          <w:rtl w:val="0"/>
        </w:rPr>
        <w:t xml:space="preserve">Gabarito das Respostas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O  </w:t>
      </w:r>
      <w:r w:rsidDel="00000000" w:rsidR="00000000" w:rsidRPr="00000000">
        <w:rPr>
          <w:i w:val="1"/>
          <w:iCs w:val="1"/>
          <w:rtl w:val="0"/>
        </w:rPr>
        <w:t xml:space="preserve">Attack Surface Management</w:t>
      </w:r>
      <w:r w:rsidDel="00000000" w:rsidR="00000000" w:rsidRPr="00000000">
        <w:rPr>
          <w:rtl w:val="0"/>
        </w:rPr>
        <w:t xml:space="preserve">  (ASM) é uma disciplina voltada para a identificação, análise e monitoramento contínuo de todos os pontos de entrada digital expostos de uma organização. Suas três funções primárias são a  </w:t>
      </w:r>
      <w:r w:rsidDel="00000000" w:rsidR="00000000" w:rsidRPr="00000000">
        <w:rPr>
          <w:b w:val="1"/>
          <w:bCs w:val="1"/>
          <w:rtl w:val="0"/>
        </w:rPr>
        <w:t xml:space="preserve">Descoberta</w:t>
      </w:r>
      <w:r w:rsidDel="00000000" w:rsidR="00000000" w:rsidRPr="00000000">
        <w:rPr>
          <w:rtl w:val="0"/>
        </w:rPr>
        <w:t xml:space="preserve">  (mapeamento de ativos desconhecidos ou esquecidos), o  </w:t>
      </w:r>
      <w:r w:rsidDel="00000000" w:rsidR="00000000" w:rsidRPr="00000000">
        <w:rPr>
          <w:b w:val="1"/>
          <w:bCs w:val="1"/>
          <w:rtl w:val="0"/>
        </w:rPr>
        <w:t xml:space="preserve">Monitoramento</w:t>
      </w:r>
      <w:r w:rsidDel="00000000" w:rsidR="00000000" w:rsidRPr="00000000">
        <w:rPr>
          <w:rtl w:val="0"/>
        </w:rPr>
        <w:t xml:space="preserve">  (acompanhamento permanente de alterações e novas exposições) e a  </w:t>
      </w:r>
      <w:r w:rsidDel="00000000" w:rsidR="00000000" w:rsidRPr="00000000">
        <w:rPr>
          <w:b w:val="1"/>
          <w:bCs w:val="1"/>
          <w:rtl w:val="0"/>
        </w:rPr>
        <w:t xml:space="preserve">Análise</w:t>
      </w:r>
      <w:r w:rsidDel="00000000" w:rsidR="00000000" w:rsidRPr="00000000">
        <w:rPr>
          <w:rtl w:val="0"/>
        </w:rPr>
        <w:t xml:space="preserve">  (avaliação de criticidade para priorização da remediação).</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O DRP foca especificamente na proteção contra riscos digitais externos voltados à organização, atuando na detecção e remoção de ameaças como phishing, vazamento de dados e uso indevido de marcas em redes sociais, Dark Web e plataformas privadas. Já o CTI é o processo abrangente de coleta e análise de dados sobre ameaças cibernéticas para prever ataques e entender o comportamento dos agentes maliciosos, dividindo-se em níveis estratégico, tático e operacional.</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 julgamento da ADPF 722, o STF declarou a inconstitucionalidade da produção do "Dossiê Antifascista" pela SEOPI, definindo que o mapeamento e compartilhamento de dados de servidores públicos e professores opositores configurou desvio de finalidade e abuso de poder. A Corte ratificou que os serviços de inteligência estão submetidos ao Poder Judiciário e aos limites constitucionais, sendo vedado o uso da máquina pública para perseguição política.</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 LGPD estabelece que o tratamento de dados pessoais de acesso público deve obrigatoriamente considerar a finalidade, a boa-fé e o interesse público que justificaram sua disponibilização original. A lei prevê exceções parciais de sua aplicação para fins de segurança pública, defesa nacional, investigação penal, e atividades acadêmicas ou jornalísticas, mas exige que tais operações respeitem o devido processo legal e os direitos fundamentais do titular.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O TCU suspendeu cautelarmente o processo licitatório de R$ 25,4 milhões promovido pela Segen/MJSP devido ao alto risco de desvio de finalidade, falta de transparência no tratamento de dados pessoais e alegações de interferência para aparelhamento político das estruturas de inteligência. A medida cautelar acabou sendo revogada posteriormente por ausência de elementos probatórios nos autos sobre a intenção de uso indevido da ferramenta, sendo o processo encerrado em março de 2023.</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As quatro modalidades tradicionais de coleta de inteligência são HUMINT (fontes humanas), SIGINT (sinais e comunicações), IMINT (imagens) e OSINT (fontes abertas). Na comunidade internacional de inteligência, estima-se que entre 80% e 90% dos investimentos governamentais no setor sejam absorvidos pela fase de coleta do ciclo de inteligência.</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O marco inicial ocorreu no final dos anos 1930 com o  </w:t>
      </w:r>
      <w:r w:rsidDel="00000000" w:rsidR="00000000" w:rsidRPr="00000000">
        <w:rPr>
          <w:i w:val="1"/>
          <w:iCs w:val="1"/>
          <w:rtl w:val="0"/>
        </w:rPr>
        <w:t xml:space="preserve">Foreign Broadcast Information Service</w:t>
      </w:r>
      <w:r w:rsidDel="00000000" w:rsidR="00000000" w:rsidRPr="00000000">
        <w:rPr>
          <w:rtl w:val="0"/>
        </w:rPr>
        <w:t xml:space="preserve">  (FBIS), criado para monitorar emissões de rádio e publicações internacionais durante a Segunda Guerra Mundial e a Guerra Fria. Após o reavivamento do tema em decorrência dos ataques de 11 de setembro de 2001, a prática foi formalmente institucionalizada em 8 de novembro de 2005 com a criação do  </w:t>
      </w:r>
      <w:r w:rsidDel="00000000" w:rsidR="00000000" w:rsidRPr="00000000">
        <w:rPr>
          <w:i w:val="1"/>
          <w:iCs w:val="1"/>
          <w:rtl w:val="0"/>
        </w:rPr>
        <w:t xml:space="preserve">Open Source Center</w:t>
      </w:r>
      <w:r w:rsidDel="00000000" w:rsidR="00000000" w:rsidRPr="00000000">
        <w:rPr>
          <w:rtl w:val="0"/>
        </w:rPr>
        <w:t xml:space="preserve">  (OSC) sob a estrutura da CIA.</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 pesquisa revelou que 48% dos órgãos afirmaram não usar OSINT para investigação criminal, 21% confirmaram o uso (MJSP, Seopi, MPF e CGU), 21% recusaram-se a prestar informações alegando sigilo e risco à segurança, 5% não responderam e 5% apresentaram respostas contraditórias. Adicionalmente, constatou-se que nenhum dos 19 órgãos públicos analisados possui uma norma ou regulamentação interna específica para balizar o uso de OSINT.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O  </w:t>
      </w:r>
      <w:r w:rsidDel="00000000" w:rsidR="00000000" w:rsidRPr="00000000">
        <w:rPr>
          <w:i w:val="1"/>
          <w:iCs w:val="1"/>
          <w:rtl w:val="0"/>
        </w:rPr>
        <w:t xml:space="preserve">Shadow IT</w:t>
      </w:r>
      <w:r w:rsidDel="00000000" w:rsidR="00000000" w:rsidRPr="00000000">
        <w:rPr>
          <w:rtl w:val="0"/>
        </w:rPr>
        <w:t xml:space="preserve">  ocorre quando setores internos criam ambientes digitais, subdomínios temporários, APIs ou contratam softwares SaaS sem a validação ou governança da equipe de TI e segurança. Esse crescimento descontrolado gera ativos invisíveis para a organização, os quais permanecem sem correções de segurança e acabam servindo de porta de entrada para um em cada três vazamentos de dados no mercado.</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As fases iniciais estão associadas a Reconhecimento ( </w:t>
      </w:r>
      <w:r w:rsidDel="00000000" w:rsidR="00000000" w:rsidRPr="00000000">
        <w:rPr>
          <w:i w:val="1"/>
          <w:iCs w:val="1"/>
          <w:rtl w:val="0"/>
        </w:rPr>
        <w:t xml:space="preserve">TA0043</w:t>
      </w:r>
      <w:r w:rsidDel="00000000" w:rsidR="00000000" w:rsidRPr="00000000">
        <w:rPr>
          <w:rtl w:val="0"/>
        </w:rPr>
        <w:t xml:space="preserve"> ) e Desenvolvimento de Recursos ( </w:t>
      </w:r>
      <w:r w:rsidDel="00000000" w:rsidR="00000000" w:rsidRPr="00000000">
        <w:rPr>
          <w:i w:val="1"/>
          <w:iCs w:val="1"/>
          <w:rtl w:val="0"/>
        </w:rPr>
        <w:t xml:space="preserve">TA0042</w:t>
      </w:r>
      <w:r w:rsidDel="00000000" w:rsidR="00000000" w:rsidRPr="00000000">
        <w:rPr>
          <w:rtl w:val="0"/>
        </w:rPr>
        <w:t xml:space="preserve"> ), utilizando técnicas como Varredura Ativa ( </w:t>
      </w:r>
      <w:r w:rsidDel="00000000" w:rsidR="00000000" w:rsidRPr="00000000">
        <w:rPr>
          <w:i w:val="1"/>
          <w:iCs w:val="1"/>
          <w:rtl w:val="0"/>
        </w:rPr>
        <w:t xml:space="preserve">T1595</w:t>
      </w:r>
      <w:r w:rsidDel="00000000" w:rsidR="00000000" w:rsidRPr="00000000">
        <w:rPr>
          <w:rtl w:val="0"/>
        </w:rPr>
        <w:t xml:space="preserve"> ) e Coleta de Informações de Rede da Vítima ( </w:t>
      </w:r>
      <w:r w:rsidDel="00000000" w:rsidR="00000000" w:rsidRPr="00000000">
        <w:rPr>
          <w:i w:val="1"/>
          <w:iCs w:val="1"/>
          <w:rtl w:val="0"/>
        </w:rPr>
        <w:t xml:space="preserve">T1590</w:t>
      </w:r>
      <w:r w:rsidDel="00000000" w:rsidR="00000000" w:rsidRPr="00000000">
        <w:rPr>
          <w:rtl w:val="0"/>
        </w:rPr>
        <w:t xml:space="preserve"> ). Para o acesso inicial, destacam-se a Exploração de Aplicações Voltadas para a Internet ( </w:t>
      </w:r>
      <w:r w:rsidDel="00000000" w:rsidR="00000000" w:rsidRPr="00000000">
        <w:rPr>
          <w:i w:val="1"/>
          <w:iCs w:val="1"/>
          <w:rtl w:val="0"/>
        </w:rPr>
        <w:t xml:space="preserve">T1190</w:t>
      </w:r>
      <w:r w:rsidDel="00000000" w:rsidR="00000000" w:rsidRPr="00000000">
        <w:rPr>
          <w:rtl w:val="0"/>
        </w:rPr>
        <w:t xml:space="preserve"> ) e a Utilização de Contas Válidas ( </w:t>
      </w:r>
      <w:r w:rsidDel="00000000" w:rsidR="00000000" w:rsidRPr="00000000">
        <w:rPr>
          <w:i w:val="1"/>
          <w:iCs w:val="1"/>
          <w:rtl w:val="0"/>
        </w:rPr>
        <w:t xml:space="preserve">T1078</w:t>
      </w:r>
      <w:r w:rsidDel="00000000" w:rsidR="00000000" w:rsidRPr="00000000">
        <w:rPr>
          <w:rtl w:val="0"/>
        </w:rPr>
        <w:t xml:space="preserve"> ) obtidas a partir de credenciais vazadas anteriormente.</w:t>
      </w:r>
    </w:p>
    <w:p w:rsidR="00000000" w:rsidDel="00000000" w:rsidP="00000000" w:rsidRDefault="00000000" w:rsidRPr="00000000" w14:paraId="00000019">
      <w:pPr>
        <w:pStyle w:val="Heading4"/>
        <w:rPr/>
      </w:pPr>
      <w:bookmarkStart w:colFirst="0" w:colLast="0" w:name="_fqbxr77kz75p" w:id="3"/>
      <w:bookmarkEnd w:id="3"/>
      <w:r w:rsidDel="00000000" w:rsidR="00000000" w:rsidRPr="00000000">
        <w:rPr>
          <w:rtl w:val="0"/>
        </w:rPr>
        <w:t xml:space="preserve">Questões Dissertativas (Sem Resposta)</w:t>
      </w:r>
    </w:p>
    <w:p w:rsidR="00000000" w:rsidDel="00000000" w:rsidP="00000000" w:rsidRDefault="00000000" w:rsidRPr="00000000" w14:paraId="0000001A">
      <w:pPr>
        <w:numPr>
          <w:ilvl w:val="0"/>
          <w:numId w:val="2"/>
        </w:numPr>
        <w:ind w:left="720" w:hanging="360"/>
        <w:rPr>
          <w:b w:val="1"/>
          <w:bCs w:val="1"/>
          <w:u w:val="none"/>
        </w:rPr>
      </w:pPr>
      <w:r w:rsidDel="00000000" w:rsidR="00000000" w:rsidRPr="00000000">
        <w:rPr>
          <w:b w:val="1"/>
          <w:bCs w:val="1"/>
          <w:rtl w:val="0"/>
        </w:rPr>
        <w:t xml:space="preserve">Analise o conflito entre o emprego de ferramentas de Inteligência de Fontes Abertas (OSINT) por órgãos de segurança pública e a garantia dos direitos fundamentais à privacidade e à liberdade de expressão, considerando a ausência de legislação específica no Brasil.</w:t>
      </w:r>
    </w:p>
    <w:p w:rsidR="00000000" w:rsidDel="00000000" w:rsidP="00000000" w:rsidRDefault="00000000" w:rsidRPr="00000000" w14:paraId="0000001B">
      <w:pPr>
        <w:numPr>
          <w:ilvl w:val="0"/>
          <w:numId w:val="2"/>
        </w:numPr>
        <w:ind w:left="720" w:hanging="360"/>
        <w:rPr>
          <w:b w:val="1"/>
          <w:bCs w:val="1"/>
        </w:rPr>
      </w:pPr>
      <w:r w:rsidDel="00000000" w:rsidR="00000000" w:rsidRPr="00000000">
        <w:rPr>
          <w:b w:val="1"/>
          <w:bCs w:val="1"/>
          <w:rtl w:val="0"/>
        </w:rPr>
        <w:t xml:space="preserve">Discuta a relação de sinergia entre as soluções de Attack Surface Management (ASM), Digital Risk Protection (DRP) e Cyber Threat Intelligence (CTI), explicando detalhadamente como a integração dessas três disciplinas fortalece a resiliência cibernética de uma organização.</w:t>
      </w:r>
    </w:p>
    <w:p w:rsidR="00000000" w:rsidDel="00000000" w:rsidP="00000000" w:rsidRDefault="00000000" w:rsidRPr="00000000" w14:paraId="0000001C">
      <w:pPr>
        <w:numPr>
          <w:ilvl w:val="0"/>
          <w:numId w:val="2"/>
        </w:numPr>
        <w:ind w:left="720" w:hanging="360"/>
        <w:rPr>
          <w:b w:val="1"/>
          <w:bCs w:val="1"/>
        </w:rPr>
      </w:pPr>
      <w:r w:rsidDel="00000000" w:rsidR="00000000" w:rsidRPr="00000000">
        <w:rPr>
          <w:b w:val="1"/>
          <w:bCs w:val="1"/>
          <w:rtl w:val="0"/>
        </w:rPr>
        <w:t xml:space="preserve">Com base no entendimento do Supremo Tribunal Federal (ADPF 722) e nos acórdãos do Tribunal de Contas da União, avalie os limites éticos, jurídicos e operacionais da utilização de dados públicos pelo Estado para o monitoramento de cidadãos e servidores.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Elabore um plano estratégico de implementação corporativa de Gestão de Superfície de Ataque (ASM) dividido em quatro fases ao longo de 12 meses, detalhando as métricas de sucesso, os processos de priorização por risco e os riscos de ignorar o</w:t>
      </w:r>
      <w:r w:rsidDel="00000000" w:rsidR="00000000" w:rsidRPr="00000000">
        <w:rPr>
          <w:rtl w:val="0"/>
        </w:rPr>
        <w:t xml:space="preserve">  </w:t>
      </w:r>
      <w:r w:rsidDel="00000000" w:rsidR="00000000" w:rsidRPr="00000000">
        <w:rPr>
          <w:b w:val="1"/>
          <w:bCs w:val="1"/>
          <w:i w:val="1"/>
          <w:iCs w:val="1"/>
          <w:rtl w:val="0"/>
        </w:rPr>
        <w:t xml:space="preserve">Shadow IT</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Examine a evolução do conceito de "fontes abertas" desde a criação do FBIS até o ecossistema moderno da internet, contrastando a visão de profissionais de segurança e jornalistas com os riscos de vigilância estatal e o efeito inibidor (</w:t>
      </w:r>
      <w:r w:rsidDel="00000000" w:rsidR="00000000" w:rsidRPr="00000000">
        <w:rPr>
          <w:rtl w:val="0"/>
        </w:rPr>
        <w:t xml:space="preserve">  </w:t>
      </w:r>
      <w:r w:rsidDel="00000000" w:rsidR="00000000" w:rsidRPr="00000000">
        <w:rPr>
          <w:b w:val="1"/>
          <w:bCs w:val="1"/>
          <w:i w:val="1"/>
          <w:iCs w:val="1"/>
          <w:rtl w:val="0"/>
        </w:rPr>
        <w:t xml:space="preserve">chilling effect</w:t>
      </w:r>
      <w:r w:rsidDel="00000000" w:rsidR="00000000" w:rsidRPr="00000000">
        <w:rPr>
          <w:rtl w:val="0"/>
        </w:rPr>
        <w:t xml:space="preserve">  </w:t>
      </w:r>
      <w:r w:rsidDel="00000000" w:rsidR="00000000" w:rsidRPr="00000000">
        <w:rPr>
          <w:b w:val="1"/>
          <w:bCs w:val="1"/>
          <w:rtl w:val="0"/>
        </w:rPr>
        <w:t xml:space="preserve">) sobre a sociedade civil.</w:t>
      </w:r>
    </w:p>
    <w:p w:rsidR="00000000" w:rsidDel="00000000" w:rsidP="00000000" w:rsidRDefault="00000000" w:rsidRPr="00000000" w14:paraId="0000001F">
      <w:pPr>
        <w:pStyle w:val="Heading4"/>
        <w:rPr/>
      </w:pPr>
      <w:bookmarkStart w:colFirst="0" w:colLast="0" w:name="_2mu1273xunp7" w:id="4"/>
      <w:bookmarkEnd w:id="4"/>
      <w:r w:rsidDel="00000000" w:rsidR="00000000" w:rsidRPr="00000000">
        <w:rPr>
          <w:rtl w:val="0"/>
        </w:rPr>
        <w:t xml:space="preserve">Glossário de Termos-Chave</w:t>
      </w:r>
    </w:p>
    <w:p w:rsidR="00000000" w:rsidDel="00000000" w:rsidP="00000000" w:rsidRDefault="00000000" w:rsidRPr="00000000" w14:paraId="00000020">
      <w:pPr>
        <w:rPr/>
      </w:pPr>
      <w:r w:rsidDel="00000000" w:rsidR="00000000" w:rsidRPr="00000000">
        <w:rPr>
          <w:rtl w:val="0"/>
        </w:rPr>
        <w:t xml:space="preserve">Termo,Definição Baseada nas Fontes</w:t>
      </w:r>
    </w:p>
    <w:p w:rsidR="00000000" w:rsidDel="00000000" w:rsidP="00000000" w:rsidRDefault="00000000" w:rsidRPr="00000000" w14:paraId="00000021">
      <w:pPr>
        <w:rPr/>
      </w:pPr>
      <w:r w:rsidDel="00000000" w:rsidR="00000000" w:rsidRPr="00000000">
        <w:rPr>
          <w:rtl w:val="0"/>
        </w:rPr>
        <w:t xml:space="preserve">Attack Surface Management (ASM),"Disciplina de segurança cibernética responsável por identificar, inventariar, classificar e monitorar continuamente todos os ativos digitais expostos de uma organização (conhecidos, desconhecidos ou de terceiros)."</w:t>
      </w:r>
    </w:p>
    <w:p w:rsidR="00000000" w:rsidDel="00000000" w:rsidP="00000000" w:rsidRDefault="00000000" w:rsidRPr="00000000" w14:paraId="00000022">
      <w:pPr>
        <w:rPr/>
      </w:pPr>
      <w:r w:rsidDel="00000000" w:rsidR="00000000" w:rsidRPr="00000000">
        <w:rPr>
          <w:rtl w:val="0"/>
        </w:rPr>
        <w:t xml:space="preserve">Business Intelligence (BI),"Processo de coleta, organização, análise, compartilhamento e monitoramento de informações estruturadas que oferecem suporte estratégico à gestão de negócios."</w:t>
      </w:r>
    </w:p>
    <w:p w:rsidR="00000000" w:rsidDel="00000000" w:rsidP="00000000" w:rsidRDefault="00000000" w:rsidRPr="00000000" w14:paraId="00000023">
      <w:pPr>
        <w:rPr/>
      </w:pPr>
      <w:r w:rsidDel="00000000" w:rsidR="00000000" w:rsidRPr="00000000">
        <w:rPr>
          <w:rtl w:val="0"/>
        </w:rPr>
        <w:t xml:space="preserve">Certificate Transparency Logs,"Registros públicos e auditáveis de certificados TLS/SSL emitidos, utilizados por ferramentas de segurança para monitorar novos domínios e detectar infraestruturas ativas fora do inventário."</w:t>
      </w:r>
    </w:p>
    <w:p w:rsidR="00000000" w:rsidDel="00000000" w:rsidP="00000000" w:rsidRDefault="00000000" w:rsidRPr="00000000" w14:paraId="00000024">
      <w:pPr>
        <w:rPr/>
      </w:pPr>
      <w:r w:rsidDel="00000000" w:rsidR="00000000" w:rsidRPr="00000000">
        <w:rPr>
          <w:rtl w:val="0"/>
        </w:rPr>
        <w:t xml:space="preserve">Cyber Threat Intelligence (CTI),"Processo de coleta, análise e disseminação de informações sobre ameaças cibernéticas e agentes maliciosos, dividido em níveis estratégico (tendências globais), tático (TTPs) e operacional (IOCs em tempo real)."</w:t>
      </w:r>
    </w:p>
    <w:p w:rsidR="00000000" w:rsidDel="00000000" w:rsidP="00000000" w:rsidRDefault="00000000" w:rsidRPr="00000000" w14:paraId="00000025">
      <w:pPr>
        <w:rPr/>
      </w:pPr>
      <w:r w:rsidDel="00000000" w:rsidR="00000000" w:rsidRPr="00000000">
        <w:rPr>
          <w:rtl w:val="0"/>
        </w:rPr>
        <w:t xml:space="preserve">Dark Web,"Subconjunto da  Deep Web  que opera em redes sobrepostas criptografadas e exige softwares específicos para acesso, frequentemente utilizado para fóruns restritos, cibercrime e negociação de dados vazados."</w:t>
      </w:r>
    </w:p>
    <w:p w:rsidR="00000000" w:rsidDel="00000000" w:rsidP="00000000" w:rsidRDefault="00000000" w:rsidRPr="00000000" w14:paraId="00000026">
      <w:pPr>
        <w:rPr/>
      </w:pPr>
      <w:r w:rsidDel="00000000" w:rsidR="00000000" w:rsidRPr="00000000">
        <w:rPr>
          <w:rtl w:val="0"/>
        </w:rPr>
        <w:t xml:space="preserve">Deep Web,"Conjunto de páginas e conteúdos na internet que não são indexados pelos motores de busca tradicionais (como Google, Bing ou Yahoo), englobando bancos de dados restritos e redes fechadas."</w:t>
      </w:r>
    </w:p>
    <w:p w:rsidR="00000000" w:rsidDel="00000000" w:rsidP="00000000" w:rsidRDefault="00000000" w:rsidRPr="00000000" w14:paraId="00000027">
      <w:pPr>
        <w:rPr/>
      </w:pPr>
      <w:r w:rsidDel="00000000" w:rsidR="00000000" w:rsidRPr="00000000">
        <w:rPr>
          <w:rtl w:val="0"/>
        </w:rPr>
        <w:t xml:space="preserve">Digital Risk Protection (DRP),"Solução focada no monitoramento, detecção e mitigação de riscos digitais externos à organização, como campanhas de phishing, vazamentos de credenciais, abuso de marca e perfis falsos."</w:t>
      </w:r>
    </w:p>
    <w:p w:rsidR="00000000" w:rsidDel="00000000" w:rsidP="00000000" w:rsidRDefault="00000000" w:rsidRPr="00000000" w14:paraId="00000028">
      <w:pPr>
        <w:rPr/>
      </w:pPr>
      <w:r w:rsidDel="00000000" w:rsidR="00000000" w:rsidRPr="00000000">
        <w:rPr>
          <w:rtl w:val="0"/>
        </w:rPr>
        <w:t xml:space="preserve">Dossiê Antifascista,Documento sigiloso elaborado em 2020 pela SEOPI/MJSP contendo o mapeamento de 579 servidores públicos e professores opositores ao governo; foi declarado inconstitucional pelo STF por abuso de poder.</w:t>
      </w:r>
    </w:p>
    <w:p w:rsidR="00000000" w:rsidDel="00000000" w:rsidP="00000000" w:rsidRDefault="00000000" w:rsidRPr="00000000" w14:paraId="00000029">
      <w:pPr>
        <w:rPr/>
      </w:pPr>
      <w:r w:rsidDel="00000000" w:rsidR="00000000" w:rsidRPr="00000000">
        <w:rPr>
          <w:rtl w:val="0"/>
        </w:rPr>
        <w:t xml:space="preserve">HUMINT (Human Intelligence),"Modalidade de inteligência baseada na coleta de informações por meio de fontes humanas, como entrevistas, interpelações, depoimentos e operações disfarçadas."</w:t>
      </w:r>
    </w:p>
    <w:p w:rsidR="00000000" w:rsidDel="00000000" w:rsidP="00000000" w:rsidRDefault="00000000" w:rsidRPr="00000000" w14:paraId="0000002A">
      <w:pPr>
        <w:rPr/>
      </w:pPr>
      <w:r w:rsidDel="00000000" w:rsidR="00000000" w:rsidRPr="00000000">
        <w:rPr>
          <w:rtl w:val="0"/>
        </w:rPr>
        <w:t xml:space="preserve">IMINT (Imagery Intelligence),"Disciplina de coleta e produção de inteligência derivada da análise visual de fotografias, imagens de satélite ou registros aéreos."</w:t>
      </w:r>
    </w:p>
    <w:p w:rsidR="00000000" w:rsidDel="00000000" w:rsidP="00000000" w:rsidRDefault="00000000" w:rsidRPr="00000000" w14:paraId="0000002B">
      <w:pPr>
        <w:rPr/>
      </w:pPr>
      <w:r w:rsidDel="00000000" w:rsidR="00000000" w:rsidRPr="00000000">
        <w:rPr>
          <w:rtl w:val="0"/>
        </w:rPr>
        <w:t xml:space="preserve">Indicadores de Comprometimento (IOCs),"Artefatos técnicos ou dados operacionais capturados em tempo real (como endereços IP maliciosos, hashes de arquivos ou assinaturas) que evidenciam a presença de uma invasão ou infecção no sistema."</w:t>
      </w:r>
    </w:p>
    <w:p w:rsidR="00000000" w:rsidDel="00000000" w:rsidP="00000000" w:rsidRDefault="00000000" w:rsidRPr="00000000" w14:paraId="0000002C">
      <w:pPr>
        <w:rPr/>
      </w:pPr>
      <w:r w:rsidDel="00000000" w:rsidR="00000000" w:rsidRPr="00000000">
        <w:rPr>
          <w:rtl w:val="0"/>
        </w:rPr>
        <w:t xml:space="preserve">Lei Geral de Proteção de Dados (LGPD),"Lei Federal nº 13.709/2018 que disciplina o tratamento de dados pessoais no Brasil, estabelecendo princípios de transparência, finalidade e segurança, além de reconhecer a proteção de dados como direito fundamental."</w:t>
      </w:r>
    </w:p>
    <w:p w:rsidR="00000000" w:rsidDel="00000000" w:rsidP="00000000" w:rsidRDefault="00000000" w:rsidRPr="00000000" w14:paraId="0000002D">
      <w:pPr>
        <w:rPr/>
      </w:pPr>
      <w:r w:rsidDel="00000000" w:rsidR="00000000" w:rsidRPr="00000000">
        <w:rPr>
          <w:rtl w:val="0"/>
        </w:rPr>
        <w:t xml:space="preserve">Open Source Intelligence (OSINT),"Processo de coleta, seleção, tratamento e análise de dados e informações disponíveis publicamente na internet ou em meios ostensivos, sem o uso de métodos ilícitos ou invasão de sistemas, para a produção de conhecimentos."</w:t>
      </w:r>
    </w:p>
    <w:p w:rsidR="00000000" w:rsidDel="00000000" w:rsidP="00000000" w:rsidRDefault="00000000" w:rsidRPr="00000000" w14:paraId="0000002E">
      <w:pPr>
        <w:rPr/>
      </w:pPr>
      <w:r w:rsidDel="00000000" w:rsidR="00000000" w:rsidRPr="00000000">
        <w:rPr>
          <w:rtl w:val="0"/>
        </w:rPr>
        <w:t xml:space="preserve">Shadow IT,"Prática na qual setores corporativos, desenvolvedores ou colaboradores criam sistemas, subdomínios, APIs ou contratam serviços em nuvem sem o conhecimento, homologação ou controle da equipe oficial de TI e Segurança."</w:t>
      </w:r>
    </w:p>
    <w:p w:rsidR="00000000" w:rsidDel="00000000" w:rsidP="00000000" w:rsidRDefault="00000000" w:rsidRPr="00000000" w14:paraId="0000002F">
      <w:pPr>
        <w:rPr/>
      </w:pPr>
      <w:r w:rsidDel="00000000" w:rsidR="00000000" w:rsidRPr="00000000">
        <w:rPr>
          <w:rtl w:val="0"/>
        </w:rPr>
        <w:t xml:space="preserve">SIGINT (Signals Intelligence),"Inteligência obtida pela interceptação, análise e decodificação de sinais eletrônicos e transmissões de comunicação não-humanas."</w:t>
      </w:r>
    </w:p>
    <w:p w:rsidR="00000000" w:rsidDel="00000000" w:rsidP="00000000" w:rsidRDefault="00000000" w:rsidRPr="00000000" w14:paraId="00000030">
      <w:pPr>
        <w:rPr/>
      </w:pPr>
      <w:r w:rsidDel="00000000" w:rsidR="00000000" w:rsidRPr="00000000">
        <w:rPr>
          <w:rtl w:val="0"/>
        </w:rPr>
        <w:t xml:space="preserve">Subsistema de Inteligência de Segurança Pública (Sisp),Estrutura instituída pelo Decreto nº 3.695/2000 para coordenar o fluxo de informações estratégicas de inteligência entre os órgãos de segurança pública federais e estaduais no Brasil.</w:t>
      </w:r>
    </w:p>
    <w:p w:rsidR="00000000" w:rsidDel="00000000" w:rsidP="00000000" w:rsidRDefault="00000000" w:rsidRPr="00000000" w14:paraId="00000031">
      <w:pPr>
        <w:rPr/>
      </w:pPr>
      <w:r w:rsidDel="00000000" w:rsidR="00000000" w:rsidRPr="00000000">
        <w:rPr>
          <w:rtl w:val="0"/>
        </w:rPr>
        <w:t xml:space="preserve">"TTPs (Técnicas, Táticas e Procedimentos)","Padrões de comportamento, métodos de ataque e rotinas operacionais utilizados por grupos de cibercriminosos ou ameaças persistentes avançadas para comprometer sistemas."</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