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Pilotéo — Modèle de données</w:t>
      </w:r>
    </w:p>
    <w:p>
      <w:pPr>
        <w:spacing w:after="60"/>
      </w:pPr>
      <w:r>
        <w:rPr>
          <w:b w:val="false"/>
          <w:bCs w:val="false"/>
          <w:i/>
          <w:iCs/>
          <w:color w:val="5A5A4E"/>
        </w:rPr>
        <w:t xml:space="preserve">Document technique de référence — arrêté au 29 août 2026 (met à jour la version du 28 août : nouveau champ categorieTempsInterne sur Frais, permettant l'affectation à un temps interne en plus d'une affaire ; correction du cycle de statut d'une Facture — décocher « payée » n'est plus irréversible ; et précision sur la base de calcul du « Total payé » de la page Facturation)</w:t>
      </w:r>
    </w:p>
    <w:p>
      <w:pPr>
        <w:spacing w:after="220"/>
      </w:pPr>
      <w:r>
        <w:rPr>
          <w:b w:val="false"/>
          <w:bCs w:val="false"/>
          <w:i/>
          <w:iCs/>
        </w:rPr>
        <w:t xml:space="preserve">Sauvegarde de la structure de l'outil, indépendante de la page web elle-même</w:t>
      </w:r>
    </w:p>
    <w:p>
      <w:pPr>
        <w:spacing w:after="140"/>
      </w:pPr>
      <w:r>
        <w:rPr>
          <w:b w:val="false"/>
          <w:bCs w:val="false"/>
          <w:i w:val="false"/>
          <w:iCs w:val="false"/>
        </w:rPr>
        <w:t xml:space="preserve">Ce document liste, entité par entité, l'ensemble des champs, types et relations tels qu'ils existent réellement dans le code de Pilotéo aujourd'hui. Il ne décrit pas les écrans ni les usages (voir le « Cahier des charges — Pilotéo V3 » pour cela) : il décrit la donnée elle-même — ce qui est stocké, sous quelle forme, et comment une entité se relie aux autres.</w:t>
      </w:r>
    </w:p>
    <w:p>
      <w:pPr>
        <w:spacing w:after="220"/>
      </w:pPr>
      <w:r>
        <w:rPr>
          <w:b w:val="false"/>
          <w:bCs w:val="false"/>
          <w:i w:val="false"/>
          <w:iCs w:val="false"/>
        </w:rPr>
        <w:t xml:space="preserve">Son rôle est d'être une sauvegarde de la structure : si la page devait être reconstruite, réécrite dans un autre outil, ou si l'étape d'une vraie base de données (section 14) devait un jour être franchie, ce document permet de repartir de la structure exacte de données déjà validée avec le cabinet, sans devoir la retrouver en relisant le code.</w:t>
      </w:r>
    </w:p>
    <w:p>
      <w:pPr>
        <w:pStyle w:val="Heading1"/>
        <w:spacing w:after="160" w:before="360"/>
      </w:pPr>
      <w:r>
        <w:t xml:space="preserve">1. Vue d'ensemble des entités</w:t>
      </w:r>
    </w:p>
    <w:p>
      <w:pPr>
        <w:spacing w:after="140"/>
      </w:pPr>
      <w:r>
        <w:rPr>
          <w:b w:val="false"/>
          <w:bCs w:val="false"/>
          <w:i w:val="false"/>
          <w:iCs w:val="false"/>
        </w:rPr>
        <w:t xml:space="preserve">Quatorze entités portent l'ensemble des données de Pilotéo. Les identifiants entre parenthèses sont ceux utilisés comme clés dans le code.</w:t>
      </w:r>
    </w:p>
    <w:p>
      <w:pPr>
        <w:pStyle w:val="ListParagraph"/>
        <w:numPr>
          <w:ilvl w:val="0"/>
          <w:numId w:val="2"/>
        </w:numPr>
        <w:spacing w:after="70"/>
      </w:pPr>
      <w:r>
        <w:t xml:space="preserve">Consultant — un membre du cabinet.</w:t>
      </w:r>
    </w:p>
    <w:p>
      <w:pPr>
        <w:pStyle w:val="ListParagraph"/>
        <w:numPr>
          <w:ilvl w:val="0"/>
          <w:numId w:val="2"/>
        </w:numPr>
        <w:spacing w:after="70"/>
      </w:pPr>
      <w:r>
        <w:t xml:space="preserve">Organisation — un client, prospect ou partenaire.</w:t>
      </w:r>
    </w:p>
    <w:p>
      <w:pPr>
        <w:pStyle w:val="ListParagraph"/>
        <w:numPr>
          <w:ilvl w:val="0"/>
          <w:numId w:val="2"/>
        </w:numPr>
        <w:spacing w:after="70"/>
      </w:pPr>
      <w:r>
        <w:t xml:space="preserve">Affaire — une mission commerciale vendue à une organisation, avec un budget.</w:t>
      </w:r>
    </w:p>
    <w:p>
      <w:pPr>
        <w:pStyle w:val="ListParagraph"/>
        <w:numPr>
          <w:ilvl w:val="0"/>
          <w:numId w:val="2"/>
        </w:numPr>
        <w:spacing w:after="70"/>
      </w:pPr>
      <w:r>
        <w:t xml:space="preserve">Partenaire d'affaire — sous-table de l'affaire, une ligne par organisation partenaire sur cette affaire.</w:t>
      </w:r>
    </w:p>
    <w:p>
      <w:pPr>
        <w:pStyle w:val="ListParagraph"/>
        <w:numPr>
          <w:ilvl w:val="0"/>
          <w:numId w:val="2"/>
        </w:numPr>
        <w:spacing w:after="70"/>
      </w:pPr>
      <w:r>
        <w:t xml:space="preserve">Répartition commerciale — sous-table de l'affaire, partage du crédit commercial entre consultants.</w:t>
      </w:r>
    </w:p>
    <w:p>
      <w:pPr>
        <w:pStyle w:val="ListParagraph"/>
        <w:numPr>
          <w:ilvl w:val="0"/>
          <w:numId w:val="2"/>
        </w:numPr>
        <w:spacing w:after="70"/>
      </w:pPr>
      <w:r>
        <w:t xml:space="preserve">Mission — une ligne de production sur une affaire, portée par un consultant.</w:t>
      </w:r>
    </w:p>
    <w:p>
      <w:pPr>
        <w:pStyle w:val="ListParagraph"/>
        <w:numPr>
          <w:ilvl w:val="0"/>
          <w:numId w:val="2"/>
        </w:numPr>
        <w:spacing w:after="70"/>
      </w:pPr>
      <w:r>
        <w:t xml:space="preserve">Saisie de temps — une ligne de temps passé, rattachée à une mission ou à un code interne/absence.</w:t>
      </w:r>
    </w:p>
    <w:p>
      <w:pPr>
        <w:pStyle w:val="ListParagraph"/>
        <w:numPr>
          <w:ilvl w:val="0"/>
          <w:numId w:val="2"/>
        </w:numPr>
        <w:spacing w:after="70"/>
      </w:pPr>
      <w:r>
        <w:t xml:space="preserve">Frais — une dépense professionnelle saisie par un consultant.</w:t>
      </w:r>
    </w:p>
    <w:p>
      <w:pPr>
        <w:pStyle w:val="ListParagraph"/>
        <w:numPr>
          <w:ilvl w:val="0"/>
          <w:numId w:val="2"/>
        </w:numPr>
        <w:spacing w:after="70"/>
      </w:pPr>
      <w:r>
        <w:t xml:space="preserve">Ligne de TVA — sous-table du frais, un taux de TVA parmi 1 à 4 sur la même dépense.</w:t>
      </w:r>
    </w:p>
    <w:p>
      <w:pPr>
        <w:pStyle w:val="ListParagraph"/>
        <w:numPr>
          <w:ilvl w:val="0"/>
          <w:numId w:val="2"/>
        </w:numPr>
        <w:spacing w:after="70"/>
      </w:pPr>
      <w:r>
        <w:t xml:space="preserve">Bordereau de frais (note de frais) — regroupe les frais d'un consultant en vue de leur remboursement.</w:t>
      </w:r>
    </w:p>
    <w:p>
      <w:pPr>
        <w:pStyle w:val="ListParagraph"/>
        <w:numPr>
          <w:ilvl w:val="0"/>
          <w:numId w:val="2"/>
        </w:numPr>
        <w:spacing w:after="70"/>
      </w:pPr>
      <w:r>
        <w:t xml:space="preserve">Facture — une facture émise sur une affaire, avec son échéancier de dépôt et de paiement.</w:t>
      </w:r>
    </w:p>
    <w:p>
      <w:pPr>
        <w:pStyle w:val="ListParagraph"/>
        <w:numPr>
          <w:ilvl w:val="0"/>
          <w:numId w:val="2"/>
        </w:numPr>
        <w:spacing w:after="70"/>
      </w:pPr>
      <w:r>
        <w:t xml:space="preserve">Méthode, Type de territoire, Domaine d'intervention — listes de référence cochées sur une affaire.</w:t>
      </w:r>
    </w:p>
    <w:p>
      <w:pPr>
        <w:pStyle w:val="ListParagraph"/>
        <w:numPr>
          <w:ilvl w:val="0"/>
          <w:numId w:val="2"/>
        </w:numPr>
        <w:spacing w:after="70"/>
      </w:pPr>
      <w:r>
        <w:t xml:space="preserve">Sous-catégorie de frais — liste de référence, rattachée à une catégorie parente, cochée sur un frais.</w:t>
      </w:r>
    </w:p>
    <w:p>
      <w:pPr>
        <w:pStyle w:val="ListParagraph"/>
        <w:numPr>
          <w:ilvl w:val="0"/>
          <w:numId w:val="2"/>
        </w:numPr>
        <w:spacing w:after="70"/>
      </w:pPr>
      <w:r>
        <w:t xml:space="preserve">Temps interne, Temps d'absence — listes de référence fixes, utilisées comme code sur une saisie de temps.</w:t>
      </w:r>
    </w:p>
    <w:p>
      <w:pPr>
        <w:pStyle w:val="Heading1"/>
        <w:spacing w:after="160" w:before="360"/>
      </w:pPr>
      <w:r>
        <w:t xml:space="preserve">2. Consultant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600"/>
      </w:tblGrid>
      <w:tr>
        <w:trPr>
          <w:tblHeader/>
        </w:trPr>
        <w:tc>
          <w:tcPr>
            <w:tcW w:type="dxa" w:w="2100"/>
            <w:shd w:fill="EAF3DC" w:val="clear"/>
            <w:tcMar>
              <w:top w:type="dxa" w:w="70"/>
              <w:left w:type="dxa" w:w="100"/>
              <w:bottom w:type="dxa" w:w="70"/>
              <w:right w:type="dxa" w:w="100"/>
            </w:tcMar>
          </w:tcPr>
          <w:p>
            <w:r>
              <w:rPr>
                <w:b/>
                <w:bCs/>
                <w:i w:val="false"/>
                <w:iCs w:val="false"/>
                <w:sz w:val="19"/>
                <w:szCs w:val="19"/>
              </w:rPr>
              <w:t xml:space="preserve">Champ</w:t>
            </w:r>
          </w:p>
        </w:tc>
        <w:tc>
          <w:tcPr>
            <w:tcW w:type="dxa" w:w="1500"/>
            <w:shd w:fill="EAF3DC" w:val="clear"/>
            <w:tcMar>
              <w:top w:type="dxa" w:w="70"/>
              <w:left w:type="dxa" w:w="100"/>
              <w:bottom w:type="dxa" w:w="70"/>
              <w:right w:type="dxa" w:w="100"/>
            </w:tcMar>
          </w:tcPr>
          <w:p>
            <w:r>
              <w:rPr>
                <w:b/>
                <w:bCs/>
                <w:i w:val="false"/>
                <w:iCs w:val="false"/>
                <w:sz w:val="19"/>
                <w:szCs w:val="19"/>
              </w:rPr>
              <w:t xml:space="preserve">Type</w:t>
            </w:r>
          </w:p>
        </w:tc>
        <w:tc>
          <w:tcPr>
            <w:tcW w:type="dxa" w:w="5600"/>
            <w:shd w:fill="EAF3DC" w:val="clear"/>
            <w:tcMar>
              <w:top w:type="dxa" w:w="70"/>
              <w:left w:type="dxa" w:w="100"/>
              <w:bottom w:type="dxa" w:w="70"/>
              <w:right w:type="dxa" w:w="100"/>
            </w:tcMar>
          </w:tcPr>
          <w:p>
            <w:r>
              <w:rPr>
                <w:b/>
                <w:bCs/>
                <w:i w:val="false"/>
                <w:iCs w:val="false"/>
                <w:sz w:val="19"/>
                <w:szCs w:val="19"/>
              </w:rPr>
              <w:t xml:space="preserve">Signification</w:t>
            </w:r>
          </w:p>
        </w:tc>
      </w:tr>
      <w:tr>
        <w:tc>
          <w:tcPr>
            <w:tcW w:type="dxa" w:w="2100"/>
            <w:tcMar>
              <w:top w:type="dxa" w:w="70"/>
              <w:left w:type="dxa" w:w="100"/>
              <w:bottom w:type="dxa" w:w="70"/>
              <w:right w:type="dxa" w:w="100"/>
            </w:tcMar>
          </w:tcPr>
          <w:p>
            <w:r>
              <w:rPr>
                <w:b w:val="false"/>
                <w:bCs w:val="false"/>
                <w:i w:val="false"/>
                <w:iCs w:val="false"/>
                <w:sz w:val="19"/>
                <w:szCs w:val="19"/>
              </w:rPr>
              <w:t xml:space="preserve">id</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Identifiant unique du consultant. Attribué à la création (voir trigramme ci-dessous).</w:t>
            </w:r>
          </w:p>
        </w:tc>
      </w:tr>
      <w:tr>
        <w:tc>
          <w:tcPr>
            <w:tcW w:type="dxa" w:w="2100"/>
            <w:tcMar>
              <w:top w:type="dxa" w:w="70"/>
              <w:left w:type="dxa" w:w="100"/>
              <w:bottom w:type="dxa" w:w="70"/>
              <w:right w:type="dxa" w:w="100"/>
            </w:tcMar>
          </w:tcPr>
          <w:p>
            <w:r>
              <w:rPr>
                <w:b w:val="false"/>
                <w:bCs w:val="false"/>
                <w:i w:val="false"/>
                <w:iCs w:val="false"/>
                <w:sz w:val="19"/>
                <w:szCs w:val="19"/>
              </w:rPr>
              <w:t xml:space="preserve">nom</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Nom complet affiché (ex. « Xavier Dubreuil »).</w:t>
            </w:r>
          </w:p>
        </w:tc>
      </w:tr>
      <w:tr>
        <w:tc>
          <w:tcPr>
            <w:tcW w:type="dxa" w:w="2100"/>
            <w:tcMar>
              <w:top w:type="dxa" w:w="70"/>
              <w:left w:type="dxa" w:w="100"/>
              <w:bottom w:type="dxa" w:w="70"/>
              <w:right w:type="dxa" w:w="100"/>
            </w:tcMar>
          </w:tcPr>
          <w:p>
            <w:r>
              <w:rPr>
                <w:b w:val="false"/>
                <w:bCs w:val="false"/>
                <w:i w:val="false"/>
                <w:iCs w:val="false"/>
                <w:sz w:val="19"/>
                <w:szCs w:val="19"/>
              </w:rPr>
              <w:t xml:space="preserve">trigramme</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3 lettres : les 2 premières du prénom + la 1re du nom, en majuscules, calculé automatiquement à la création (fonction computeTrigramme). En cas de doublon, une variante est générée. Lecture seule ensuite — utilisé dans la numérotation des notes de frais.</w:t>
            </w:r>
          </w:p>
        </w:tc>
      </w:tr>
      <w:tr>
        <w:tc>
          <w:tcPr>
            <w:tcW w:type="dxa" w:w="2100"/>
            <w:tcMar>
              <w:top w:type="dxa" w:w="70"/>
              <w:left w:type="dxa" w:w="100"/>
              <w:bottom w:type="dxa" w:w="70"/>
              <w:right w:type="dxa" w:w="100"/>
            </w:tcMar>
          </w:tcPr>
          <w:p>
            <w:r>
              <w:rPr>
                <w:b w:val="false"/>
                <w:bCs w:val="false"/>
                <w:i w:val="false"/>
                <w:iCs w:val="false"/>
                <w:sz w:val="19"/>
                <w:szCs w:val="19"/>
              </w:rPr>
              <w:t xml:space="preserve">statut</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 en poste », « stagiaire » ou « parti ».</w:t>
            </w:r>
          </w:p>
        </w:tc>
      </w:tr>
      <w:tr>
        <w:tc>
          <w:tcPr>
            <w:tcW w:type="dxa" w:w="2100"/>
            <w:tcMar>
              <w:top w:type="dxa" w:w="70"/>
              <w:left w:type="dxa" w:w="100"/>
              <w:bottom w:type="dxa" w:w="70"/>
              <w:right w:type="dxa" w:w="100"/>
            </w:tcMar>
          </w:tcPr>
          <w:p>
            <w:r>
              <w:rPr>
                <w:b w:val="false"/>
                <w:bCs w:val="false"/>
                <w:i w:val="false"/>
                <w:iCs w:val="false"/>
                <w:sz w:val="19"/>
                <w:szCs w:val="19"/>
              </w:rPr>
              <w:t xml:space="preserve">dateEmbauche</w:t>
            </w:r>
          </w:p>
        </w:tc>
        <w:tc>
          <w:tcPr>
            <w:tcW w:type="dxa" w:w="1500"/>
            <w:tcMar>
              <w:top w:type="dxa" w:w="70"/>
              <w:left w:type="dxa" w:w="100"/>
              <w:bottom w:type="dxa" w:w="70"/>
              <w:right w:type="dxa" w:w="100"/>
            </w:tcMar>
          </w:tcPr>
          <w:p>
            <w:r>
              <w:rPr>
                <w:b w:val="false"/>
                <w:bCs w:val="false"/>
                <w:i/>
                <w:iCs/>
                <w:sz w:val="19"/>
                <w:szCs w:val="19"/>
              </w:rPr>
              <w:t xml:space="preserve">date (AAAA-MM-JJ)</w:t>
            </w:r>
          </w:p>
        </w:tc>
        <w:tc>
          <w:tcPr>
            <w:tcW w:type="dxa" w:w="5600"/>
            <w:tcMar>
              <w:top w:type="dxa" w:w="70"/>
              <w:left w:type="dxa" w:w="100"/>
              <w:bottom w:type="dxa" w:w="70"/>
              <w:right w:type="dxa" w:w="100"/>
            </w:tcMar>
          </w:tcPr>
          <w:p>
            <w:r>
              <w:rPr>
                <w:b w:val="false"/>
                <w:bCs w:val="false"/>
                <w:i w:val="false"/>
                <w:iCs w:val="false"/>
                <w:sz w:val="19"/>
                <w:szCs w:val="19"/>
              </w:rPr>
              <w:t xml:space="preserve">Date d'arrivée au cabinet.</w:t>
            </w:r>
          </w:p>
        </w:tc>
      </w:tr>
      <w:tr>
        <w:tc>
          <w:tcPr>
            <w:tcW w:type="dxa" w:w="2100"/>
            <w:tcMar>
              <w:top w:type="dxa" w:w="70"/>
              <w:left w:type="dxa" w:w="100"/>
              <w:bottom w:type="dxa" w:w="70"/>
              <w:right w:type="dxa" w:w="100"/>
            </w:tcMar>
          </w:tcPr>
          <w:p>
            <w:r>
              <w:rPr>
                <w:b w:val="false"/>
                <w:bCs w:val="false"/>
                <w:i w:val="false"/>
                <w:iCs w:val="false"/>
                <w:sz w:val="19"/>
                <w:szCs w:val="19"/>
              </w:rPr>
              <w:t xml:space="preserve">dateDepart</w:t>
            </w:r>
          </w:p>
        </w:tc>
        <w:tc>
          <w:tcPr>
            <w:tcW w:type="dxa" w:w="1500"/>
            <w:tcMar>
              <w:top w:type="dxa" w:w="70"/>
              <w:left w:type="dxa" w:w="100"/>
              <w:bottom w:type="dxa" w:w="70"/>
              <w:right w:type="dxa" w:w="100"/>
            </w:tcMar>
          </w:tcPr>
          <w:p>
            <w:r>
              <w:rPr>
                <w:b w:val="false"/>
                <w:bCs w:val="false"/>
                <w:i/>
                <w:iCs/>
                <w:sz w:val="19"/>
                <w:szCs w:val="19"/>
              </w:rPr>
              <w:t xml:space="preserve">date ou null</w:t>
            </w:r>
          </w:p>
        </w:tc>
        <w:tc>
          <w:tcPr>
            <w:tcW w:type="dxa" w:w="5600"/>
            <w:tcMar>
              <w:top w:type="dxa" w:w="70"/>
              <w:left w:type="dxa" w:w="100"/>
              <w:bottom w:type="dxa" w:w="70"/>
              <w:right w:type="dxa" w:w="100"/>
            </w:tcMar>
          </w:tcPr>
          <w:p>
            <w:r>
              <w:rPr>
                <w:b w:val="false"/>
                <w:bCs w:val="false"/>
                <w:i w:val="false"/>
                <w:iCs w:val="false"/>
                <w:sz w:val="19"/>
                <w:szCs w:val="19"/>
              </w:rPr>
              <w:t xml:space="preserve">Date de départ, vide si toujours présent.</w:t>
            </w:r>
          </w:p>
        </w:tc>
      </w:tr>
      <w:tr>
        <w:tc>
          <w:tcPr>
            <w:tcW w:type="dxa" w:w="2100"/>
            <w:tcMar>
              <w:top w:type="dxa" w:w="70"/>
              <w:left w:type="dxa" w:w="100"/>
              <w:bottom w:type="dxa" w:w="70"/>
              <w:right w:type="dxa" w:w="100"/>
            </w:tcMar>
          </w:tcPr>
          <w:p>
            <w:r>
              <w:rPr>
                <w:b w:val="false"/>
                <w:bCs w:val="false"/>
                <w:i w:val="false"/>
                <w:iCs w:val="false"/>
                <w:sz w:val="19"/>
                <w:szCs w:val="19"/>
              </w:rPr>
              <w:t xml:space="preserve">tjmBase</w:t>
            </w:r>
          </w:p>
        </w:tc>
        <w:tc>
          <w:tcPr>
            <w:tcW w:type="dxa" w:w="1500"/>
            <w:tcMar>
              <w:top w:type="dxa" w:w="70"/>
              <w:left w:type="dxa" w:w="100"/>
              <w:bottom w:type="dxa" w:w="70"/>
              <w:right w:type="dxa" w:w="100"/>
            </w:tcMar>
          </w:tcPr>
          <w:p>
            <w:r>
              <w:rPr>
                <w:b w:val="false"/>
                <w:bCs w:val="false"/>
                <w:i/>
                <w:iCs/>
                <w:sz w:val="19"/>
                <w:szCs w:val="19"/>
              </w:rPr>
              <w:t xml:space="preserve">nombre (€)</w:t>
            </w:r>
          </w:p>
        </w:tc>
        <w:tc>
          <w:tcPr>
            <w:tcW w:type="dxa" w:w="5600"/>
            <w:tcMar>
              <w:top w:type="dxa" w:w="70"/>
              <w:left w:type="dxa" w:w="100"/>
              <w:bottom w:type="dxa" w:w="70"/>
              <w:right w:type="dxa" w:w="100"/>
            </w:tcMar>
          </w:tcPr>
          <w:p>
            <w:r>
              <w:rPr>
                <w:b w:val="false"/>
                <w:bCs w:val="false"/>
                <w:i w:val="false"/>
                <w:iCs w:val="false"/>
                <w:sz w:val="19"/>
                <w:szCs w:val="19"/>
              </w:rPr>
              <w:t xml:space="preserve">TJM objectif du consultant, utilisé comme référence dans les indicateurs de production (TJM vendu/réel).</w:t>
            </w:r>
          </w:p>
        </w:tc>
      </w:tr>
      <w:tr>
        <w:tc>
          <w:tcPr>
            <w:tcW w:type="dxa" w:w="2100"/>
            <w:tcMar>
              <w:top w:type="dxa" w:w="70"/>
              <w:left w:type="dxa" w:w="100"/>
              <w:bottom w:type="dxa" w:w="70"/>
              <w:right w:type="dxa" w:w="100"/>
            </w:tcMar>
          </w:tcPr>
          <w:p>
            <w:r>
              <w:rPr>
                <w:b w:val="false"/>
                <w:bCs w:val="false"/>
                <w:i w:val="false"/>
                <w:iCs w:val="false"/>
                <w:sz w:val="19"/>
                <w:szCs w:val="19"/>
              </w:rPr>
              <w:t xml:space="preserve">admin</w:t>
            </w:r>
          </w:p>
        </w:tc>
        <w:tc>
          <w:tcPr>
            <w:tcW w:type="dxa" w:w="1500"/>
            <w:tcMar>
              <w:top w:type="dxa" w:w="70"/>
              <w:left w:type="dxa" w:w="100"/>
              <w:bottom w:type="dxa" w:w="70"/>
              <w:right w:type="dxa" w:w="100"/>
            </w:tcMar>
          </w:tcPr>
          <w:p>
            <w:r>
              <w:rPr>
                <w:b w:val="false"/>
                <w:bCs w:val="false"/>
                <w:i/>
                <w:iCs/>
                <w:sz w:val="19"/>
                <w:szCs w:val="19"/>
              </w:rPr>
              <w:t xml:space="preserve">booléen</w:t>
            </w:r>
          </w:p>
        </w:tc>
        <w:tc>
          <w:tcPr>
            <w:tcW w:type="dxa" w:w="5600"/>
            <w:tcMar>
              <w:top w:type="dxa" w:w="70"/>
              <w:left w:type="dxa" w:w="100"/>
              <w:bottom w:type="dxa" w:w="70"/>
              <w:right w:type="dxa" w:w="100"/>
            </w:tcMar>
          </w:tcPr>
          <w:p>
            <w:r>
              <w:rPr>
                <w:b w:val="false"/>
                <w:bCs w:val="false"/>
                <w:i w:val="false"/>
                <w:iCs w:val="false"/>
                <w:sz w:val="19"/>
                <w:szCs w:val="19"/>
              </w:rPr>
              <w:t xml:space="preserve">Droit administrateur. Indépendant du fait d'être pilote sur une affaire — voir Affaire.pilote, qui donne des droits sans être un champ du consultant.</w:t>
            </w:r>
          </w:p>
        </w:tc>
      </w:tr>
      <w:tr>
        <w:tc>
          <w:tcPr>
            <w:tcW w:type="dxa" w:w="2100"/>
            <w:tcMar>
              <w:top w:type="dxa" w:w="70"/>
              <w:left w:type="dxa" w:w="100"/>
              <w:bottom w:type="dxa" w:w="70"/>
              <w:right w:type="dxa" w:w="100"/>
            </w:tcMar>
          </w:tcPr>
          <w:p>
            <w:r>
              <w:rPr>
                <w:b w:val="false"/>
                <w:bCs w:val="false"/>
                <w:i w:val="false"/>
                <w:iCs w:val="false"/>
                <w:sz w:val="19"/>
                <w:szCs w:val="19"/>
              </w:rPr>
              <w:t xml:space="preserve">tempsPartiel</w:t>
            </w:r>
          </w:p>
        </w:tc>
        <w:tc>
          <w:tcPr>
            <w:tcW w:type="dxa" w:w="1500"/>
            <w:tcMar>
              <w:top w:type="dxa" w:w="70"/>
              <w:left w:type="dxa" w:w="100"/>
              <w:bottom w:type="dxa" w:w="70"/>
              <w:right w:type="dxa" w:w="100"/>
            </w:tcMar>
          </w:tcPr>
          <w:p>
            <w:r>
              <w:rPr>
                <w:b w:val="false"/>
                <w:bCs w:val="false"/>
                <w:i/>
                <w:iCs/>
                <w:sz w:val="19"/>
                <w:szCs w:val="19"/>
              </w:rPr>
              <w:t xml:space="preserve">liste de { debut, fin, pct }</w:t>
            </w:r>
          </w:p>
        </w:tc>
        <w:tc>
          <w:tcPr>
            <w:tcW w:type="dxa" w:w="5600"/>
            <w:tcMar>
              <w:top w:type="dxa" w:w="70"/>
              <w:left w:type="dxa" w:w="100"/>
              <w:bottom w:type="dxa" w:w="70"/>
              <w:right w:type="dxa" w:w="100"/>
            </w:tcMar>
          </w:tcPr>
          <w:p>
            <w:r>
              <w:rPr>
                <w:b w:val="false"/>
                <w:bCs w:val="false"/>
                <w:i w:val="false"/>
                <w:iCs w:val="false"/>
                <w:sz w:val="19"/>
                <w:szCs w:val="19"/>
              </w:rPr>
              <w:t xml:space="preserve">Périodes de temps partiel : debut/fin en date (fin peut être null = en cours), pct = pourcentage travaillé (ex. 80). Sert au calcul de l'ETP réel sur une période. Vide et ignorée si statut = « stagiaire » (voir note).</w:t>
            </w:r>
          </w:p>
        </w:tc>
      </w:tr>
    </w:tbl>
    <w:p>
      <w:pPr>
        <w:spacing w:after="80"/>
      </w:pPr>
    </w:p>
    <w:p>
      <w:pPr>
        <w:spacing w:after="200"/>
      </w:pPr>
      <w:r>
        <w:rPr>
          <w:b w:val="false"/>
          <w:bCs w:val="false"/>
          <w:i/>
          <w:iCs/>
          <w:color w:val="5A5A4E"/>
        </w:rPr>
        <w:t xml:space="preserve">Un consultant « stagiaire » n'a pas de temps partiel saisi : il est compté forfaitairement à 25 % de présence dans le calcul de l'ETP, quelle que soit sa présence réelle.</w:t>
      </w:r>
    </w:p>
    <w:p>
      <w:pPr>
        <w:pStyle w:val="Heading1"/>
        <w:spacing w:after="160" w:before="360"/>
      </w:pPr>
      <w:r>
        <w:t xml:space="preserve">3. Organisation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600"/>
      </w:tblGrid>
      <w:tr>
        <w:trPr>
          <w:tblHeader/>
        </w:trPr>
        <w:tc>
          <w:tcPr>
            <w:tcW w:type="dxa" w:w="2100"/>
            <w:shd w:fill="EAF3DC" w:val="clear"/>
            <w:tcMar>
              <w:top w:type="dxa" w:w="70"/>
              <w:left w:type="dxa" w:w="100"/>
              <w:bottom w:type="dxa" w:w="70"/>
              <w:right w:type="dxa" w:w="100"/>
            </w:tcMar>
          </w:tcPr>
          <w:p>
            <w:r>
              <w:rPr>
                <w:b/>
                <w:bCs/>
                <w:i w:val="false"/>
                <w:iCs w:val="false"/>
                <w:sz w:val="19"/>
                <w:szCs w:val="19"/>
              </w:rPr>
              <w:t xml:space="preserve">Champ</w:t>
            </w:r>
          </w:p>
        </w:tc>
        <w:tc>
          <w:tcPr>
            <w:tcW w:type="dxa" w:w="1500"/>
            <w:shd w:fill="EAF3DC" w:val="clear"/>
            <w:tcMar>
              <w:top w:type="dxa" w:w="70"/>
              <w:left w:type="dxa" w:w="100"/>
              <w:bottom w:type="dxa" w:w="70"/>
              <w:right w:type="dxa" w:w="100"/>
            </w:tcMar>
          </w:tcPr>
          <w:p>
            <w:r>
              <w:rPr>
                <w:b/>
                <w:bCs/>
                <w:i w:val="false"/>
                <w:iCs w:val="false"/>
                <w:sz w:val="19"/>
                <w:szCs w:val="19"/>
              </w:rPr>
              <w:t xml:space="preserve">Type</w:t>
            </w:r>
          </w:p>
        </w:tc>
        <w:tc>
          <w:tcPr>
            <w:tcW w:type="dxa" w:w="5600"/>
            <w:shd w:fill="EAF3DC" w:val="clear"/>
            <w:tcMar>
              <w:top w:type="dxa" w:w="70"/>
              <w:left w:type="dxa" w:w="100"/>
              <w:bottom w:type="dxa" w:w="70"/>
              <w:right w:type="dxa" w:w="100"/>
            </w:tcMar>
          </w:tcPr>
          <w:p>
            <w:r>
              <w:rPr>
                <w:b/>
                <w:bCs/>
                <w:i w:val="false"/>
                <w:iCs w:val="false"/>
                <w:sz w:val="19"/>
                <w:szCs w:val="19"/>
              </w:rPr>
              <w:t xml:space="preserve">Signification</w:t>
            </w:r>
          </w:p>
        </w:tc>
      </w:tr>
      <w:tr>
        <w:tc>
          <w:tcPr>
            <w:tcW w:type="dxa" w:w="2100"/>
            <w:tcMar>
              <w:top w:type="dxa" w:w="70"/>
              <w:left w:type="dxa" w:w="100"/>
              <w:bottom w:type="dxa" w:w="70"/>
              <w:right w:type="dxa" w:w="100"/>
            </w:tcMar>
          </w:tcPr>
          <w:p>
            <w:r>
              <w:rPr>
                <w:b w:val="false"/>
                <w:bCs w:val="false"/>
                <w:i w:val="false"/>
                <w:iCs w:val="false"/>
                <w:sz w:val="19"/>
                <w:szCs w:val="19"/>
              </w:rPr>
              <w:t xml:space="preserve">id</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Identifiant unique.</w:t>
            </w:r>
          </w:p>
        </w:tc>
      </w:tr>
      <w:tr>
        <w:tc>
          <w:tcPr>
            <w:tcW w:type="dxa" w:w="2100"/>
            <w:tcMar>
              <w:top w:type="dxa" w:w="70"/>
              <w:left w:type="dxa" w:w="100"/>
              <w:bottom w:type="dxa" w:w="70"/>
              <w:right w:type="dxa" w:w="100"/>
            </w:tcMar>
          </w:tcPr>
          <w:p>
            <w:r>
              <w:rPr>
                <w:b w:val="false"/>
                <w:bCs w:val="false"/>
                <w:i w:val="false"/>
                <w:iCs w:val="false"/>
                <w:sz w:val="19"/>
                <w:szCs w:val="19"/>
              </w:rPr>
              <w:t xml:space="preserve">nom</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Raison sociale.</w:t>
            </w:r>
          </w:p>
        </w:tc>
      </w:tr>
      <w:tr>
        <w:tc>
          <w:tcPr>
            <w:tcW w:type="dxa" w:w="2100"/>
            <w:tcMar>
              <w:top w:type="dxa" w:w="70"/>
              <w:left w:type="dxa" w:w="100"/>
              <w:bottom w:type="dxa" w:w="70"/>
              <w:right w:type="dxa" w:w="100"/>
            </w:tcMar>
          </w:tcPr>
          <w:p>
            <w:r>
              <w:rPr>
                <w:b w:val="false"/>
                <w:bCs w:val="false"/>
                <w:i w:val="false"/>
                <w:iCs w:val="false"/>
                <w:sz w:val="19"/>
                <w:szCs w:val="19"/>
              </w:rPr>
              <w:t xml:space="preserve">type</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Libre (ex. « Collectivité », « Services de l'État », « ESS », « Entreprises »).</w:t>
            </w:r>
          </w:p>
        </w:tc>
      </w:tr>
      <w:tr>
        <w:tc>
          <w:tcPr>
            <w:tcW w:type="dxa" w:w="2100"/>
            <w:tcMar>
              <w:top w:type="dxa" w:w="70"/>
              <w:left w:type="dxa" w:w="100"/>
              <w:bottom w:type="dxa" w:w="70"/>
              <w:right w:type="dxa" w:w="100"/>
            </w:tcMar>
          </w:tcPr>
          <w:p>
            <w:r>
              <w:rPr>
                <w:b w:val="false"/>
                <w:bCs w:val="false"/>
                <w:i w:val="false"/>
                <w:iCs w:val="false"/>
                <w:sz w:val="19"/>
                <w:szCs w:val="19"/>
              </w:rPr>
              <w:t xml:space="preserve">adresse</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Champ libre, non affiché à ce jour dans les tableaux.</w:t>
            </w:r>
          </w:p>
        </w:tc>
      </w:tr>
    </w:tbl>
    <w:p>
      <w:pPr>
        <w:spacing w:after="80"/>
      </w:pPr>
    </w:p>
    <w:p>
      <w:pPr>
        <w:spacing w:after="200"/>
      </w:pPr>
      <w:r>
        <w:rPr>
          <w:b w:val="false"/>
          <w:bCs w:val="false"/>
          <w:i w:val="false"/>
          <w:iCs w:val="false"/>
        </w:rPr>
        <w:t xml:space="preserve">Le statut d'une organisation (cliente / prospect / partenaire) n'est jamais stocké sur l'objet : il est recalculé à chaque affichage à partir des affaires qui la référencent. Une organisation est « cliente » dès qu'une affaire à son nom est « en production » ou « terminée » ; « prospect » si elle n'a que des affaires « en commercialisation » ou « perdue » (ou aucune affaire) ; « partenaire » dès qu'elle apparaît dans la sous-table Partenaires d'une affaire, quel que soit son rôle. Les trois statuts sont cumulables.</w:t>
      </w:r>
    </w:p>
    <w:p>
      <w:pPr>
        <w:pStyle w:val="Heading1"/>
        <w:spacing w:after="160" w:before="360"/>
      </w:pPr>
      <w:r>
        <w:t xml:space="preserve">4. Affaire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600"/>
      </w:tblGrid>
      <w:tr>
        <w:trPr>
          <w:tblHeader/>
        </w:trPr>
        <w:tc>
          <w:tcPr>
            <w:tcW w:type="dxa" w:w="2100"/>
            <w:shd w:fill="EAF3DC" w:val="clear"/>
            <w:tcMar>
              <w:top w:type="dxa" w:w="70"/>
              <w:left w:type="dxa" w:w="100"/>
              <w:bottom w:type="dxa" w:w="70"/>
              <w:right w:type="dxa" w:w="100"/>
            </w:tcMar>
          </w:tcPr>
          <w:p>
            <w:r>
              <w:rPr>
                <w:b/>
                <w:bCs/>
                <w:i w:val="false"/>
                <w:iCs w:val="false"/>
                <w:sz w:val="19"/>
                <w:szCs w:val="19"/>
              </w:rPr>
              <w:t xml:space="preserve">Champ</w:t>
            </w:r>
          </w:p>
        </w:tc>
        <w:tc>
          <w:tcPr>
            <w:tcW w:type="dxa" w:w="1500"/>
            <w:shd w:fill="EAF3DC" w:val="clear"/>
            <w:tcMar>
              <w:top w:type="dxa" w:w="70"/>
              <w:left w:type="dxa" w:w="100"/>
              <w:bottom w:type="dxa" w:w="70"/>
              <w:right w:type="dxa" w:w="100"/>
            </w:tcMar>
          </w:tcPr>
          <w:p>
            <w:r>
              <w:rPr>
                <w:b/>
                <w:bCs/>
                <w:i w:val="false"/>
                <w:iCs w:val="false"/>
                <w:sz w:val="19"/>
                <w:szCs w:val="19"/>
              </w:rPr>
              <w:t xml:space="preserve">Type</w:t>
            </w:r>
          </w:p>
        </w:tc>
        <w:tc>
          <w:tcPr>
            <w:tcW w:type="dxa" w:w="5600"/>
            <w:shd w:fill="EAF3DC" w:val="clear"/>
            <w:tcMar>
              <w:top w:type="dxa" w:w="70"/>
              <w:left w:type="dxa" w:w="100"/>
              <w:bottom w:type="dxa" w:w="70"/>
              <w:right w:type="dxa" w:w="100"/>
            </w:tcMar>
          </w:tcPr>
          <w:p>
            <w:r>
              <w:rPr>
                <w:b/>
                <w:bCs/>
                <w:i w:val="false"/>
                <w:iCs w:val="false"/>
                <w:sz w:val="19"/>
                <w:szCs w:val="19"/>
              </w:rPr>
              <w:t xml:space="preserve">Signification</w:t>
            </w:r>
          </w:p>
        </w:tc>
      </w:tr>
      <w:tr>
        <w:tc>
          <w:tcPr>
            <w:tcW w:type="dxa" w:w="2100"/>
            <w:tcMar>
              <w:top w:type="dxa" w:w="70"/>
              <w:left w:type="dxa" w:w="100"/>
              <w:bottom w:type="dxa" w:w="70"/>
              <w:right w:type="dxa" w:w="100"/>
            </w:tcMar>
          </w:tcPr>
          <w:p>
            <w:r>
              <w:rPr>
                <w:b w:val="false"/>
                <w:bCs w:val="false"/>
                <w:i w:val="false"/>
                <w:iCs w:val="false"/>
                <w:sz w:val="19"/>
                <w:szCs w:val="19"/>
              </w:rPr>
              <w:t xml:space="preserve">id</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Identifiant unique.</w:t>
            </w:r>
          </w:p>
        </w:tc>
      </w:tr>
      <w:tr>
        <w:tc>
          <w:tcPr>
            <w:tcW w:type="dxa" w:w="2100"/>
            <w:tcMar>
              <w:top w:type="dxa" w:w="70"/>
              <w:left w:type="dxa" w:w="100"/>
              <w:bottom w:type="dxa" w:w="70"/>
              <w:right w:type="dxa" w:w="100"/>
            </w:tcMar>
          </w:tcPr>
          <w:p>
            <w:r>
              <w:rPr>
                <w:b w:val="false"/>
                <w:bCs w:val="false"/>
                <w:i w:val="false"/>
                <w:iCs w:val="false"/>
                <w:sz w:val="19"/>
                <w:szCs w:val="19"/>
              </w:rPr>
              <w:t xml:space="preserve">nom</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Nom complet de l'affaire.</w:t>
            </w:r>
          </w:p>
        </w:tc>
      </w:tr>
      <w:tr>
        <w:tc>
          <w:tcPr>
            <w:tcW w:type="dxa" w:w="2100"/>
            <w:tcMar>
              <w:top w:type="dxa" w:w="70"/>
              <w:left w:type="dxa" w:w="100"/>
              <w:bottom w:type="dxa" w:w="70"/>
              <w:right w:type="dxa" w:w="100"/>
            </w:tcMar>
          </w:tcPr>
          <w:p>
            <w:r>
              <w:rPr>
                <w:b w:val="false"/>
                <w:bCs w:val="false"/>
                <w:i w:val="false"/>
                <w:iCs w:val="false"/>
                <w:sz w:val="19"/>
                <w:szCs w:val="19"/>
              </w:rPr>
              <w:t xml:space="preserve">organisationId</w:t>
            </w:r>
          </w:p>
        </w:tc>
        <w:tc>
          <w:tcPr>
            <w:tcW w:type="dxa" w:w="1500"/>
            <w:tcMar>
              <w:top w:type="dxa" w:w="70"/>
              <w:left w:type="dxa" w:w="100"/>
              <w:bottom w:type="dxa" w:w="70"/>
              <w:right w:type="dxa" w:w="100"/>
            </w:tcMar>
          </w:tcPr>
          <w:p>
            <w:r>
              <w:rPr>
                <w:b w:val="false"/>
                <w:bCs w:val="false"/>
                <w:i/>
                <w:iCs/>
                <w:sz w:val="19"/>
                <w:szCs w:val="19"/>
              </w:rPr>
              <w:t xml:space="preserve">référence → Organisation</w:t>
            </w:r>
          </w:p>
        </w:tc>
        <w:tc>
          <w:tcPr>
            <w:tcW w:type="dxa" w:w="5600"/>
            <w:tcMar>
              <w:top w:type="dxa" w:w="70"/>
              <w:left w:type="dxa" w:w="100"/>
              <w:bottom w:type="dxa" w:w="70"/>
              <w:right w:type="dxa" w:w="100"/>
            </w:tcMar>
          </w:tcPr>
          <w:p>
            <w:r>
              <w:rPr>
                <w:b w:val="false"/>
                <w:bCs w:val="false"/>
                <w:i w:val="false"/>
                <w:iCs w:val="false"/>
                <w:sz w:val="19"/>
                <w:szCs w:val="19"/>
              </w:rPr>
              <w:t xml:space="preserve">Organisation cliente.</w:t>
            </w:r>
          </w:p>
        </w:tc>
      </w:tr>
      <w:tr>
        <w:tc>
          <w:tcPr>
            <w:tcW w:type="dxa" w:w="2100"/>
            <w:tcMar>
              <w:top w:type="dxa" w:w="70"/>
              <w:left w:type="dxa" w:w="100"/>
              <w:bottom w:type="dxa" w:w="70"/>
              <w:right w:type="dxa" w:w="100"/>
            </w:tcMar>
          </w:tcPr>
          <w:p>
            <w:r>
              <w:rPr>
                <w:b w:val="false"/>
                <w:bCs w:val="false"/>
                <w:i w:val="false"/>
                <w:iCs w:val="false"/>
                <w:sz w:val="19"/>
                <w:szCs w:val="19"/>
              </w:rPr>
              <w:t xml:space="preserve">nomAbrege</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Nom court affiché dans les listes et graphiques.</w:t>
            </w:r>
          </w:p>
        </w:tc>
      </w:tr>
      <w:tr>
        <w:tc>
          <w:tcPr>
            <w:tcW w:type="dxa" w:w="2100"/>
            <w:tcMar>
              <w:top w:type="dxa" w:w="70"/>
              <w:left w:type="dxa" w:w="100"/>
              <w:bottom w:type="dxa" w:w="70"/>
              <w:right w:type="dxa" w:w="100"/>
            </w:tcMar>
          </w:tcPr>
          <w:p>
            <w:r>
              <w:rPr>
                <w:b w:val="false"/>
                <w:bCs w:val="false"/>
                <w:i w:val="false"/>
                <w:iCs w:val="false"/>
                <w:sz w:val="19"/>
                <w:szCs w:val="19"/>
              </w:rPr>
              <w:t xml:space="preserve">motsCles</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Mots-clés libres (ex. « #collectivité #accessibilité »), utilisés pour la recherche du portefeuille.</w:t>
            </w:r>
          </w:p>
        </w:tc>
      </w:tr>
      <w:tr>
        <w:tc>
          <w:tcPr>
            <w:tcW w:type="dxa" w:w="2100"/>
            <w:tcMar>
              <w:top w:type="dxa" w:w="70"/>
              <w:left w:type="dxa" w:w="100"/>
              <w:bottom w:type="dxa" w:w="70"/>
              <w:right w:type="dxa" w:w="100"/>
            </w:tcMar>
          </w:tcPr>
          <w:p>
            <w:r>
              <w:rPr>
                <w:b w:val="false"/>
                <w:bCs w:val="false"/>
                <w:i w:val="false"/>
                <w:iCs w:val="false"/>
                <w:sz w:val="19"/>
                <w:szCs w:val="19"/>
              </w:rPr>
              <w:t xml:space="preserve">pilote</w:t>
            </w:r>
          </w:p>
        </w:tc>
        <w:tc>
          <w:tcPr>
            <w:tcW w:type="dxa" w:w="1500"/>
            <w:tcMar>
              <w:top w:type="dxa" w:w="70"/>
              <w:left w:type="dxa" w:w="100"/>
              <w:bottom w:type="dxa" w:w="70"/>
              <w:right w:type="dxa" w:w="100"/>
            </w:tcMar>
          </w:tcPr>
          <w:p>
            <w:r>
              <w:rPr>
                <w:b w:val="false"/>
                <w:bCs w:val="false"/>
                <w:i/>
                <w:iCs/>
                <w:sz w:val="19"/>
                <w:szCs w:val="19"/>
              </w:rPr>
              <w:t xml:space="preserve">référence → Consultant</w:t>
            </w:r>
          </w:p>
        </w:tc>
        <w:tc>
          <w:tcPr>
            <w:tcW w:type="dxa" w:w="5600"/>
            <w:tcMar>
              <w:top w:type="dxa" w:w="70"/>
              <w:left w:type="dxa" w:w="100"/>
              <w:bottom w:type="dxa" w:w="70"/>
              <w:right w:type="dxa" w:w="100"/>
            </w:tcMar>
          </w:tcPr>
          <w:p>
            <w:r>
              <w:rPr>
                <w:b w:val="false"/>
                <w:bCs w:val="false"/>
                <w:i w:val="false"/>
                <w:iCs w:val="false"/>
                <w:sz w:val="19"/>
                <w:szCs w:val="19"/>
              </w:rPr>
              <w:t xml:space="preserve">Consultant pilote de l'affaire — donne accès à sa fiche complète.</w:t>
            </w:r>
          </w:p>
        </w:tc>
      </w:tr>
      <w:tr>
        <w:tc>
          <w:tcPr>
            <w:tcW w:type="dxa" w:w="2100"/>
            <w:tcMar>
              <w:top w:type="dxa" w:w="70"/>
              <w:left w:type="dxa" w:w="100"/>
              <w:bottom w:type="dxa" w:w="70"/>
              <w:right w:type="dxa" w:w="100"/>
            </w:tcMar>
          </w:tcPr>
          <w:p>
            <w:r>
              <w:rPr>
                <w:b w:val="false"/>
                <w:bCs w:val="false"/>
                <w:i w:val="false"/>
                <w:iCs w:val="false"/>
                <w:sz w:val="19"/>
                <w:szCs w:val="19"/>
              </w:rPr>
              <w:t xml:space="preserve">piloteCommercial</w:t>
            </w:r>
          </w:p>
        </w:tc>
        <w:tc>
          <w:tcPr>
            <w:tcW w:type="dxa" w:w="1500"/>
            <w:tcMar>
              <w:top w:type="dxa" w:w="70"/>
              <w:left w:type="dxa" w:w="100"/>
              <w:bottom w:type="dxa" w:w="70"/>
              <w:right w:type="dxa" w:w="100"/>
            </w:tcMar>
          </w:tcPr>
          <w:p>
            <w:r>
              <w:rPr>
                <w:b w:val="false"/>
                <w:bCs w:val="false"/>
                <w:i/>
                <w:iCs/>
                <w:sz w:val="19"/>
                <w:szCs w:val="19"/>
              </w:rPr>
              <w:t xml:space="preserve">référence → Consultant</w:t>
            </w:r>
          </w:p>
        </w:tc>
        <w:tc>
          <w:tcPr>
            <w:tcW w:type="dxa" w:w="5600"/>
            <w:tcMar>
              <w:top w:type="dxa" w:w="70"/>
              <w:left w:type="dxa" w:w="100"/>
              <w:bottom w:type="dxa" w:w="70"/>
              <w:right w:type="dxa" w:w="100"/>
            </w:tcMar>
          </w:tcPr>
          <w:p>
            <w:r>
              <w:rPr>
                <w:b w:val="false"/>
                <w:bCs w:val="false"/>
                <w:i w:val="false"/>
                <w:iCs w:val="false"/>
                <w:sz w:val="19"/>
                <w:szCs w:val="19"/>
              </w:rPr>
              <w:t xml:space="preserve">Pilote commercial (peut être le même que pilote) — crédité par défaut de 100 % du commercial si la répartition (section 6) est vide.</w:t>
            </w:r>
          </w:p>
        </w:tc>
      </w:tr>
      <w:tr>
        <w:tc>
          <w:tcPr>
            <w:tcW w:type="dxa" w:w="2100"/>
            <w:tcMar>
              <w:top w:type="dxa" w:w="70"/>
              <w:left w:type="dxa" w:w="100"/>
              <w:bottom w:type="dxa" w:w="70"/>
              <w:right w:type="dxa" w:w="100"/>
            </w:tcMar>
          </w:tcPr>
          <w:p>
            <w:r>
              <w:rPr>
                <w:b w:val="false"/>
                <w:bCs w:val="false"/>
                <w:i w:val="false"/>
                <w:iCs w:val="false"/>
                <w:sz w:val="19"/>
                <w:szCs w:val="19"/>
              </w:rPr>
              <w:t xml:space="preserve">typeVente</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Ex. « Appel d'offres », « Appel à projet », « Gré à gré », « Bon de commande ».</w:t>
            </w:r>
          </w:p>
        </w:tc>
      </w:tr>
      <w:tr>
        <w:tc>
          <w:tcPr>
            <w:tcW w:type="dxa" w:w="2100"/>
            <w:tcMar>
              <w:top w:type="dxa" w:w="70"/>
              <w:left w:type="dxa" w:w="100"/>
              <w:bottom w:type="dxa" w:w="70"/>
              <w:right w:type="dxa" w:w="100"/>
            </w:tcMar>
          </w:tcPr>
          <w:p>
            <w:r>
              <w:rPr>
                <w:b w:val="false"/>
                <w:bCs w:val="false"/>
                <w:i w:val="false"/>
                <w:iCs w:val="false"/>
                <w:sz w:val="19"/>
                <w:szCs w:val="19"/>
              </w:rPr>
              <w:t xml:space="preserve">pctReussite</w:t>
            </w:r>
          </w:p>
        </w:tc>
        <w:tc>
          <w:tcPr>
            <w:tcW w:type="dxa" w:w="1500"/>
            <w:tcMar>
              <w:top w:type="dxa" w:w="70"/>
              <w:left w:type="dxa" w:w="100"/>
              <w:bottom w:type="dxa" w:w="70"/>
              <w:right w:type="dxa" w:w="100"/>
            </w:tcMar>
          </w:tcPr>
          <w:p>
            <w:r>
              <w:rPr>
                <w:b w:val="false"/>
                <w:bCs w:val="false"/>
                <w:i/>
                <w:iCs/>
                <w:sz w:val="19"/>
                <w:szCs w:val="19"/>
              </w:rPr>
              <w:t xml:space="preserve">nombre (0–100)</w:t>
            </w:r>
          </w:p>
        </w:tc>
        <w:tc>
          <w:tcPr>
            <w:tcW w:type="dxa" w:w="5600"/>
            <w:tcMar>
              <w:top w:type="dxa" w:w="70"/>
              <w:left w:type="dxa" w:w="100"/>
              <w:bottom w:type="dxa" w:w="70"/>
              <w:right w:type="dxa" w:w="100"/>
            </w:tcMar>
          </w:tcPr>
          <w:p>
            <w:r>
              <w:rPr>
                <w:b w:val="false"/>
                <w:bCs w:val="false"/>
                <w:i w:val="false"/>
                <w:iCs w:val="false"/>
                <w:sz w:val="19"/>
                <w:szCs w:val="19"/>
              </w:rPr>
              <w:t xml:space="preserve">% de réussite estimé — préréglages Très Fort 80 % / Fort 60 % / Moyen 40 % / Faible 20 % / Très Faible 10 %. Utilisé pour pondérer le pipeline commercial.</w:t>
            </w:r>
          </w:p>
        </w:tc>
      </w:tr>
      <w:tr>
        <w:tc>
          <w:tcPr>
            <w:tcW w:type="dxa" w:w="2100"/>
            <w:tcMar>
              <w:top w:type="dxa" w:w="70"/>
              <w:left w:type="dxa" w:w="100"/>
              <w:bottom w:type="dxa" w:w="70"/>
              <w:right w:type="dxa" w:w="100"/>
            </w:tcMar>
          </w:tcPr>
          <w:p>
            <w:r>
              <w:rPr>
                <w:b w:val="false"/>
                <w:bCs w:val="false"/>
                <w:i w:val="false"/>
                <w:iCs w:val="false"/>
                <w:sz w:val="19"/>
                <w:szCs w:val="19"/>
              </w:rPr>
              <w:t xml:space="preserve">dateDepot</w:t>
            </w:r>
          </w:p>
        </w:tc>
        <w:tc>
          <w:tcPr>
            <w:tcW w:type="dxa" w:w="1500"/>
            <w:tcMar>
              <w:top w:type="dxa" w:w="70"/>
              <w:left w:type="dxa" w:w="100"/>
              <w:bottom w:type="dxa" w:w="70"/>
              <w:right w:type="dxa" w:w="100"/>
            </w:tcMar>
          </w:tcPr>
          <w:p>
            <w:r>
              <w:rPr>
                <w:b w:val="false"/>
                <w:bCs w:val="false"/>
                <w:i/>
                <w:iCs/>
                <w:sz w:val="19"/>
                <w:szCs w:val="19"/>
              </w:rPr>
              <w:t xml:space="preserve">date</w:t>
            </w:r>
          </w:p>
        </w:tc>
        <w:tc>
          <w:tcPr>
            <w:tcW w:type="dxa" w:w="5600"/>
            <w:tcMar>
              <w:top w:type="dxa" w:w="70"/>
              <w:left w:type="dxa" w:w="100"/>
              <w:bottom w:type="dxa" w:w="70"/>
              <w:right w:type="dxa" w:w="100"/>
            </w:tcMar>
          </w:tcPr>
          <w:p>
            <w:r>
              <w:rPr>
                <w:b w:val="false"/>
                <w:bCs w:val="false"/>
                <w:i w:val="false"/>
                <w:iCs w:val="false"/>
                <w:sz w:val="19"/>
                <w:szCs w:val="19"/>
              </w:rPr>
              <w:t xml:space="preserve">Date de dépôt de l'offre — sert de référence pour rattacher l'offre à une année dans le suivi commercial.</w:t>
            </w:r>
          </w:p>
        </w:tc>
      </w:tr>
      <w:tr>
        <w:tc>
          <w:tcPr>
            <w:tcW w:type="dxa" w:w="2100"/>
            <w:tcMar>
              <w:top w:type="dxa" w:w="70"/>
              <w:left w:type="dxa" w:w="100"/>
              <w:bottom w:type="dxa" w:w="70"/>
              <w:right w:type="dxa" w:w="100"/>
            </w:tcMar>
          </w:tcPr>
          <w:p>
            <w:r>
              <w:rPr>
                <w:b w:val="false"/>
                <w:bCs w:val="false"/>
                <w:i w:val="false"/>
                <w:iCs w:val="false"/>
                <w:sz w:val="19"/>
                <w:szCs w:val="19"/>
              </w:rPr>
              <w:t xml:space="preserve">statut</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 en commercialisation », « en production », « terminée » ou « perdue ».</w:t>
            </w:r>
          </w:p>
        </w:tc>
      </w:tr>
      <w:tr>
        <w:tc>
          <w:tcPr>
            <w:tcW w:type="dxa" w:w="2100"/>
            <w:tcMar>
              <w:top w:type="dxa" w:w="70"/>
              <w:left w:type="dxa" w:w="100"/>
              <w:bottom w:type="dxa" w:w="70"/>
              <w:right w:type="dxa" w:w="100"/>
            </w:tcMar>
          </w:tcPr>
          <w:p>
            <w:r>
              <w:rPr>
                <w:b w:val="false"/>
                <w:bCs w:val="false"/>
                <w:i w:val="false"/>
                <w:iCs w:val="false"/>
                <w:sz w:val="19"/>
                <w:szCs w:val="19"/>
              </w:rPr>
              <w:t xml:space="preserve">budget</w:t>
            </w:r>
          </w:p>
        </w:tc>
        <w:tc>
          <w:tcPr>
            <w:tcW w:type="dxa" w:w="1500"/>
            <w:tcMar>
              <w:top w:type="dxa" w:w="70"/>
              <w:left w:type="dxa" w:w="100"/>
              <w:bottom w:type="dxa" w:w="70"/>
              <w:right w:type="dxa" w:w="100"/>
            </w:tcMar>
          </w:tcPr>
          <w:p>
            <w:r>
              <w:rPr>
                <w:b w:val="false"/>
                <w:bCs w:val="false"/>
                <w:i/>
                <w:iCs/>
                <w:sz w:val="19"/>
                <w:szCs w:val="19"/>
              </w:rPr>
              <w:t xml:space="preserve">nombre (€)</w:t>
            </w:r>
          </w:p>
        </w:tc>
        <w:tc>
          <w:tcPr>
            <w:tcW w:type="dxa" w:w="5600"/>
            <w:tcMar>
              <w:top w:type="dxa" w:w="70"/>
              <w:left w:type="dxa" w:w="100"/>
              <w:bottom w:type="dxa" w:w="70"/>
              <w:right w:type="dxa" w:w="100"/>
            </w:tcMar>
          </w:tcPr>
          <w:p>
            <w:r>
              <w:rPr>
                <w:b w:val="false"/>
                <w:bCs w:val="false"/>
                <w:i w:val="false"/>
                <w:iCs w:val="false"/>
                <w:sz w:val="19"/>
                <w:szCs w:val="19"/>
              </w:rPr>
              <w:t xml:space="preserve">Budget vendu total (« Prestations Cabinet ») — référence de la cohérence budgétaire (section 6 du cahier des charges) et des alertes de facturation et de pilotage (voir Facture).</w:t>
            </w:r>
          </w:p>
        </w:tc>
      </w:tr>
      <w:tr>
        <w:tc>
          <w:tcPr>
            <w:tcW w:type="dxa" w:w="2100"/>
            <w:tcMar>
              <w:top w:type="dxa" w:w="70"/>
              <w:left w:type="dxa" w:w="100"/>
              <w:bottom w:type="dxa" w:w="70"/>
              <w:right w:type="dxa" w:w="100"/>
            </w:tcMar>
          </w:tcPr>
          <w:p>
            <w:r>
              <w:rPr>
                <w:b w:val="false"/>
                <w:bCs w:val="false"/>
                <w:i w:val="false"/>
                <w:iCs w:val="false"/>
                <w:sz w:val="19"/>
                <w:szCs w:val="19"/>
              </w:rPr>
              <w:t xml:space="preserve">jours</w:t>
            </w:r>
          </w:p>
        </w:tc>
        <w:tc>
          <w:tcPr>
            <w:tcW w:type="dxa" w:w="1500"/>
            <w:tcMar>
              <w:top w:type="dxa" w:w="70"/>
              <w:left w:type="dxa" w:w="100"/>
              <w:bottom w:type="dxa" w:w="70"/>
              <w:right w:type="dxa" w:w="100"/>
            </w:tcMar>
          </w:tcPr>
          <w:p>
            <w:r>
              <w:rPr>
                <w:b w:val="false"/>
                <w:bCs w:val="false"/>
                <w:i/>
                <w:iCs/>
                <w:sz w:val="19"/>
                <w:szCs w:val="19"/>
              </w:rPr>
              <w:t xml:space="preserve">nombre</w:t>
            </w:r>
          </w:p>
        </w:tc>
        <w:tc>
          <w:tcPr>
            <w:tcW w:type="dxa" w:w="5600"/>
            <w:tcMar>
              <w:top w:type="dxa" w:w="70"/>
              <w:left w:type="dxa" w:w="100"/>
              <w:bottom w:type="dxa" w:w="70"/>
              <w:right w:type="dxa" w:w="100"/>
            </w:tcMar>
          </w:tcPr>
          <w:p>
            <w:r>
              <w:rPr>
                <w:b w:val="false"/>
                <w:bCs w:val="false"/>
                <w:i w:val="false"/>
                <w:iCs w:val="false"/>
                <w:sz w:val="19"/>
                <w:szCs w:val="19"/>
              </w:rPr>
              <w:t xml:space="preserve">Volume de jours vendus, informatif (le budget effectif des missions se recalcule depuis les missions elles-mêmes).</w:t>
            </w:r>
          </w:p>
        </w:tc>
      </w:tr>
      <w:tr>
        <w:tc>
          <w:tcPr>
            <w:tcW w:type="dxa" w:w="2100"/>
            <w:tcMar>
              <w:top w:type="dxa" w:w="70"/>
              <w:left w:type="dxa" w:w="100"/>
              <w:bottom w:type="dxa" w:w="70"/>
              <w:right w:type="dxa" w:w="100"/>
            </w:tcMar>
          </w:tcPr>
          <w:p>
            <w:r>
              <w:rPr>
                <w:b w:val="false"/>
                <w:bCs w:val="false"/>
                <w:i w:val="false"/>
                <w:iCs w:val="false"/>
                <w:sz w:val="19"/>
                <w:szCs w:val="19"/>
              </w:rPr>
              <w:t xml:space="preserve">frais</w:t>
            </w:r>
          </w:p>
        </w:tc>
        <w:tc>
          <w:tcPr>
            <w:tcW w:type="dxa" w:w="1500"/>
            <w:tcMar>
              <w:top w:type="dxa" w:w="70"/>
              <w:left w:type="dxa" w:w="100"/>
              <w:bottom w:type="dxa" w:w="70"/>
              <w:right w:type="dxa" w:w="100"/>
            </w:tcMar>
          </w:tcPr>
          <w:p>
            <w:r>
              <w:rPr>
                <w:b w:val="false"/>
                <w:bCs w:val="false"/>
                <w:i/>
                <w:iCs/>
                <w:sz w:val="19"/>
                <w:szCs w:val="19"/>
              </w:rPr>
              <w:t xml:space="preserve">nombre (€)</w:t>
            </w:r>
          </w:p>
        </w:tc>
        <w:tc>
          <w:tcPr>
            <w:tcW w:type="dxa" w:w="5600"/>
            <w:tcMar>
              <w:top w:type="dxa" w:w="70"/>
              <w:left w:type="dxa" w:w="100"/>
              <w:bottom w:type="dxa" w:w="70"/>
              <w:right w:type="dxa" w:w="100"/>
            </w:tcMar>
          </w:tcPr>
          <w:p>
            <w:r>
              <w:rPr>
                <w:b w:val="false"/>
                <w:bCs w:val="false"/>
                <w:i w:val="false"/>
                <w:iCs w:val="false"/>
                <w:sz w:val="19"/>
                <w:szCs w:val="19"/>
              </w:rPr>
              <w:t xml:space="preserve">Enveloppe « Frais Cabinet » — la part du budget vendu réservée aux frais refacturables. Comparée en continu aux frais réellement engagés et marqués refacturables (voir Frais), dans le calcul de cohérence budgétaire.</w:t>
            </w:r>
          </w:p>
        </w:tc>
      </w:tr>
      <w:tr>
        <w:tc>
          <w:tcPr>
            <w:tcW w:type="dxa" w:w="2100"/>
            <w:tcMar>
              <w:top w:type="dxa" w:w="70"/>
              <w:left w:type="dxa" w:w="100"/>
              <w:bottom w:type="dxa" w:w="70"/>
              <w:right w:type="dxa" w:w="100"/>
            </w:tcMar>
          </w:tcPr>
          <w:p>
            <w:r>
              <w:rPr>
                <w:b w:val="false"/>
                <w:bCs w:val="false"/>
                <w:i w:val="false"/>
                <w:iCs w:val="false"/>
                <w:sz w:val="19"/>
                <w:szCs w:val="19"/>
              </w:rPr>
              <w:t xml:space="preserve">dateDebut / dateFin</w:t>
            </w:r>
          </w:p>
        </w:tc>
        <w:tc>
          <w:tcPr>
            <w:tcW w:type="dxa" w:w="1500"/>
            <w:tcMar>
              <w:top w:type="dxa" w:w="70"/>
              <w:left w:type="dxa" w:w="100"/>
              <w:bottom w:type="dxa" w:w="70"/>
              <w:right w:type="dxa" w:w="100"/>
            </w:tcMar>
          </w:tcPr>
          <w:p>
            <w:r>
              <w:rPr>
                <w:b w:val="false"/>
                <w:bCs w:val="false"/>
                <w:i/>
                <w:iCs/>
                <w:sz w:val="19"/>
                <w:szCs w:val="19"/>
              </w:rPr>
              <w:t xml:space="preserve">date</w:t>
            </w:r>
          </w:p>
        </w:tc>
        <w:tc>
          <w:tcPr>
            <w:tcW w:type="dxa" w:w="5600"/>
            <w:tcMar>
              <w:top w:type="dxa" w:w="70"/>
              <w:left w:type="dxa" w:w="100"/>
              <w:bottom w:type="dxa" w:w="70"/>
              <w:right w:type="dxa" w:w="100"/>
            </w:tcMar>
          </w:tcPr>
          <w:p>
            <w:r>
              <w:rPr>
                <w:b w:val="false"/>
                <w:bCs w:val="false"/>
                <w:i w:val="false"/>
                <w:iCs w:val="false"/>
                <w:sz w:val="19"/>
                <w:szCs w:val="19"/>
              </w:rPr>
              <w:t xml:space="preserve">Fenêtre prévisionnelle de l'affaire — borne les dates possibles des missions qui lui sont rattachées.</w:t>
            </w:r>
          </w:p>
        </w:tc>
      </w:tr>
      <w:tr>
        <w:tc>
          <w:tcPr>
            <w:tcW w:type="dxa" w:w="2100"/>
            <w:tcMar>
              <w:top w:type="dxa" w:w="70"/>
              <w:left w:type="dxa" w:w="100"/>
              <w:bottom w:type="dxa" w:w="70"/>
              <w:right w:type="dxa" w:w="100"/>
            </w:tcMar>
          </w:tcPr>
          <w:p>
            <w:r>
              <w:rPr>
                <w:b w:val="false"/>
                <w:bCs w:val="false"/>
                <w:i w:val="false"/>
                <w:iCs w:val="false"/>
                <w:sz w:val="19"/>
                <w:szCs w:val="19"/>
              </w:rPr>
              <w:t xml:space="preserve">methodes</w:t>
            </w:r>
          </w:p>
        </w:tc>
        <w:tc>
          <w:tcPr>
            <w:tcW w:type="dxa" w:w="1500"/>
            <w:tcMar>
              <w:top w:type="dxa" w:w="70"/>
              <w:left w:type="dxa" w:w="100"/>
              <w:bottom w:type="dxa" w:w="70"/>
              <w:right w:type="dxa" w:w="100"/>
            </w:tcMar>
          </w:tcPr>
          <w:p>
            <w:r>
              <w:rPr>
                <w:b w:val="false"/>
                <w:bCs w:val="false"/>
                <w:i/>
                <w:iCs/>
                <w:sz w:val="19"/>
                <w:szCs w:val="19"/>
              </w:rPr>
              <w:t xml:space="preserve">liste d'ids → Méthode</w:t>
            </w:r>
          </w:p>
        </w:tc>
        <w:tc>
          <w:tcPr>
            <w:tcW w:type="dxa" w:w="5600"/>
            <w:tcMar>
              <w:top w:type="dxa" w:w="70"/>
              <w:left w:type="dxa" w:w="100"/>
              <w:bottom w:type="dxa" w:w="70"/>
              <w:right w:type="dxa" w:w="100"/>
            </w:tcMar>
          </w:tcPr>
          <w:p>
            <w:r>
              <w:rPr>
                <w:b w:val="false"/>
                <w:bCs w:val="false"/>
                <w:i w:val="false"/>
                <w:iCs w:val="false"/>
                <w:sz w:val="19"/>
                <w:szCs w:val="19"/>
              </w:rPr>
              <w:t xml:space="preserve">Méthodes cochées sur l'affaire.</w:t>
            </w:r>
          </w:p>
        </w:tc>
      </w:tr>
      <w:tr>
        <w:tc>
          <w:tcPr>
            <w:tcW w:type="dxa" w:w="2100"/>
            <w:tcMar>
              <w:top w:type="dxa" w:w="70"/>
              <w:left w:type="dxa" w:w="100"/>
              <w:bottom w:type="dxa" w:w="70"/>
              <w:right w:type="dxa" w:w="100"/>
            </w:tcMar>
          </w:tcPr>
          <w:p>
            <w:r>
              <w:rPr>
                <w:b w:val="false"/>
                <w:bCs w:val="false"/>
                <w:i w:val="false"/>
                <w:iCs w:val="false"/>
                <w:sz w:val="19"/>
                <w:szCs w:val="19"/>
              </w:rPr>
              <w:t xml:space="preserve">territoires</w:t>
            </w:r>
          </w:p>
        </w:tc>
        <w:tc>
          <w:tcPr>
            <w:tcW w:type="dxa" w:w="1500"/>
            <w:tcMar>
              <w:top w:type="dxa" w:w="70"/>
              <w:left w:type="dxa" w:w="100"/>
              <w:bottom w:type="dxa" w:w="70"/>
              <w:right w:type="dxa" w:w="100"/>
            </w:tcMar>
          </w:tcPr>
          <w:p>
            <w:r>
              <w:rPr>
                <w:b w:val="false"/>
                <w:bCs w:val="false"/>
                <w:i/>
                <w:iCs/>
                <w:sz w:val="19"/>
                <w:szCs w:val="19"/>
              </w:rPr>
              <w:t xml:space="preserve">liste d'ids → Type de territoire</w:t>
            </w:r>
          </w:p>
        </w:tc>
        <w:tc>
          <w:tcPr>
            <w:tcW w:type="dxa" w:w="5600"/>
            <w:tcMar>
              <w:top w:type="dxa" w:w="70"/>
              <w:left w:type="dxa" w:w="100"/>
              <w:bottom w:type="dxa" w:w="70"/>
              <w:right w:type="dxa" w:w="100"/>
            </w:tcMar>
          </w:tcPr>
          <w:p>
            <w:r>
              <w:rPr>
                <w:b w:val="false"/>
                <w:bCs w:val="false"/>
                <w:i w:val="false"/>
                <w:iCs w:val="false"/>
                <w:sz w:val="19"/>
                <w:szCs w:val="19"/>
              </w:rPr>
              <w:t xml:space="preserve">Types de territoire cochés.</w:t>
            </w:r>
          </w:p>
        </w:tc>
      </w:tr>
      <w:tr>
        <w:tc>
          <w:tcPr>
            <w:tcW w:type="dxa" w:w="2100"/>
            <w:tcMar>
              <w:top w:type="dxa" w:w="70"/>
              <w:left w:type="dxa" w:w="100"/>
              <w:bottom w:type="dxa" w:w="70"/>
              <w:right w:type="dxa" w:w="100"/>
            </w:tcMar>
          </w:tcPr>
          <w:p>
            <w:r>
              <w:rPr>
                <w:b w:val="false"/>
                <w:bCs w:val="false"/>
                <w:i w:val="false"/>
                <w:iCs w:val="false"/>
                <w:sz w:val="19"/>
                <w:szCs w:val="19"/>
              </w:rPr>
              <w:t xml:space="preserve">domaines</w:t>
            </w:r>
          </w:p>
        </w:tc>
        <w:tc>
          <w:tcPr>
            <w:tcW w:type="dxa" w:w="1500"/>
            <w:tcMar>
              <w:top w:type="dxa" w:w="70"/>
              <w:left w:type="dxa" w:w="100"/>
              <w:bottom w:type="dxa" w:w="70"/>
              <w:right w:type="dxa" w:w="100"/>
            </w:tcMar>
          </w:tcPr>
          <w:p>
            <w:r>
              <w:rPr>
                <w:b w:val="false"/>
                <w:bCs w:val="false"/>
                <w:i/>
                <w:iCs/>
                <w:sz w:val="19"/>
                <w:szCs w:val="19"/>
              </w:rPr>
              <w:t xml:space="preserve">liste d'ids → Domaine d'intervention</w:t>
            </w:r>
          </w:p>
        </w:tc>
        <w:tc>
          <w:tcPr>
            <w:tcW w:type="dxa" w:w="5600"/>
            <w:tcMar>
              <w:top w:type="dxa" w:w="70"/>
              <w:left w:type="dxa" w:w="100"/>
              <w:bottom w:type="dxa" w:w="70"/>
              <w:right w:type="dxa" w:w="100"/>
            </w:tcMar>
          </w:tcPr>
          <w:p>
            <w:r>
              <w:rPr>
                <w:b w:val="false"/>
                <w:bCs w:val="false"/>
                <w:i w:val="false"/>
                <w:iCs w:val="false"/>
                <w:sz w:val="19"/>
                <w:szCs w:val="19"/>
              </w:rPr>
              <w:t xml:space="preserve">Domaines cochés.</w:t>
            </w:r>
          </w:p>
        </w:tc>
      </w:tr>
      <w:tr>
        <w:tc>
          <w:tcPr>
            <w:tcW w:type="dxa" w:w="2100"/>
            <w:tcMar>
              <w:top w:type="dxa" w:w="70"/>
              <w:left w:type="dxa" w:w="100"/>
              <w:bottom w:type="dxa" w:w="70"/>
              <w:right w:type="dxa" w:w="100"/>
            </w:tcMar>
          </w:tcPr>
          <w:p>
            <w:r>
              <w:rPr>
                <w:b w:val="false"/>
                <w:bCs w:val="false"/>
                <w:i w:val="false"/>
                <w:iCs w:val="false"/>
                <w:sz w:val="19"/>
                <w:szCs w:val="19"/>
              </w:rPr>
              <w:t xml:space="preserve">partenaires</w:t>
            </w:r>
          </w:p>
        </w:tc>
        <w:tc>
          <w:tcPr>
            <w:tcW w:type="dxa" w:w="1500"/>
            <w:tcMar>
              <w:top w:type="dxa" w:w="70"/>
              <w:left w:type="dxa" w:w="100"/>
              <w:bottom w:type="dxa" w:w="70"/>
              <w:right w:type="dxa" w:w="100"/>
            </w:tcMar>
          </w:tcPr>
          <w:p>
            <w:r>
              <w:rPr>
                <w:b w:val="false"/>
                <w:bCs w:val="false"/>
                <w:i/>
                <w:iCs/>
                <w:sz w:val="19"/>
                <w:szCs w:val="19"/>
              </w:rPr>
              <w:t xml:space="preserve">liste de Partenaire d'affaire</w:t>
            </w:r>
          </w:p>
        </w:tc>
        <w:tc>
          <w:tcPr>
            <w:tcW w:type="dxa" w:w="5600"/>
            <w:tcMar>
              <w:top w:type="dxa" w:w="70"/>
              <w:left w:type="dxa" w:w="100"/>
              <w:bottom w:type="dxa" w:w="70"/>
              <w:right w:type="dxa" w:w="100"/>
            </w:tcMar>
          </w:tcPr>
          <w:p>
            <w:r>
              <w:rPr>
                <w:b w:val="false"/>
                <w:bCs w:val="false"/>
                <w:i w:val="false"/>
                <w:iCs w:val="false"/>
                <w:sz w:val="19"/>
                <w:szCs w:val="19"/>
              </w:rPr>
              <w:t xml:space="preserve">Voir section 5.</w:t>
            </w:r>
          </w:p>
        </w:tc>
      </w:tr>
      <w:tr>
        <w:tc>
          <w:tcPr>
            <w:tcW w:type="dxa" w:w="2100"/>
            <w:tcMar>
              <w:top w:type="dxa" w:w="70"/>
              <w:left w:type="dxa" w:w="100"/>
              <w:bottom w:type="dxa" w:w="70"/>
              <w:right w:type="dxa" w:w="100"/>
            </w:tcMar>
          </w:tcPr>
          <w:p>
            <w:r>
              <w:rPr>
                <w:b w:val="false"/>
                <w:bCs w:val="false"/>
                <w:i w:val="false"/>
                <w:iCs w:val="false"/>
                <w:sz w:val="19"/>
                <w:szCs w:val="19"/>
              </w:rPr>
              <w:t xml:space="preserve">repartitionCommerciale</w:t>
            </w:r>
          </w:p>
        </w:tc>
        <w:tc>
          <w:tcPr>
            <w:tcW w:type="dxa" w:w="1500"/>
            <w:tcMar>
              <w:top w:type="dxa" w:w="70"/>
              <w:left w:type="dxa" w:w="100"/>
              <w:bottom w:type="dxa" w:w="70"/>
              <w:right w:type="dxa" w:w="100"/>
            </w:tcMar>
          </w:tcPr>
          <w:p>
            <w:r>
              <w:rPr>
                <w:b w:val="false"/>
                <w:bCs w:val="false"/>
                <w:i/>
                <w:iCs/>
                <w:sz w:val="19"/>
                <w:szCs w:val="19"/>
              </w:rPr>
              <w:t xml:space="preserve">liste de Répartition commerciale</w:t>
            </w:r>
          </w:p>
        </w:tc>
        <w:tc>
          <w:tcPr>
            <w:tcW w:type="dxa" w:w="5600"/>
            <w:tcMar>
              <w:top w:type="dxa" w:w="70"/>
              <w:left w:type="dxa" w:w="100"/>
              <w:bottom w:type="dxa" w:w="70"/>
              <w:right w:type="dxa" w:w="100"/>
            </w:tcMar>
          </w:tcPr>
          <w:p>
            <w:r>
              <w:rPr>
                <w:b w:val="false"/>
                <w:bCs w:val="false"/>
                <w:i w:val="false"/>
                <w:iCs w:val="false"/>
                <w:sz w:val="19"/>
                <w:szCs w:val="19"/>
              </w:rPr>
              <w:t xml:space="preserve">Voir section 6.</w:t>
            </w:r>
          </w:p>
        </w:tc>
      </w:tr>
    </w:tbl>
    <w:p>
      <w:pPr>
        <w:pStyle w:val="Heading1"/>
        <w:spacing w:after="160" w:before="360"/>
      </w:pPr>
      <w:r>
        <w:t xml:space="preserve">5. Partenaire d'affaire (sous-table de l'Affaire)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600"/>
      </w:tblGrid>
      <w:tr>
        <w:trPr>
          <w:tblHeader/>
        </w:trPr>
        <w:tc>
          <w:tcPr>
            <w:tcW w:type="dxa" w:w="2100"/>
            <w:shd w:fill="EAF3DC" w:val="clear"/>
            <w:tcMar>
              <w:top w:type="dxa" w:w="70"/>
              <w:left w:type="dxa" w:w="100"/>
              <w:bottom w:type="dxa" w:w="70"/>
              <w:right w:type="dxa" w:w="100"/>
            </w:tcMar>
          </w:tcPr>
          <w:p>
            <w:r>
              <w:rPr>
                <w:b/>
                <w:bCs/>
                <w:i w:val="false"/>
                <w:iCs w:val="false"/>
                <w:sz w:val="19"/>
                <w:szCs w:val="19"/>
              </w:rPr>
              <w:t xml:space="preserve">Champ</w:t>
            </w:r>
          </w:p>
        </w:tc>
        <w:tc>
          <w:tcPr>
            <w:tcW w:type="dxa" w:w="1500"/>
            <w:shd w:fill="EAF3DC" w:val="clear"/>
            <w:tcMar>
              <w:top w:type="dxa" w:w="70"/>
              <w:left w:type="dxa" w:w="100"/>
              <w:bottom w:type="dxa" w:w="70"/>
              <w:right w:type="dxa" w:w="100"/>
            </w:tcMar>
          </w:tcPr>
          <w:p>
            <w:r>
              <w:rPr>
                <w:b/>
                <w:bCs/>
                <w:i w:val="false"/>
                <w:iCs w:val="false"/>
                <w:sz w:val="19"/>
                <w:szCs w:val="19"/>
              </w:rPr>
              <w:t xml:space="preserve">Type</w:t>
            </w:r>
          </w:p>
        </w:tc>
        <w:tc>
          <w:tcPr>
            <w:tcW w:type="dxa" w:w="5600"/>
            <w:shd w:fill="EAF3DC" w:val="clear"/>
            <w:tcMar>
              <w:top w:type="dxa" w:w="70"/>
              <w:left w:type="dxa" w:w="100"/>
              <w:bottom w:type="dxa" w:w="70"/>
              <w:right w:type="dxa" w:w="100"/>
            </w:tcMar>
          </w:tcPr>
          <w:p>
            <w:r>
              <w:rPr>
                <w:b/>
                <w:bCs/>
                <w:i w:val="false"/>
                <w:iCs w:val="false"/>
                <w:sz w:val="19"/>
                <w:szCs w:val="19"/>
              </w:rPr>
              <w:t xml:space="preserve">Signification</w:t>
            </w:r>
          </w:p>
        </w:tc>
      </w:tr>
      <w:tr>
        <w:tc>
          <w:tcPr>
            <w:tcW w:type="dxa" w:w="2100"/>
            <w:tcMar>
              <w:top w:type="dxa" w:w="70"/>
              <w:left w:type="dxa" w:w="100"/>
              <w:bottom w:type="dxa" w:w="70"/>
              <w:right w:type="dxa" w:w="100"/>
            </w:tcMar>
          </w:tcPr>
          <w:p>
            <w:r>
              <w:rPr>
                <w:b w:val="false"/>
                <w:bCs w:val="false"/>
                <w:i w:val="false"/>
                <w:iCs w:val="false"/>
                <w:sz w:val="19"/>
                <w:szCs w:val="19"/>
              </w:rPr>
              <w:t xml:space="preserve">organisationId</w:t>
            </w:r>
          </w:p>
        </w:tc>
        <w:tc>
          <w:tcPr>
            <w:tcW w:type="dxa" w:w="1500"/>
            <w:tcMar>
              <w:top w:type="dxa" w:w="70"/>
              <w:left w:type="dxa" w:w="100"/>
              <w:bottom w:type="dxa" w:w="70"/>
              <w:right w:type="dxa" w:w="100"/>
            </w:tcMar>
          </w:tcPr>
          <w:p>
            <w:r>
              <w:rPr>
                <w:b w:val="false"/>
                <w:bCs w:val="false"/>
                <w:i/>
                <w:iCs/>
                <w:sz w:val="19"/>
                <w:szCs w:val="19"/>
              </w:rPr>
              <w:t xml:space="preserve">référence → Organisation</w:t>
            </w:r>
          </w:p>
        </w:tc>
        <w:tc>
          <w:tcPr>
            <w:tcW w:type="dxa" w:w="5600"/>
            <w:tcMar>
              <w:top w:type="dxa" w:w="70"/>
              <w:left w:type="dxa" w:w="100"/>
              <w:bottom w:type="dxa" w:w="70"/>
              <w:right w:type="dxa" w:w="100"/>
            </w:tcMar>
          </w:tcPr>
          <w:p>
            <w:r>
              <w:rPr>
                <w:b w:val="false"/>
                <w:bCs w:val="false"/>
                <w:i w:val="false"/>
                <w:iCs w:val="false"/>
                <w:sz w:val="19"/>
                <w:szCs w:val="19"/>
              </w:rPr>
              <w:t xml:space="preserve">Organisation partenaire.</w:t>
            </w:r>
          </w:p>
        </w:tc>
      </w:tr>
      <w:tr>
        <w:tc>
          <w:tcPr>
            <w:tcW w:type="dxa" w:w="2100"/>
            <w:tcMar>
              <w:top w:type="dxa" w:w="70"/>
              <w:left w:type="dxa" w:w="100"/>
              <w:bottom w:type="dxa" w:w="70"/>
              <w:right w:type="dxa" w:w="100"/>
            </w:tcMar>
          </w:tcPr>
          <w:p>
            <w:r>
              <w:rPr>
                <w:b w:val="false"/>
                <w:bCs w:val="false"/>
                <w:i w:val="false"/>
                <w:iCs w:val="false"/>
                <w:sz w:val="19"/>
                <w:szCs w:val="19"/>
              </w:rPr>
              <w:t xml:space="preserve">role</w:t>
            </w:r>
          </w:p>
        </w:tc>
        <w:tc>
          <w:tcPr>
            <w:tcW w:type="dxa" w:w="1500"/>
            <w:tcMar>
              <w:top w:type="dxa" w:w="70"/>
              <w:left w:type="dxa" w:w="100"/>
              <w:bottom w:type="dxa" w:w="70"/>
              <w:right w:type="dxa" w:w="100"/>
            </w:tcMar>
          </w:tcPr>
          <w:p>
            <w:r>
              <w:rPr>
                <w:b w:val="false"/>
                <w:bCs w:val="false"/>
                <w:i/>
                <w:iCs/>
                <w:sz w:val="19"/>
                <w:szCs w:val="19"/>
              </w:rPr>
              <w:t xml:space="preserve">texte (4 valeurs)</w:t>
            </w:r>
          </w:p>
        </w:tc>
        <w:tc>
          <w:tcPr>
            <w:tcW w:type="dxa" w:w="5600"/>
            <w:tcMar>
              <w:top w:type="dxa" w:w="70"/>
              <w:left w:type="dxa" w:w="100"/>
              <w:bottom w:type="dxa" w:w="70"/>
              <w:right w:type="dxa" w:w="100"/>
            </w:tcMar>
          </w:tcPr>
          <w:p>
            <w:r>
              <w:rPr>
                <w:b w:val="false"/>
                <w:bCs w:val="false"/>
                <w:i w:val="false"/>
                <w:iCs w:val="false"/>
                <w:sz w:val="19"/>
                <w:szCs w:val="19"/>
              </w:rPr>
              <w:t xml:space="preserve">« mandataire », « co-traitant », « sous-traitant direct » ou « sous-traitant indirect » (constante ROLES_PARTENAIRE).</w:t>
            </w:r>
          </w:p>
        </w:tc>
      </w:tr>
      <w:tr>
        <w:tc>
          <w:tcPr>
            <w:tcW w:type="dxa" w:w="2100"/>
            <w:tcMar>
              <w:top w:type="dxa" w:w="70"/>
              <w:left w:type="dxa" w:w="100"/>
              <w:bottom w:type="dxa" w:w="70"/>
              <w:right w:type="dxa" w:w="100"/>
            </w:tcMar>
          </w:tcPr>
          <w:p>
            <w:r>
              <w:rPr>
                <w:b w:val="false"/>
                <w:bCs w:val="false"/>
                <w:i w:val="false"/>
                <w:iCs w:val="false"/>
                <w:sz w:val="19"/>
                <w:szCs w:val="19"/>
              </w:rPr>
              <w:t xml:space="preserve">montant</w:t>
            </w:r>
          </w:p>
        </w:tc>
        <w:tc>
          <w:tcPr>
            <w:tcW w:type="dxa" w:w="1500"/>
            <w:tcMar>
              <w:top w:type="dxa" w:w="70"/>
              <w:left w:type="dxa" w:w="100"/>
              <w:bottom w:type="dxa" w:w="70"/>
              <w:right w:type="dxa" w:w="100"/>
            </w:tcMar>
          </w:tcPr>
          <w:p>
            <w:r>
              <w:rPr>
                <w:b w:val="false"/>
                <w:bCs w:val="false"/>
                <w:i/>
                <w:iCs/>
                <w:sz w:val="19"/>
                <w:szCs w:val="19"/>
              </w:rPr>
              <w:t xml:space="preserve">nombre (€)</w:t>
            </w:r>
          </w:p>
        </w:tc>
        <w:tc>
          <w:tcPr>
            <w:tcW w:type="dxa" w:w="5600"/>
            <w:tcMar>
              <w:top w:type="dxa" w:w="70"/>
              <w:left w:type="dxa" w:w="100"/>
              <w:bottom w:type="dxa" w:w="70"/>
              <w:right w:type="dxa" w:w="100"/>
            </w:tcMar>
          </w:tcPr>
          <w:p>
            <w:r>
              <w:rPr>
                <w:b w:val="false"/>
                <w:bCs w:val="false"/>
                <w:i w:val="false"/>
                <w:iCs w:val="false"/>
                <w:sz w:val="19"/>
                <w:szCs w:val="19"/>
              </w:rPr>
              <w:t xml:space="preserve">Montant à payer à ce partenaire — utilisé dans la cohérence budgétaire uniquement pour les partenaires « sous-traitant indirect » (imputé sur le budget vendu de l'affaire, au même titre que les missions et les frais refacturables). Distinct du montant de sous-traitance refacturé au client sur une Facture (section 12).</w:t>
            </w:r>
          </w:p>
        </w:tc>
      </w:tr>
    </w:tbl>
    <w:p>
      <w:pPr>
        <w:pStyle w:val="Heading1"/>
        <w:spacing w:after="160" w:before="360"/>
      </w:pPr>
      <w:r>
        <w:t xml:space="preserve">6. Répartition commerciale (sous-table de l'Affaire)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600"/>
      </w:tblGrid>
      <w:tr>
        <w:trPr>
          <w:tblHeader/>
        </w:trPr>
        <w:tc>
          <w:tcPr>
            <w:tcW w:type="dxa" w:w="2100"/>
            <w:shd w:fill="EAF3DC" w:val="clear"/>
            <w:tcMar>
              <w:top w:type="dxa" w:w="70"/>
              <w:left w:type="dxa" w:w="100"/>
              <w:bottom w:type="dxa" w:w="70"/>
              <w:right w:type="dxa" w:w="100"/>
            </w:tcMar>
          </w:tcPr>
          <w:p>
            <w:r>
              <w:rPr>
                <w:b/>
                <w:bCs/>
                <w:i w:val="false"/>
                <w:iCs w:val="false"/>
                <w:sz w:val="19"/>
                <w:szCs w:val="19"/>
              </w:rPr>
              <w:t xml:space="preserve">Champ</w:t>
            </w:r>
          </w:p>
        </w:tc>
        <w:tc>
          <w:tcPr>
            <w:tcW w:type="dxa" w:w="1500"/>
            <w:shd w:fill="EAF3DC" w:val="clear"/>
            <w:tcMar>
              <w:top w:type="dxa" w:w="70"/>
              <w:left w:type="dxa" w:w="100"/>
              <w:bottom w:type="dxa" w:w="70"/>
              <w:right w:type="dxa" w:w="100"/>
            </w:tcMar>
          </w:tcPr>
          <w:p>
            <w:r>
              <w:rPr>
                <w:b/>
                <w:bCs/>
                <w:i w:val="false"/>
                <w:iCs w:val="false"/>
                <w:sz w:val="19"/>
                <w:szCs w:val="19"/>
              </w:rPr>
              <w:t xml:space="preserve">Type</w:t>
            </w:r>
          </w:p>
        </w:tc>
        <w:tc>
          <w:tcPr>
            <w:tcW w:type="dxa" w:w="5600"/>
            <w:shd w:fill="EAF3DC" w:val="clear"/>
            <w:tcMar>
              <w:top w:type="dxa" w:w="70"/>
              <w:left w:type="dxa" w:w="100"/>
              <w:bottom w:type="dxa" w:w="70"/>
              <w:right w:type="dxa" w:w="100"/>
            </w:tcMar>
          </w:tcPr>
          <w:p>
            <w:r>
              <w:rPr>
                <w:b/>
                <w:bCs/>
                <w:i w:val="false"/>
                <w:iCs w:val="false"/>
                <w:sz w:val="19"/>
                <w:szCs w:val="19"/>
              </w:rPr>
              <w:t xml:space="preserve">Signification</w:t>
            </w:r>
          </w:p>
        </w:tc>
      </w:tr>
      <w:tr>
        <w:tc>
          <w:tcPr>
            <w:tcW w:type="dxa" w:w="2100"/>
            <w:tcMar>
              <w:top w:type="dxa" w:w="70"/>
              <w:left w:type="dxa" w:w="100"/>
              <w:bottom w:type="dxa" w:w="70"/>
              <w:right w:type="dxa" w:w="100"/>
            </w:tcMar>
          </w:tcPr>
          <w:p>
            <w:r>
              <w:rPr>
                <w:b w:val="false"/>
                <w:bCs w:val="false"/>
                <w:i w:val="false"/>
                <w:iCs w:val="false"/>
                <w:sz w:val="19"/>
                <w:szCs w:val="19"/>
              </w:rPr>
              <w:t xml:space="preserve">consultantId</w:t>
            </w:r>
          </w:p>
        </w:tc>
        <w:tc>
          <w:tcPr>
            <w:tcW w:type="dxa" w:w="1500"/>
            <w:tcMar>
              <w:top w:type="dxa" w:w="70"/>
              <w:left w:type="dxa" w:w="100"/>
              <w:bottom w:type="dxa" w:w="70"/>
              <w:right w:type="dxa" w:w="100"/>
            </w:tcMar>
          </w:tcPr>
          <w:p>
            <w:r>
              <w:rPr>
                <w:b w:val="false"/>
                <w:bCs w:val="false"/>
                <w:i/>
                <w:iCs/>
                <w:sz w:val="19"/>
                <w:szCs w:val="19"/>
              </w:rPr>
              <w:t xml:space="preserve">référence → Consultant</w:t>
            </w:r>
          </w:p>
        </w:tc>
        <w:tc>
          <w:tcPr>
            <w:tcW w:type="dxa" w:w="5600"/>
            <w:tcMar>
              <w:top w:type="dxa" w:w="70"/>
              <w:left w:type="dxa" w:w="100"/>
              <w:bottom w:type="dxa" w:w="70"/>
              <w:right w:type="dxa" w:w="100"/>
            </w:tcMar>
          </w:tcPr>
          <w:p>
            <w:r>
              <w:rPr>
                <w:b w:val="false"/>
                <w:bCs w:val="false"/>
                <w:i w:val="false"/>
                <w:iCs w:val="false"/>
                <w:sz w:val="19"/>
                <w:szCs w:val="19"/>
              </w:rPr>
              <w:t xml:space="preserve">Le consultant crédité.</w:t>
            </w:r>
          </w:p>
        </w:tc>
      </w:tr>
      <w:tr>
        <w:tc>
          <w:tcPr>
            <w:tcW w:type="dxa" w:w="2100"/>
            <w:tcMar>
              <w:top w:type="dxa" w:w="70"/>
              <w:left w:type="dxa" w:w="100"/>
              <w:bottom w:type="dxa" w:w="70"/>
              <w:right w:type="dxa" w:w="100"/>
            </w:tcMar>
          </w:tcPr>
          <w:p>
            <w:r>
              <w:rPr>
                <w:b w:val="false"/>
                <w:bCs w:val="false"/>
                <w:i w:val="false"/>
                <w:iCs w:val="false"/>
                <w:sz w:val="19"/>
                <w:szCs w:val="19"/>
              </w:rPr>
              <w:t xml:space="preserve">pct</w:t>
            </w:r>
          </w:p>
        </w:tc>
        <w:tc>
          <w:tcPr>
            <w:tcW w:type="dxa" w:w="1500"/>
            <w:tcMar>
              <w:top w:type="dxa" w:w="70"/>
              <w:left w:type="dxa" w:w="100"/>
              <w:bottom w:type="dxa" w:w="70"/>
              <w:right w:type="dxa" w:w="100"/>
            </w:tcMar>
          </w:tcPr>
          <w:p>
            <w:r>
              <w:rPr>
                <w:b w:val="false"/>
                <w:bCs w:val="false"/>
                <w:i/>
                <w:iCs/>
                <w:sz w:val="19"/>
                <w:szCs w:val="19"/>
              </w:rPr>
              <w:t xml:space="preserve">nombre (%)</w:t>
            </w:r>
          </w:p>
        </w:tc>
        <w:tc>
          <w:tcPr>
            <w:tcW w:type="dxa" w:w="5600"/>
            <w:tcMar>
              <w:top w:type="dxa" w:w="70"/>
              <w:left w:type="dxa" w:w="100"/>
              <w:bottom w:type="dxa" w:w="70"/>
              <w:right w:type="dxa" w:w="100"/>
            </w:tcMar>
          </w:tcPr>
          <w:p>
            <w:r>
              <w:rPr>
                <w:b w:val="false"/>
                <w:bCs w:val="false"/>
                <w:i w:val="false"/>
                <w:iCs w:val="false"/>
                <w:sz w:val="19"/>
                <w:szCs w:val="19"/>
              </w:rPr>
              <w:t xml:space="preserve">Sa part du crédit commercial. Non bloquant si la somme des lignes ne fait pas 100 % (message informatif seulement, jamais vérifié à l'enregistrement de l'affaire).</w:t>
            </w:r>
          </w:p>
        </w:tc>
      </w:tr>
    </w:tbl>
    <w:p>
      <w:pPr>
        <w:spacing w:after="80"/>
      </w:pPr>
    </w:p>
    <w:p>
      <w:pPr>
        <w:spacing w:after="200"/>
      </w:pPr>
      <w:r>
        <w:rPr>
          <w:b w:val="false"/>
          <w:bCs w:val="false"/>
          <w:i w:val="false"/>
          <w:iCs w:val="false"/>
        </w:rPr>
        <w:t xml:space="preserve">Sert uniquement à créditer proportionnellement chaque consultant dans le suivi commercial (montants et jours déposés/gagnés, taux de transformation) — pas à réserver de futures missions. Si la sous-table est vide, le pilote commercial (section 4) est crédité de la totalité par défaut.</w:t>
      </w:r>
    </w:p>
    <w:p>
      <w:pPr>
        <w:pStyle w:val="Heading1"/>
        <w:spacing w:after="160" w:before="360"/>
      </w:pPr>
      <w:r>
        <w:t xml:space="preserve">7. Mission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600"/>
      </w:tblGrid>
      <w:tr>
        <w:trPr>
          <w:tblHeader/>
        </w:trPr>
        <w:tc>
          <w:tcPr>
            <w:tcW w:type="dxa" w:w="2100"/>
            <w:shd w:fill="EAF3DC" w:val="clear"/>
            <w:tcMar>
              <w:top w:type="dxa" w:w="70"/>
              <w:left w:type="dxa" w:w="100"/>
              <w:bottom w:type="dxa" w:w="70"/>
              <w:right w:type="dxa" w:w="100"/>
            </w:tcMar>
          </w:tcPr>
          <w:p>
            <w:r>
              <w:rPr>
                <w:b/>
                <w:bCs/>
                <w:i w:val="false"/>
                <w:iCs w:val="false"/>
                <w:sz w:val="19"/>
                <w:szCs w:val="19"/>
              </w:rPr>
              <w:t xml:space="preserve">Champ</w:t>
            </w:r>
          </w:p>
        </w:tc>
        <w:tc>
          <w:tcPr>
            <w:tcW w:type="dxa" w:w="1500"/>
            <w:shd w:fill="EAF3DC" w:val="clear"/>
            <w:tcMar>
              <w:top w:type="dxa" w:w="70"/>
              <w:left w:type="dxa" w:w="100"/>
              <w:bottom w:type="dxa" w:w="70"/>
              <w:right w:type="dxa" w:w="100"/>
            </w:tcMar>
          </w:tcPr>
          <w:p>
            <w:r>
              <w:rPr>
                <w:b/>
                <w:bCs/>
                <w:i w:val="false"/>
                <w:iCs w:val="false"/>
                <w:sz w:val="19"/>
                <w:szCs w:val="19"/>
              </w:rPr>
              <w:t xml:space="preserve">Type</w:t>
            </w:r>
          </w:p>
        </w:tc>
        <w:tc>
          <w:tcPr>
            <w:tcW w:type="dxa" w:w="5600"/>
            <w:shd w:fill="EAF3DC" w:val="clear"/>
            <w:tcMar>
              <w:top w:type="dxa" w:w="70"/>
              <w:left w:type="dxa" w:w="100"/>
              <w:bottom w:type="dxa" w:w="70"/>
              <w:right w:type="dxa" w:w="100"/>
            </w:tcMar>
          </w:tcPr>
          <w:p>
            <w:r>
              <w:rPr>
                <w:b/>
                <w:bCs/>
                <w:i w:val="false"/>
                <w:iCs w:val="false"/>
                <w:sz w:val="19"/>
                <w:szCs w:val="19"/>
              </w:rPr>
              <w:t xml:space="preserve">Signification</w:t>
            </w:r>
          </w:p>
        </w:tc>
      </w:tr>
      <w:tr>
        <w:tc>
          <w:tcPr>
            <w:tcW w:type="dxa" w:w="2100"/>
            <w:tcMar>
              <w:top w:type="dxa" w:w="70"/>
              <w:left w:type="dxa" w:w="100"/>
              <w:bottom w:type="dxa" w:w="70"/>
              <w:right w:type="dxa" w:w="100"/>
            </w:tcMar>
          </w:tcPr>
          <w:p>
            <w:r>
              <w:rPr>
                <w:b w:val="false"/>
                <w:bCs w:val="false"/>
                <w:i w:val="false"/>
                <w:iCs w:val="false"/>
                <w:sz w:val="19"/>
                <w:szCs w:val="19"/>
              </w:rPr>
              <w:t xml:space="preserve">id</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Identifiant unique.</w:t>
            </w:r>
          </w:p>
        </w:tc>
      </w:tr>
      <w:tr>
        <w:tc>
          <w:tcPr>
            <w:tcW w:type="dxa" w:w="2100"/>
            <w:tcMar>
              <w:top w:type="dxa" w:w="70"/>
              <w:left w:type="dxa" w:w="100"/>
              <w:bottom w:type="dxa" w:w="70"/>
              <w:right w:type="dxa" w:w="100"/>
            </w:tcMar>
          </w:tcPr>
          <w:p>
            <w:r>
              <w:rPr>
                <w:b w:val="false"/>
                <w:bCs w:val="false"/>
                <w:i w:val="false"/>
                <w:iCs w:val="false"/>
                <w:sz w:val="19"/>
                <w:szCs w:val="19"/>
              </w:rPr>
              <w:t xml:space="preserve">affaireId</w:t>
            </w:r>
          </w:p>
        </w:tc>
        <w:tc>
          <w:tcPr>
            <w:tcW w:type="dxa" w:w="1500"/>
            <w:tcMar>
              <w:top w:type="dxa" w:w="70"/>
              <w:left w:type="dxa" w:w="100"/>
              <w:bottom w:type="dxa" w:w="70"/>
              <w:right w:type="dxa" w:w="100"/>
            </w:tcMar>
          </w:tcPr>
          <w:p>
            <w:r>
              <w:rPr>
                <w:b w:val="false"/>
                <w:bCs w:val="false"/>
                <w:i/>
                <w:iCs/>
                <w:sz w:val="19"/>
                <w:szCs w:val="19"/>
              </w:rPr>
              <w:t xml:space="preserve">référence → Affaire</w:t>
            </w:r>
          </w:p>
        </w:tc>
        <w:tc>
          <w:tcPr>
            <w:tcW w:type="dxa" w:w="5600"/>
            <w:tcMar>
              <w:top w:type="dxa" w:w="70"/>
              <w:left w:type="dxa" w:w="100"/>
              <w:bottom w:type="dxa" w:w="70"/>
              <w:right w:type="dxa" w:w="100"/>
            </w:tcMar>
          </w:tcPr>
          <w:p>
            <w:r>
              <w:rPr>
                <w:b w:val="false"/>
                <w:bCs w:val="false"/>
                <w:i w:val="false"/>
                <w:iCs w:val="false"/>
                <w:sz w:val="19"/>
                <w:szCs w:val="19"/>
              </w:rPr>
              <w:t xml:space="preserve">Affaire dont dépend la mission.</w:t>
            </w:r>
          </w:p>
        </w:tc>
      </w:tr>
      <w:tr>
        <w:tc>
          <w:tcPr>
            <w:tcW w:type="dxa" w:w="2100"/>
            <w:tcMar>
              <w:top w:type="dxa" w:w="70"/>
              <w:left w:type="dxa" w:w="100"/>
              <w:bottom w:type="dxa" w:w="70"/>
              <w:right w:type="dxa" w:w="100"/>
            </w:tcMar>
          </w:tcPr>
          <w:p>
            <w:r>
              <w:rPr>
                <w:b w:val="false"/>
                <w:bCs w:val="false"/>
                <w:i w:val="false"/>
                <w:iCs w:val="false"/>
                <w:sz w:val="19"/>
                <w:szCs w:val="19"/>
              </w:rPr>
              <w:t xml:space="preserve">nom</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Nom de la mission.</w:t>
            </w:r>
          </w:p>
        </w:tc>
      </w:tr>
      <w:tr>
        <w:tc>
          <w:tcPr>
            <w:tcW w:type="dxa" w:w="2100"/>
            <w:tcMar>
              <w:top w:type="dxa" w:w="70"/>
              <w:left w:type="dxa" w:w="100"/>
              <w:bottom w:type="dxa" w:w="70"/>
              <w:right w:type="dxa" w:w="100"/>
            </w:tcMar>
          </w:tcPr>
          <w:p>
            <w:r>
              <w:rPr>
                <w:b w:val="false"/>
                <w:bCs w:val="false"/>
                <w:i w:val="false"/>
                <w:iCs w:val="false"/>
                <w:sz w:val="19"/>
                <w:szCs w:val="19"/>
              </w:rPr>
              <w:t xml:space="preserve">consultantId</w:t>
            </w:r>
          </w:p>
        </w:tc>
        <w:tc>
          <w:tcPr>
            <w:tcW w:type="dxa" w:w="1500"/>
            <w:tcMar>
              <w:top w:type="dxa" w:w="70"/>
              <w:left w:type="dxa" w:w="100"/>
              <w:bottom w:type="dxa" w:w="70"/>
              <w:right w:type="dxa" w:w="100"/>
            </w:tcMar>
          </w:tcPr>
          <w:p>
            <w:r>
              <w:rPr>
                <w:b w:val="false"/>
                <w:bCs w:val="false"/>
                <w:i/>
                <w:iCs/>
                <w:sz w:val="19"/>
                <w:szCs w:val="19"/>
              </w:rPr>
              <w:t xml:space="preserve">référence → Consultant</w:t>
            </w:r>
          </w:p>
        </w:tc>
        <w:tc>
          <w:tcPr>
            <w:tcW w:type="dxa" w:w="5600"/>
            <w:tcMar>
              <w:top w:type="dxa" w:w="70"/>
              <w:left w:type="dxa" w:w="100"/>
              <w:bottom w:type="dxa" w:w="70"/>
              <w:right w:type="dxa" w:w="100"/>
            </w:tcMar>
          </w:tcPr>
          <w:p>
            <w:r>
              <w:rPr>
                <w:b w:val="false"/>
                <w:bCs w:val="false"/>
                <w:i w:val="false"/>
                <w:iCs w:val="false"/>
                <w:sz w:val="19"/>
                <w:szCs w:val="19"/>
              </w:rPr>
              <w:t xml:space="preserve">Consultant en charge.</w:t>
            </w:r>
          </w:p>
        </w:tc>
      </w:tr>
      <w:tr>
        <w:tc>
          <w:tcPr>
            <w:tcW w:type="dxa" w:w="2100"/>
            <w:tcMar>
              <w:top w:type="dxa" w:w="70"/>
              <w:left w:type="dxa" w:w="100"/>
              <w:bottom w:type="dxa" w:w="70"/>
              <w:right w:type="dxa" w:w="100"/>
            </w:tcMar>
          </w:tcPr>
          <w:p>
            <w:r>
              <w:rPr>
                <w:b w:val="false"/>
                <w:bCs w:val="false"/>
                <w:i w:val="false"/>
                <w:iCs w:val="false"/>
                <w:sz w:val="19"/>
                <w:szCs w:val="19"/>
              </w:rPr>
              <w:t xml:space="preserve">statut</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 en cours » ou « terminée ».</w:t>
            </w:r>
          </w:p>
        </w:tc>
      </w:tr>
      <w:tr>
        <w:tc>
          <w:tcPr>
            <w:tcW w:type="dxa" w:w="2100"/>
            <w:tcMar>
              <w:top w:type="dxa" w:w="70"/>
              <w:left w:type="dxa" w:w="100"/>
              <w:bottom w:type="dxa" w:w="70"/>
              <w:right w:type="dxa" w:w="100"/>
            </w:tcMar>
          </w:tcPr>
          <w:p>
            <w:r>
              <w:rPr>
                <w:b w:val="false"/>
                <w:bCs w:val="false"/>
                <w:i w:val="false"/>
                <w:iCs w:val="false"/>
                <w:sz w:val="19"/>
                <w:szCs w:val="19"/>
              </w:rPr>
              <w:t xml:space="preserve">enveloppe</w:t>
            </w:r>
          </w:p>
        </w:tc>
        <w:tc>
          <w:tcPr>
            <w:tcW w:type="dxa" w:w="1500"/>
            <w:tcMar>
              <w:top w:type="dxa" w:w="70"/>
              <w:left w:type="dxa" w:w="100"/>
              <w:bottom w:type="dxa" w:w="70"/>
              <w:right w:type="dxa" w:w="100"/>
            </w:tcMar>
          </w:tcPr>
          <w:p>
            <w:r>
              <w:rPr>
                <w:b w:val="false"/>
                <w:bCs w:val="false"/>
                <w:i/>
                <w:iCs/>
                <w:sz w:val="19"/>
                <w:szCs w:val="19"/>
              </w:rPr>
              <w:t xml:space="preserve">nombre (jours)</w:t>
            </w:r>
          </w:p>
        </w:tc>
        <w:tc>
          <w:tcPr>
            <w:tcW w:type="dxa" w:w="5600"/>
            <w:tcMar>
              <w:top w:type="dxa" w:w="70"/>
              <w:left w:type="dxa" w:w="100"/>
              <w:bottom w:type="dxa" w:w="70"/>
              <w:right w:type="dxa" w:w="100"/>
            </w:tcMar>
          </w:tcPr>
          <w:p>
            <w:r>
              <w:rPr>
                <w:b w:val="false"/>
                <w:bCs w:val="false"/>
                <w:i w:val="false"/>
                <w:iCs w:val="false"/>
                <w:sz w:val="19"/>
                <w:szCs w:val="19"/>
              </w:rPr>
              <w:t xml:space="preserve">Jours vendus sur cette mission.</w:t>
            </w:r>
          </w:p>
        </w:tc>
      </w:tr>
      <w:tr>
        <w:tc>
          <w:tcPr>
            <w:tcW w:type="dxa" w:w="2100"/>
            <w:tcMar>
              <w:top w:type="dxa" w:w="70"/>
              <w:left w:type="dxa" w:w="100"/>
              <w:bottom w:type="dxa" w:w="70"/>
              <w:right w:type="dxa" w:w="100"/>
            </w:tcMar>
          </w:tcPr>
          <w:p>
            <w:r>
              <w:rPr>
                <w:b w:val="false"/>
                <w:bCs w:val="false"/>
                <w:i w:val="false"/>
                <w:iCs w:val="false"/>
                <w:sz w:val="19"/>
                <w:szCs w:val="19"/>
              </w:rPr>
              <w:t xml:space="preserve">taux</w:t>
            </w:r>
          </w:p>
        </w:tc>
        <w:tc>
          <w:tcPr>
            <w:tcW w:type="dxa" w:w="1500"/>
            <w:tcMar>
              <w:top w:type="dxa" w:w="70"/>
              <w:left w:type="dxa" w:w="100"/>
              <w:bottom w:type="dxa" w:w="70"/>
              <w:right w:type="dxa" w:w="100"/>
            </w:tcMar>
          </w:tcPr>
          <w:p>
            <w:r>
              <w:rPr>
                <w:b w:val="false"/>
                <w:bCs w:val="false"/>
                <w:i/>
                <w:iCs/>
                <w:sz w:val="19"/>
                <w:szCs w:val="19"/>
              </w:rPr>
              <w:t xml:space="preserve">nombre (€/jour)</w:t>
            </w:r>
          </w:p>
        </w:tc>
        <w:tc>
          <w:tcPr>
            <w:tcW w:type="dxa" w:w="5600"/>
            <w:tcMar>
              <w:top w:type="dxa" w:w="70"/>
              <w:left w:type="dxa" w:w="100"/>
              <w:bottom w:type="dxa" w:w="70"/>
              <w:right w:type="dxa" w:w="100"/>
            </w:tcMar>
          </w:tcPr>
          <w:p>
            <w:r>
              <w:rPr>
                <w:b w:val="false"/>
                <w:bCs w:val="false"/>
                <w:i w:val="false"/>
                <w:iCs w:val="false"/>
                <w:sz w:val="19"/>
                <w:szCs w:val="19"/>
              </w:rPr>
              <w:t xml:space="preserve">TJM négocié sur cette mission — pré-rempli depuis le TJM objectif du consultant à la création, mais jamais réécrasé automatiquement en modification (le taux négocié est protégé).</w:t>
            </w:r>
          </w:p>
        </w:tc>
      </w:tr>
      <w:tr>
        <w:tc>
          <w:tcPr>
            <w:tcW w:type="dxa" w:w="2100"/>
            <w:tcMar>
              <w:top w:type="dxa" w:w="70"/>
              <w:left w:type="dxa" w:w="100"/>
              <w:bottom w:type="dxa" w:w="70"/>
              <w:right w:type="dxa" w:w="100"/>
            </w:tcMar>
          </w:tcPr>
          <w:p>
            <w:r>
              <w:rPr>
                <w:b w:val="false"/>
                <w:bCs w:val="false"/>
                <w:i w:val="false"/>
                <w:iCs w:val="false"/>
                <w:sz w:val="19"/>
                <w:szCs w:val="19"/>
              </w:rPr>
              <w:t xml:space="preserve">dateDebut / dateFin</w:t>
            </w:r>
          </w:p>
        </w:tc>
        <w:tc>
          <w:tcPr>
            <w:tcW w:type="dxa" w:w="1500"/>
            <w:tcMar>
              <w:top w:type="dxa" w:w="70"/>
              <w:left w:type="dxa" w:w="100"/>
              <w:bottom w:type="dxa" w:w="70"/>
              <w:right w:type="dxa" w:w="100"/>
            </w:tcMar>
          </w:tcPr>
          <w:p>
            <w:r>
              <w:rPr>
                <w:b w:val="false"/>
                <w:bCs w:val="false"/>
                <w:i/>
                <w:iCs/>
                <w:sz w:val="19"/>
                <w:szCs w:val="19"/>
              </w:rPr>
              <w:t xml:space="preserve">date</w:t>
            </w:r>
          </w:p>
        </w:tc>
        <w:tc>
          <w:tcPr>
            <w:tcW w:type="dxa" w:w="5600"/>
            <w:tcMar>
              <w:top w:type="dxa" w:w="70"/>
              <w:left w:type="dxa" w:w="100"/>
              <w:bottom w:type="dxa" w:w="70"/>
              <w:right w:type="dxa" w:w="100"/>
            </w:tcMar>
          </w:tcPr>
          <w:p>
            <w:r>
              <w:rPr>
                <w:b w:val="false"/>
                <w:bCs w:val="false"/>
                <w:i w:val="false"/>
                <w:iCs w:val="false"/>
                <w:sz w:val="19"/>
                <w:szCs w:val="19"/>
              </w:rPr>
              <w:t xml:space="preserve">Fenêtre de la mission — doit rester incluse dans celle de l'affaire (règle bloquante).</w:t>
            </w:r>
          </w:p>
        </w:tc>
      </w:tr>
      <w:tr>
        <w:tc>
          <w:tcPr>
            <w:tcW w:type="dxa" w:w="2100"/>
            <w:tcMar>
              <w:top w:type="dxa" w:w="70"/>
              <w:left w:type="dxa" w:w="100"/>
              <w:bottom w:type="dxa" w:w="70"/>
              <w:right w:type="dxa" w:w="100"/>
            </w:tcMar>
          </w:tcPr>
          <w:p>
            <w:r>
              <w:rPr>
                <w:b w:val="false"/>
                <w:bCs w:val="false"/>
                <w:i w:val="false"/>
                <w:iCs w:val="false"/>
                <w:sz w:val="19"/>
                <w:szCs w:val="19"/>
              </w:rPr>
              <w:t xml:space="preserve">commentaires</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Libre.</w:t>
            </w:r>
          </w:p>
        </w:tc>
      </w:tr>
      <w:tr>
        <w:tc>
          <w:tcPr>
            <w:tcW w:type="dxa" w:w="2100"/>
            <w:tcMar>
              <w:top w:type="dxa" w:w="70"/>
              <w:left w:type="dxa" w:w="100"/>
              <w:bottom w:type="dxa" w:w="70"/>
              <w:right w:type="dxa" w:w="100"/>
            </w:tcMar>
          </w:tcPr>
          <w:p>
            <w:r>
              <w:rPr>
                <w:b w:val="false"/>
                <w:bCs w:val="false"/>
                <w:i w:val="false"/>
                <w:iCs w:val="false"/>
                <w:sz w:val="19"/>
                <w:szCs w:val="19"/>
              </w:rPr>
              <w:t xml:space="preserve">projectionManuelle</w:t>
            </w:r>
          </w:p>
        </w:tc>
        <w:tc>
          <w:tcPr>
            <w:tcW w:type="dxa" w:w="1500"/>
            <w:tcMar>
              <w:top w:type="dxa" w:w="70"/>
              <w:left w:type="dxa" w:w="100"/>
              <w:bottom w:type="dxa" w:w="70"/>
              <w:right w:type="dxa" w:w="100"/>
            </w:tcMar>
          </w:tcPr>
          <w:p>
            <w:r>
              <w:rPr>
                <w:b w:val="false"/>
                <w:bCs w:val="false"/>
                <w:i/>
                <w:iCs/>
                <w:sz w:val="19"/>
                <w:szCs w:val="19"/>
              </w:rPr>
              <w:t xml:space="preserve">objet { "AAAA-MM": jours }</w:t>
            </w:r>
          </w:p>
        </w:tc>
        <w:tc>
          <w:tcPr>
            <w:tcW w:type="dxa" w:w="5600"/>
            <w:tcMar>
              <w:top w:type="dxa" w:w="70"/>
              <w:left w:type="dxa" w:w="100"/>
              <w:bottom w:type="dxa" w:w="70"/>
              <w:right w:type="dxa" w:w="100"/>
            </w:tcMar>
          </w:tcPr>
          <w:p>
            <w:r>
              <w:rPr>
                <w:b w:val="false"/>
                <w:bCs w:val="false"/>
                <w:i w:val="false"/>
                <w:iCs w:val="false"/>
                <w:sz w:val="19"/>
                <w:szCs w:val="19"/>
              </w:rPr>
              <w:t xml:space="preserve">Surcharge manuelle, mois par mois, de la projection automatique du reste à faire — modifiable uniquement tant qu'il reste au moins 6 mois avant la fin de la mission.</w:t>
            </w:r>
          </w:p>
        </w:tc>
      </w:tr>
    </w:tbl>
    <w:p>
      <w:pPr>
        <w:pStyle w:val="Heading1"/>
        <w:spacing w:after="160" w:before="360"/>
      </w:pPr>
      <w:r>
        <w:t xml:space="preserve">8. Saisie de temps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600"/>
      </w:tblGrid>
      <w:tr>
        <w:trPr>
          <w:tblHeader/>
        </w:trPr>
        <w:tc>
          <w:tcPr>
            <w:tcW w:type="dxa" w:w="2100"/>
            <w:shd w:fill="EAF3DC" w:val="clear"/>
            <w:tcMar>
              <w:top w:type="dxa" w:w="70"/>
              <w:left w:type="dxa" w:w="100"/>
              <w:bottom w:type="dxa" w:w="70"/>
              <w:right w:type="dxa" w:w="100"/>
            </w:tcMar>
          </w:tcPr>
          <w:p>
            <w:r>
              <w:rPr>
                <w:b/>
                <w:bCs/>
                <w:i w:val="false"/>
                <w:iCs w:val="false"/>
                <w:sz w:val="19"/>
                <w:szCs w:val="19"/>
              </w:rPr>
              <w:t xml:space="preserve">Champ</w:t>
            </w:r>
          </w:p>
        </w:tc>
        <w:tc>
          <w:tcPr>
            <w:tcW w:type="dxa" w:w="1500"/>
            <w:shd w:fill="EAF3DC" w:val="clear"/>
            <w:tcMar>
              <w:top w:type="dxa" w:w="70"/>
              <w:left w:type="dxa" w:w="100"/>
              <w:bottom w:type="dxa" w:w="70"/>
              <w:right w:type="dxa" w:w="100"/>
            </w:tcMar>
          </w:tcPr>
          <w:p>
            <w:r>
              <w:rPr>
                <w:b/>
                <w:bCs/>
                <w:i w:val="false"/>
                <w:iCs w:val="false"/>
                <w:sz w:val="19"/>
                <w:szCs w:val="19"/>
              </w:rPr>
              <w:t xml:space="preserve">Type</w:t>
            </w:r>
          </w:p>
        </w:tc>
        <w:tc>
          <w:tcPr>
            <w:tcW w:type="dxa" w:w="5600"/>
            <w:shd w:fill="EAF3DC" w:val="clear"/>
            <w:tcMar>
              <w:top w:type="dxa" w:w="70"/>
              <w:left w:type="dxa" w:w="100"/>
              <w:bottom w:type="dxa" w:w="70"/>
              <w:right w:type="dxa" w:w="100"/>
            </w:tcMar>
          </w:tcPr>
          <w:p>
            <w:r>
              <w:rPr>
                <w:b/>
                <w:bCs/>
                <w:i w:val="false"/>
                <w:iCs w:val="false"/>
                <w:sz w:val="19"/>
                <w:szCs w:val="19"/>
              </w:rPr>
              <w:t xml:space="preserve">Signification</w:t>
            </w:r>
          </w:p>
        </w:tc>
      </w:tr>
      <w:tr>
        <w:tc>
          <w:tcPr>
            <w:tcW w:type="dxa" w:w="2100"/>
            <w:tcMar>
              <w:top w:type="dxa" w:w="70"/>
              <w:left w:type="dxa" w:w="100"/>
              <w:bottom w:type="dxa" w:w="70"/>
              <w:right w:type="dxa" w:w="100"/>
            </w:tcMar>
          </w:tcPr>
          <w:p>
            <w:r>
              <w:rPr>
                <w:b w:val="false"/>
                <w:bCs w:val="false"/>
                <w:i w:val="false"/>
                <w:iCs w:val="false"/>
                <w:sz w:val="19"/>
                <w:szCs w:val="19"/>
              </w:rPr>
              <w:t xml:space="preserve">id</w:t>
            </w:r>
          </w:p>
        </w:tc>
        <w:tc>
          <w:tcPr>
            <w:tcW w:type="dxa" w:w="1500"/>
            <w:tcMar>
              <w:top w:type="dxa" w:w="70"/>
              <w:left w:type="dxa" w:w="100"/>
              <w:bottom w:type="dxa" w:w="70"/>
              <w:right w:type="dxa" w:w="100"/>
            </w:tcMar>
          </w:tcPr>
          <w:p>
            <w:r>
              <w:rPr>
                <w:b w:val="false"/>
                <w:bCs w:val="false"/>
                <w:i/>
                <w:iCs/>
                <w:sz w:val="19"/>
                <w:szCs w:val="19"/>
              </w:rPr>
              <w:t xml:space="preserve">nombre</w:t>
            </w:r>
          </w:p>
        </w:tc>
        <w:tc>
          <w:tcPr>
            <w:tcW w:type="dxa" w:w="5600"/>
            <w:tcMar>
              <w:top w:type="dxa" w:w="70"/>
              <w:left w:type="dxa" w:w="100"/>
              <w:bottom w:type="dxa" w:w="70"/>
              <w:right w:type="dxa" w:w="100"/>
            </w:tcMar>
          </w:tcPr>
          <w:p>
            <w:r>
              <w:rPr>
                <w:b w:val="false"/>
                <w:bCs w:val="false"/>
                <w:i w:val="false"/>
                <w:iCs w:val="false"/>
                <w:sz w:val="19"/>
                <w:szCs w:val="19"/>
              </w:rPr>
              <w:t xml:space="preserve">Identifiant unique.</w:t>
            </w:r>
          </w:p>
        </w:tc>
      </w:tr>
      <w:tr>
        <w:tc>
          <w:tcPr>
            <w:tcW w:type="dxa" w:w="2100"/>
            <w:tcMar>
              <w:top w:type="dxa" w:w="70"/>
              <w:left w:type="dxa" w:w="100"/>
              <w:bottom w:type="dxa" w:w="70"/>
              <w:right w:type="dxa" w:w="100"/>
            </w:tcMar>
          </w:tcPr>
          <w:p>
            <w:r>
              <w:rPr>
                <w:b w:val="false"/>
                <w:bCs w:val="false"/>
                <w:i w:val="false"/>
                <w:iCs w:val="false"/>
                <w:sz w:val="19"/>
                <w:szCs w:val="19"/>
              </w:rPr>
              <w:t xml:space="preserve">date</w:t>
            </w:r>
          </w:p>
        </w:tc>
        <w:tc>
          <w:tcPr>
            <w:tcW w:type="dxa" w:w="1500"/>
            <w:tcMar>
              <w:top w:type="dxa" w:w="70"/>
              <w:left w:type="dxa" w:w="100"/>
              <w:bottom w:type="dxa" w:w="70"/>
              <w:right w:type="dxa" w:w="100"/>
            </w:tcMar>
          </w:tcPr>
          <w:p>
            <w:r>
              <w:rPr>
                <w:b w:val="false"/>
                <w:bCs w:val="false"/>
                <w:i/>
                <w:iCs/>
                <w:sz w:val="19"/>
                <w:szCs w:val="19"/>
              </w:rPr>
              <w:t xml:space="preserve">date</w:t>
            </w:r>
          </w:p>
        </w:tc>
        <w:tc>
          <w:tcPr>
            <w:tcW w:type="dxa" w:w="5600"/>
            <w:tcMar>
              <w:top w:type="dxa" w:w="70"/>
              <w:left w:type="dxa" w:w="100"/>
              <w:bottom w:type="dxa" w:w="70"/>
              <w:right w:type="dxa" w:w="100"/>
            </w:tcMar>
          </w:tcPr>
          <w:p>
            <w:r>
              <w:rPr>
                <w:b w:val="false"/>
                <w:bCs w:val="false"/>
                <w:i w:val="false"/>
                <w:iCs w:val="false"/>
                <w:sz w:val="19"/>
                <w:szCs w:val="19"/>
              </w:rPr>
              <w:t xml:space="preserve">Jour de la saisie.</w:t>
            </w:r>
          </w:p>
        </w:tc>
      </w:tr>
      <w:tr>
        <w:tc>
          <w:tcPr>
            <w:tcW w:type="dxa" w:w="2100"/>
            <w:tcMar>
              <w:top w:type="dxa" w:w="70"/>
              <w:left w:type="dxa" w:w="100"/>
              <w:bottom w:type="dxa" w:w="70"/>
              <w:right w:type="dxa" w:w="100"/>
            </w:tcMar>
          </w:tcPr>
          <w:p>
            <w:r>
              <w:rPr>
                <w:b w:val="false"/>
                <w:bCs w:val="false"/>
                <w:i w:val="false"/>
                <w:iCs w:val="false"/>
                <w:sz w:val="19"/>
                <w:szCs w:val="19"/>
              </w:rPr>
              <w:t xml:space="preserve">consultantId</w:t>
            </w:r>
          </w:p>
        </w:tc>
        <w:tc>
          <w:tcPr>
            <w:tcW w:type="dxa" w:w="1500"/>
            <w:tcMar>
              <w:top w:type="dxa" w:w="70"/>
              <w:left w:type="dxa" w:w="100"/>
              <w:bottom w:type="dxa" w:w="70"/>
              <w:right w:type="dxa" w:w="100"/>
            </w:tcMar>
          </w:tcPr>
          <w:p>
            <w:r>
              <w:rPr>
                <w:b w:val="false"/>
                <w:bCs w:val="false"/>
                <w:i/>
                <w:iCs/>
                <w:sz w:val="19"/>
                <w:szCs w:val="19"/>
              </w:rPr>
              <w:t xml:space="preserve">référence → Consultant</w:t>
            </w:r>
          </w:p>
        </w:tc>
        <w:tc>
          <w:tcPr>
            <w:tcW w:type="dxa" w:w="5600"/>
            <w:tcMar>
              <w:top w:type="dxa" w:w="70"/>
              <w:left w:type="dxa" w:w="100"/>
              <w:bottom w:type="dxa" w:w="70"/>
              <w:right w:type="dxa" w:w="100"/>
            </w:tcMar>
          </w:tcPr>
          <w:p>
            <w:r>
              <w:rPr>
                <w:b w:val="false"/>
                <w:bCs w:val="false"/>
                <w:i w:val="false"/>
                <w:iCs w:val="false"/>
                <w:sz w:val="19"/>
                <w:szCs w:val="19"/>
              </w:rPr>
              <w:t xml:space="preserve">Consultant qui a saisi.</w:t>
            </w:r>
          </w:p>
        </w:tc>
      </w:tr>
      <w:tr>
        <w:tc>
          <w:tcPr>
            <w:tcW w:type="dxa" w:w="2100"/>
            <w:tcMar>
              <w:top w:type="dxa" w:w="70"/>
              <w:left w:type="dxa" w:w="100"/>
              <w:bottom w:type="dxa" w:w="70"/>
              <w:right w:type="dxa" w:w="100"/>
            </w:tcMar>
          </w:tcPr>
          <w:p>
            <w:r>
              <w:rPr>
                <w:b w:val="false"/>
                <w:bCs w:val="false"/>
                <w:i w:val="false"/>
                <w:iCs w:val="false"/>
                <w:sz w:val="19"/>
                <w:szCs w:val="19"/>
              </w:rPr>
              <w:t xml:space="preserve">type</w:t>
            </w:r>
          </w:p>
        </w:tc>
        <w:tc>
          <w:tcPr>
            <w:tcW w:type="dxa" w:w="1500"/>
            <w:tcMar>
              <w:top w:type="dxa" w:w="70"/>
              <w:left w:type="dxa" w:w="100"/>
              <w:bottom w:type="dxa" w:w="70"/>
              <w:right w:type="dxa" w:w="100"/>
            </w:tcMar>
          </w:tcPr>
          <w:p>
            <w:r>
              <w:rPr>
                <w:b w:val="false"/>
                <w:bCs w:val="false"/>
                <w:i/>
                <w:iCs/>
                <w:sz w:val="19"/>
                <w:szCs w:val="19"/>
              </w:rPr>
              <w:t xml:space="preserve">texte (3 valeurs)</w:t>
            </w:r>
          </w:p>
        </w:tc>
        <w:tc>
          <w:tcPr>
            <w:tcW w:type="dxa" w:w="5600"/>
            <w:tcMar>
              <w:top w:type="dxa" w:w="70"/>
              <w:left w:type="dxa" w:w="100"/>
              <w:bottom w:type="dxa" w:w="70"/>
              <w:right w:type="dxa" w:w="100"/>
            </w:tcMar>
          </w:tcPr>
          <w:p>
            <w:r>
              <w:rPr>
                <w:b w:val="false"/>
                <w:bCs w:val="false"/>
                <w:i w:val="false"/>
                <w:iCs w:val="false"/>
                <w:sz w:val="19"/>
                <w:szCs w:val="19"/>
              </w:rPr>
              <w:t xml:space="preserve">« mission », « interne » ou « absence ».</w:t>
            </w:r>
          </w:p>
        </w:tc>
      </w:tr>
      <w:tr>
        <w:tc>
          <w:tcPr>
            <w:tcW w:type="dxa" w:w="2100"/>
            <w:tcMar>
              <w:top w:type="dxa" w:w="70"/>
              <w:left w:type="dxa" w:w="100"/>
              <w:bottom w:type="dxa" w:w="70"/>
              <w:right w:type="dxa" w:w="100"/>
            </w:tcMar>
          </w:tcPr>
          <w:p>
            <w:r>
              <w:rPr>
                <w:b w:val="false"/>
                <w:bCs w:val="false"/>
                <w:i w:val="false"/>
                <w:iCs w:val="false"/>
                <w:sz w:val="19"/>
                <w:szCs w:val="19"/>
              </w:rPr>
              <w:t xml:space="preserve">missionId</w:t>
            </w:r>
          </w:p>
        </w:tc>
        <w:tc>
          <w:tcPr>
            <w:tcW w:type="dxa" w:w="1500"/>
            <w:tcMar>
              <w:top w:type="dxa" w:w="70"/>
              <w:left w:type="dxa" w:w="100"/>
              <w:bottom w:type="dxa" w:w="70"/>
              <w:right w:type="dxa" w:w="100"/>
            </w:tcMar>
          </w:tcPr>
          <w:p>
            <w:r>
              <w:rPr>
                <w:b w:val="false"/>
                <w:bCs w:val="false"/>
                <w:i/>
                <w:iCs/>
                <w:sz w:val="19"/>
                <w:szCs w:val="19"/>
              </w:rPr>
              <w:t xml:space="preserve">référence → Mission, ou null</w:t>
            </w:r>
          </w:p>
        </w:tc>
        <w:tc>
          <w:tcPr>
            <w:tcW w:type="dxa" w:w="5600"/>
            <w:tcMar>
              <w:top w:type="dxa" w:w="70"/>
              <w:left w:type="dxa" w:w="100"/>
              <w:bottom w:type="dxa" w:w="70"/>
              <w:right w:type="dxa" w:w="100"/>
            </w:tcMar>
          </w:tcPr>
          <w:p>
            <w:r>
              <w:rPr>
                <w:b w:val="false"/>
                <w:bCs w:val="false"/>
                <w:i w:val="false"/>
                <w:iCs w:val="false"/>
                <w:sz w:val="19"/>
                <w:szCs w:val="19"/>
              </w:rPr>
              <w:t xml:space="preserve">Renseigné seulement si type = « mission ».</w:t>
            </w:r>
          </w:p>
        </w:tc>
      </w:tr>
      <w:tr>
        <w:tc>
          <w:tcPr>
            <w:tcW w:type="dxa" w:w="2100"/>
            <w:tcMar>
              <w:top w:type="dxa" w:w="70"/>
              <w:left w:type="dxa" w:w="100"/>
              <w:bottom w:type="dxa" w:w="70"/>
              <w:right w:type="dxa" w:w="100"/>
            </w:tcMar>
          </w:tcPr>
          <w:p>
            <w:r>
              <w:rPr>
                <w:b w:val="false"/>
                <w:bCs w:val="false"/>
                <w:i w:val="false"/>
                <w:iCs w:val="false"/>
                <w:sz w:val="19"/>
                <w:szCs w:val="19"/>
              </w:rPr>
              <w:t xml:space="preserve">categorie</w:t>
            </w:r>
          </w:p>
        </w:tc>
        <w:tc>
          <w:tcPr>
            <w:tcW w:type="dxa" w:w="1500"/>
            <w:tcMar>
              <w:top w:type="dxa" w:w="70"/>
              <w:left w:type="dxa" w:w="100"/>
              <w:bottom w:type="dxa" w:w="70"/>
              <w:right w:type="dxa" w:w="100"/>
            </w:tcMar>
          </w:tcPr>
          <w:p>
            <w:r>
              <w:rPr>
                <w:b w:val="false"/>
                <w:bCs w:val="false"/>
                <w:i/>
                <w:iCs/>
                <w:sz w:val="19"/>
                <w:szCs w:val="19"/>
              </w:rPr>
              <w:t xml:space="preserve">code → Temps interne ou Temps d'absence, ou null</w:t>
            </w:r>
          </w:p>
        </w:tc>
        <w:tc>
          <w:tcPr>
            <w:tcW w:type="dxa" w:w="5600"/>
            <w:tcMar>
              <w:top w:type="dxa" w:w="70"/>
              <w:left w:type="dxa" w:w="100"/>
              <w:bottom w:type="dxa" w:w="70"/>
              <w:right w:type="dxa" w:w="100"/>
            </w:tcMar>
          </w:tcPr>
          <w:p>
            <w:r>
              <w:rPr>
                <w:b w:val="false"/>
                <w:bCs w:val="false"/>
                <w:i w:val="false"/>
                <w:iCs w:val="false"/>
                <w:sz w:val="19"/>
                <w:szCs w:val="19"/>
              </w:rPr>
              <w:t xml:space="preserve">Renseigné seulement si type = « interne » ou « absence ».</w:t>
            </w:r>
          </w:p>
        </w:tc>
      </w:tr>
      <w:tr>
        <w:tc>
          <w:tcPr>
            <w:tcW w:type="dxa" w:w="2100"/>
            <w:tcMar>
              <w:top w:type="dxa" w:w="70"/>
              <w:left w:type="dxa" w:w="100"/>
              <w:bottom w:type="dxa" w:w="70"/>
              <w:right w:type="dxa" w:w="100"/>
            </w:tcMar>
          </w:tcPr>
          <w:p>
            <w:r>
              <w:rPr>
                <w:b w:val="false"/>
                <w:bCs w:val="false"/>
                <w:i w:val="false"/>
                <w:iCs w:val="false"/>
                <w:sz w:val="19"/>
                <w:szCs w:val="19"/>
              </w:rPr>
              <w:t xml:space="preserve">dureeH</w:t>
            </w:r>
          </w:p>
        </w:tc>
        <w:tc>
          <w:tcPr>
            <w:tcW w:type="dxa" w:w="1500"/>
            <w:tcMar>
              <w:top w:type="dxa" w:w="70"/>
              <w:left w:type="dxa" w:w="100"/>
              <w:bottom w:type="dxa" w:w="70"/>
              <w:right w:type="dxa" w:w="100"/>
            </w:tcMar>
          </w:tcPr>
          <w:p>
            <w:r>
              <w:rPr>
                <w:b w:val="false"/>
                <w:bCs w:val="false"/>
                <w:i/>
                <w:iCs/>
                <w:sz w:val="19"/>
                <w:szCs w:val="19"/>
              </w:rPr>
              <w:t xml:space="preserve">nombre (heures)</w:t>
            </w:r>
          </w:p>
        </w:tc>
        <w:tc>
          <w:tcPr>
            <w:tcW w:type="dxa" w:w="5600"/>
            <w:tcMar>
              <w:top w:type="dxa" w:w="70"/>
              <w:left w:type="dxa" w:w="100"/>
              <w:bottom w:type="dxa" w:w="70"/>
              <w:right w:type="dxa" w:w="100"/>
            </w:tcMar>
          </w:tcPr>
          <w:p>
            <w:r>
              <w:rPr>
                <w:b w:val="false"/>
                <w:bCs w:val="false"/>
                <w:i w:val="false"/>
                <w:iCs w:val="false"/>
                <w:sz w:val="19"/>
                <w:szCs w:val="19"/>
              </w:rPr>
              <w:t xml:space="preserve">Durée saisie, en heures (base 8h = 1 jour).</w:t>
            </w:r>
          </w:p>
        </w:tc>
      </w:tr>
      <w:tr>
        <w:tc>
          <w:tcPr>
            <w:tcW w:type="dxa" w:w="2100"/>
            <w:tcMar>
              <w:top w:type="dxa" w:w="70"/>
              <w:left w:type="dxa" w:w="100"/>
              <w:bottom w:type="dxa" w:w="70"/>
              <w:right w:type="dxa" w:w="100"/>
            </w:tcMar>
          </w:tcPr>
          <w:p>
            <w:r>
              <w:rPr>
                <w:b w:val="false"/>
                <w:bCs w:val="false"/>
                <w:i w:val="false"/>
                <w:iCs w:val="false"/>
                <w:sz w:val="19"/>
                <w:szCs w:val="19"/>
              </w:rPr>
              <w:t xml:space="preserve">pctFact</w:t>
            </w:r>
          </w:p>
        </w:tc>
        <w:tc>
          <w:tcPr>
            <w:tcW w:type="dxa" w:w="1500"/>
            <w:tcMar>
              <w:top w:type="dxa" w:w="70"/>
              <w:left w:type="dxa" w:w="100"/>
              <w:bottom w:type="dxa" w:w="70"/>
              <w:right w:type="dxa" w:w="100"/>
            </w:tcMar>
          </w:tcPr>
          <w:p>
            <w:r>
              <w:rPr>
                <w:b w:val="false"/>
                <w:bCs w:val="false"/>
                <w:i/>
                <w:iCs/>
                <w:sz w:val="19"/>
                <w:szCs w:val="19"/>
              </w:rPr>
              <w:t xml:space="preserve">nombre (0–100)</w:t>
            </w:r>
          </w:p>
        </w:tc>
        <w:tc>
          <w:tcPr>
            <w:tcW w:type="dxa" w:w="5600"/>
            <w:tcMar>
              <w:top w:type="dxa" w:w="70"/>
              <w:left w:type="dxa" w:w="100"/>
              <w:bottom w:type="dxa" w:w="70"/>
              <w:right w:type="dxa" w:w="100"/>
            </w:tcMar>
          </w:tcPr>
          <w:p>
            <w:r>
              <w:rPr>
                <w:b w:val="false"/>
                <w:bCs w:val="false"/>
                <w:i w:val="false"/>
                <w:iCs w:val="false"/>
                <w:sz w:val="19"/>
                <w:szCs w:val="19"/>
              </w:rPr>
              <w:t xml:space="preserve">% de la durée facturable. Forcé à 0 pour interne/absence.</w:t>
            </w:r>
          </w:p>
        </w:tc>
      </w:tr>
      <w:tr>
        <w:tc>
          <w:tcPr>
            <w:tcW w:type="dxa" w:w="2100"/>
            <w:tcMar>
              <w:top w:type="dxa" w:w="70"/>
              <w:left w:type="dxa" w:w="100"/>
              <w:bottom w:type="dxa" w:w="70"/>
              <w:right w:type="dxa" w:w="100"/>
            </w:tcMar>
          </w:tcPr>
          <w:p>
            <w:r>
              <w:rPr>
                <w:b w:val="false"/>
                <w:bCs w:val="false"/>
                <w:i w:val="false"/>
                <w:iCs w:val="false"/>
                <w:sz w:val="19"/>
                <w:szCs w:val="19"/>
              </w:rPr>
              <w:t xml:space="preserve">commentaire</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Libre, optionnel.</w:t>
            </w:r>
          </w:p>
        </w:tc>
      </w:tr>
      <w:tr>
        <w:tc>
          <w:tcPr>
            <w:tcW w:type="dxa" w:w="2100"/>
            <w:tcMar>
              <w:top w:type="dxa" w:w="70"/>
              <w:left w:type="dxa" w:w="100"/>
              <w:bottom w:type="dxa" w:w="70"/>
              <w:right w:type="dxa" w:w="100"/>
            </w:tcMar>
          </w:tcPr>
          <w:p>
            <w:r>
              <w:rPr>
                <w:b w:val="false"/>
                <w:bCs w:val="false"/>
                <w:i w:val="false"/>
                <w:iCs w:val="false"/>
                <w:sz w:val="19"/>
                <w:szCs w:val="19"/>
              </w:rPr>
              <w:t xml:space="preserve">dureeJ, jFact, jNonFact</w:t>
            </w:r>
          </w:p>
        </w:tc>
        <w:tc>
          <w:tcPr>
            <w:tcW w:type="dxa" w:w="1500"/>
            <w:tcMar>
              <w:top w:type="dxa" w:w="70"/>
              <w:left w:type="dxa" w:w="100"/>
              <w:bottom w:type="dxa" w:w="70"/>
              <w:right w:type="dxa" w:w="100"/>
            </w:tcMar>
          </w:tcPr>
          <w:p>
            <w:r>
              <w:rPr>
                <w:b w:val="false"/>
                <w:bCs w:val="false"/>
                <w:i/>
                <w:iCs/>
                <w:sz w:val="19"/>
                <w:szCs w:val="19"/>
              </w:rPr>
              <w:t xml:space="preserve">nombres (dérivés)</w:t>
            </w:r>
          </w:p>
        </w:tc>
        <w:tc>
          <w:tcPr>
            <w:tcW w:type="dxa" w:w="5600"/>
            <w:tcMar>
              <w:top w:type="dxa" w:w="70"/>
              <w:left w:type="dxa" w:w="100"/>
              <w:bottom w:type="dxa" w:w="70"/>
              <w:right w:type="dxa" w:w="100"/>
            </w:tcMar>
          </w:tcPr>
          <w:p>
            <w:r>
              <w:rPr>
                <w:b w:val="false"/>
                <w:bCs w:val="false"/>
                <w:i w:val="false"/>
                <w:iCs w:val="false"/>
                <w:sz w:val="19"/>
                <w:szCs w:val="19"/>
              </w:rPr>
              <w:t xml:space="preserve">Calculés une fois à l'ingestion des données (dureeH/8, et sa répartition facturable/non facturable) — champs de commodité pour l'affichage, pas resaisis par l'utilisateur.</w:t>
            </w:r>
          </w:p>
        </w:tc>
      </w:tr>
    </w:tbl>
    <w:p>
      <w:pPr>
        <w:spacing w:after="80"/>
      </w:pPr>
    </w:p>
    <w:p>
      <w:pPr>
        <w:spacing w:after="200"/>
      </w:pPr>
      <w:r>
        <w:rPr>
          <w:b w:val="false"/>
          <w:bCs w:val="false"/>
          <w:i w:val="false"/>
          <w:iCs w:val="false"/>
        </w:rPr>
        <w:t xml:space="preserve">Règle de dépassement : si une saisie de type « mission » fait dépasser l'enveloppe restante de la mission, le surplus bascule automatiquement pctFact à 0 sur la part excédentaire (non bloquant, message informatif). Au-delà de 20 % de dépassement cumulé sur la mission, un badge rouge s'affiche partout où elle apparaît.</w:t>
      </w:r>
    </w:p>
    <w:p>
      <w:pPr>
        <w:pStyle w:val="Heading1"/>
        <w:spacing w:after="160" w:before="360"/>
      </w:pPr>
      <w:r>
        <w:t xml:space="preserve">9. Frais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600"/>
      </w:tblGrid>
      <w:tr>
        <w:trPr>
          <w:tblHeader/>
        </w:trPr>
        <w:tc>
          <w:tcPr>
            <w:tcW w:type="dxa" w:w="2100"/>
            <w:shd w:fill="EAF3DC" w:val="clear"/>
            <w:tcMar>
              <w:top w:type="dxa" w:w="70"/>
              <w:left w:type="dxa" w:w="100"/>
              <w:bottom w:type="dxa" w:w="70"/>
              <w:right w:type="dxa" w:w="100"/>
            </w:tcMar>
          </w:tcPr>
          <w:p>
            <w:r>
              <w:rPr>
                <w:b/>
                <w:bCs/>
                <w:i w:val="false"/>
                <w:iCs w:val="false"/>
                <w:sz w:val="19"/>
                <w:szCs w:val="19"/>
              </w:rPr>
              <w:t xml:space="preserve">Champ</w:t>
            </w:r>
          </w:p>
        </w:tc>
        <w:tc>
          <w:tcPr>
            <w:tcW w:type="dxa" w:w="1500"/>
            <w:shd w:fill="EAF3DC" w:val="clear"/>
            <w:tcMar>
              <w:top w:type="dxa" w:w="70"/>
              <w:left w:type="dxa" w:w="100"/>
              <w:bottom w:type="dxa" w:w="70"/>
              <w:right w:type="dxa" w:w="100"/>
            </w:tcMar>
          </w:tcPr>
          <w:p>
            <w:r>
              <w:rPr>
                <w:b/>
                <w:bCs/>
                <w:i w:val="false"/>
                <w:iCs w:val="false"/>
                <w:sz w:val="19"/>
                <w:szCs w:val="19"/>
              </w:rPr>
              <w:t xml:space="preserve">Type</w:t>
            </w:r>
          </w:p>
        </w:tc>
        <w:tc>
          <w:tcPr>
            <w:tcW w:type="dxa" w:w="5600"/>
            <w:shd w:fill="EAF3DC" w:val="clear"/>
            <w:tcMar>
              <w:top w:type="dxa" w:w="70"/>
              <w:left w:type="dxa" w:w="100"/>
              <w:bottom w:type="dxa" w:w="70"/>
              <w:right w:type="dxa" w:w="100"/>
            </w:tcMar>
          </w:tcPr>
          <w:p>
            <w:r>
              <w:rPr>
                <w:b/>
                <w:bCs/>
                <w:i w:val="false"/>
                <w:iCs w:val="false"/>
                <w:sz w:val="19"/>
                <w:szCs w:val="19"/>
              </w:rPr>
              <w:t xml:space="preserve">Signification</w:t>
            </w:r>
          </w:p>
        </w:tc>
      </w:tr>
      <w:tr>
        <w:tc>
          <w:tcPr>
            <w:tcW w:type="dxa" w:w="2100"/>
            <w:tcMar>
              <w:top w:type="dxa" w:w="70"/>
              <w:left w:type="dxa" w:w="100"/>
              <w:bottom w:type="dxa" w:w="70"/>
              <w:right w:type="dxa" w:w="100"/>
            </w:tcMar>
          </w:tcPr>
          <w:p>
            <w:r>
              <w:rPr>
                <w:b w:val="false"/>
                <w:bCs w:val="false"/>
                <w:i w:val="false"/>
                <w:iCs w:val="false"/>
                <w:sz w:val="19"/>
                <w:szCs w:val="19"/>
              </w:rPr>
              <w:t xml:space="preserve">id</w:t>
            </w:r>
          </w:p>
        </w:tc>
        <w:tc>
          <w:tcPr>
            <w:tcW w:type="dxa" w:w="1500"/>
            <w:tcMar>
              <w:top w:type="dxa" w:w="70"/>
              <w:left w:type="dxa" w:w="100"/>
              <w:bottom w:type="dxa" w:w="70"/>
              <w:right w:type="dxa" w:w="100"/>
            </w:tcMar>
          </w:tcPr>
          <w:p>
            <w:r>
              <w:rPr>
                <w:b w:val="false"/>
                <w:bCs w:val="false"/>
                <w:i/>
                <w:iCs/>
                <w:sz w:val="19"/>
                <w:szCs w:val="19"/>
              </w:rPr>
              <w:t xml:space="preserve">nombre</w:t>
            </w:r>
          </w:p>
        </w:tc>
        <w:tc>
          <w:tcPr>
            <w:tcW w:type="dxa" w:w="5600"/>
            <w:tcMar>
              <w:top w:type="dxa" w:w="70"/>
              <w:left w:type="dxa" w:w="100"/>
              <w:bottom w:type="dxa" w:w="70"/>
              <w:right w:type="dxa" w:w="100"/>
            </w:tcMar>
          </w:tcPr>
          <w:p>
            <w:r>
              <w:rPr>
                <w:b w:val="false"/>
                <w:bCs w:val="false"/>
                <w:i w:val="false"/>
                <w:iCs w:val="false"/>
                <w:sz w:val="19"/>
                <w:szCs w:val="19"/>
              </w:rPr>
              <w:t xml:space="preserve">Identifiant unique.</w:t>
            </w:r>
          </w:p>
        </w:tc>
      </w:tr>
      <w:tr>
        <w:tc>
          <w:tcPr>
            <w:tcW w:type="dxa" w:w="2100"/>
            <w:tcMar>
              <w:top w:type="dxa" w:w="70"/>
              <w:left w:type="dxa" w:w="100"/>
              <w:bottom w:type="dxa" w:w="70"/>
              <w:right w:type="dxa" w:w="100"/>
            </w:tcMar>
          </w:tcPr>
          <w:p>
            <w:r>
              <w:rPr>
                <w:b w:val="false"/>
                <w:bCs w:val="false"/>
                <w:i w:val="false"/>
                <w:iCs w:val="false"/>
                <w:sz w:val="19"/>
                <w:szCs w:val="19"/>
              </w:rPr>
              <w:t xml:space="preserve">date</w:t>
            </w:r>
          </w:p>
        </w:tc>
        <w:tc>
          <w:tcPr>
            <w:tcW w:type="dxa" w:w="1500"/>
            <w:tcMar>
              <w:top w:type="dxa" w:w="70"/>
              <w:left w:type="dxa" w:w="100"/>
              <w:bottom w:type="dxa" w:w="70"/>
              <w:right w:type="dxa" w:w="100"/>
            </w:tcMar>
          </w:tcPr>
          <w:p>
            <w:r>
              <w:rPr>
                <w:b w:val="false"/>
                <w:bCs w:val="false"/>
                <w:i/>
                <w:iCs/>
                <w:sz w:val="19"/>
                <w:szCs w:val="19"/>
              </w:rPr>
              <w:t xml:space="preserve">date</w:t>
            </w:r>
          </w:p>
        </w:tc>
        <w:tc>
          <w:tcPr>
            <w:tcW w:type="dxa" w:w="5600"/>
            <w:tcMar>
              <w:top w:type="dxa" w:w="70"/>
              <w:left w:type="dxa" w:w="100"/>
              <w:bottom w:type="dxa" w:w="70"/>
              <w:right w:type="dxa" w:w="100"/>
            </w:tcMar>
          </w:tcPr>
          <w:p>
            <w:r>
              <w:rPr>
                <w:b w:val="false"/>
                <w:bCs w:val="false"/>
                <w:i w:val="false"/>
                <w:iCs w:val="false"/>
                <w:sz w:val="19"/>
                <w:szCs w:val="19"/>
              </w:rPr>
              <w:t xml:space="preserve">Date de la dépense.</w:t>
            </w:r>
          </w:p>
        </w:tc>
      </w:tr>
      <w:tr>
        <w:tc>
          <w:tcPr>
            <w:tcW w:type="dxa" w:w="2100"/>
            <w:tcMar>
              <w:top w:type="dxa" w:w="70"/>
              <w:left w:type="dxa" w:w="100"/>
              <w:bottom w:type="dxa" w:w="70"/>
              <w:right w:type="dxa" w:w="100"/>
            </w:tcMar>
          </w:tcPr>
          <w:p>
            <w:r>
              <w:rPr>
                <w:b w:val="false"/>
                <w:bCs w:val="false"/>
                <w:i w:val="false"/>
                <w:iCs w:val="false"/>
                <w:sz w:val="19"/>
                <w:szCs w:val="19"/>
              </w:rPr>
              <w:t xml:space="preserve">consultantId</w:t>
            </w:r>
          </w:p>
        </w:tc>
        <w:tc>
          <w:tcPr>
            <w:tcW w:type="dxa" w:w="1500"/>
            <w:tcMar>
              <w:top w:type="dxa" w:w="70"/>
              <w:left w:type="dxa" w:w="100"/>
              <w:bottom w:type="dxa" w:w="70"/>
              <w:right w:type="dxa" w:w="100"/>
            </w:tcMar>
          </w:tcPr>
          <w:p>
            <w:r>
              <w:rPr>
                <w:b w:val="false"/>
                <w:bCs w:val="false"/>
                <w:i/>
                <w:iCs/>
                <w:sz w:val="19"/>
                <w:szCs w:val="19"/>
              </w:rPr>
              <w:t xml:space="preserve">référence → Consultant</w:t>
            </w:r>
          </w:p>
        </w:tc>
        <w:tc>
          <w:tcPr>
            <w:tcW w:type="dxa" w:w="5600"/>
            <w:tcMar>
              <w:top w:type="dxa" w:w="70"/>
              <w:left w:type="dxa" w:w="100"/>
              <w:bottom w:type="dxa" w:w="70"/>
              <w:right w:type="dxa" w:w="100"/>
            </w:tcMar>
          </w:tcPr>
          <w:p>
            <w:r>
              <w:rPr>
                <w:b w:val="false"/>
                <w:bCs w:val="false"/>
                <w:i w:val="false"/>
                <w:iCs w:val="false"/>
                <w:sz w:val="19"/>
                <w:szCs w:val="19"/>
              </w:rPr>
              <w:t xml:space="preserve">Consultant ayant engagé la dépense.</w:t>
            </w:r>
          </w:p>
        </w:tc>
      </w:tr>
      <w:tr>
        <w:tc>
          <w:tcPr>
            <w:tcW w:type="dxa" w:w="2100"/>
            <w:tcMar>
              <w:top w:type="dxa" w:w="70"/>
              <w:left w:type="dxa" w:w="100"/>
              <w:bottom w:type="dxa" w:w="70"/>
              <w:right w:type="dxa" w:w="100"/>
            </w:tcMar>
          </w:tcPr>
          <w:p>
            <w:r>
              <w:rPr>
                <w:b w:val="false"/>
                <w:bCs w:val="false"/>
                <w:i w:val="false"/>
                <w:iCs w:val="false"/>
                <w:sz w:val="19"/>
                <w:szCs w:val="19"/>
              </w:rPr>
              <w:t xml:space="preserve">affaireId</w:t>
            </w:r>
          </w:p>
        </w:tc>
        <w:tc>
          <w:tcPr>
            <w:tcW w:type="dxa" w:w="1500"/>
            <w:tcMar>
              <w:top w:type="dxa" w:w="70"/>
              <w:left w:type="dxa" w:w="100"/>
              <w:bottom w:type="dxa" w:w="70"/>
              <w:right w:type="dxa" w:w="100"/>
            </w:tcMar>
          </w:tcPr>
          <w:p>
            <w:r>
              <w:rPr>
                <w:b w:val="false"/>
                <w:bCs w:val="false"/>
                <w:i/>
                <w:iCs/>
                <w:sz w:val="19"/>
                <w:szCs w:val="19"/>
              </w:rPr>
              <w:t xml:space="preserve">référence → Affaire, ou null</w:t>
            </w:r>
          </w:p>
        </w:tc>
        <w:tc>
          <w:tcPr>
            <w:tcW w:type="dxa" w:w="5600"/>
            <w:tcMar>
              <w:top w:type="dxa" w:w="70"/>
              <w:left w:type="dxa" w:w="100"/>
              <w:bottom w:type="dxa" w:w="70"/>
              <w:right w:type="dxa" w:w="100"/>
            </w:tcMar>
          </w:tcPr>
          <w:p>
            <w:r>
              <w:rPr>
                <w:b w:val="false"/>
                <w:bCs w:val="false"/>
                <w:i w:val="false"/>
                <w:iCs w:val="false"/>
                <w:sz w:val="19"/>
                <w:szCs w:val="19"/>
              </w:rPr>
              <w:t xml:space="preserve">Affaire à laquelle la dépense se rattache — renseigné uniquement si le frais est affecté à une affaire (voir categorieTempsInterne ci-dessous : les deux champs sont mutuellement exclusifs, l'un des deux est toujours renseigné).</w:t>
            </w:r>
          </w:p>
        </w:tc>
      </w:tr>
      <w:tr>
        <w:tc>
          <w:tcPr>
            <w:tcW w:type="dxa" w:w="2100"/>
            <w:tcMar>
              <w:top w:type="dxa" w:w="70"/>
              <w:left w:type="dxa" w:w="100"/>
              <w:bottom w:type="dxa" w:w="70"/>
              <w:right w:type="dxa" w:w="100"/>
            </w:tcMar>
          </w:tcPr>
          <w:p>
            <w:r>
              <w:rPr>
                <w:b w:val="false"/>
                <w:bCs w:val="false"/>
                <w:i w:val="false"/>
                <w:iCs w:val="false"/>
                <w:sz w:val="19"/>
                <w:szCs w:val="19"/>
              </w:rPr>
              <w:t xml:space="preserve">categorieTempsInterne</w:t>
            </w:r>
          </w:p>
        </w:tc>
        <w:tc>
          <w:tcPr>
            <w:tcW w:type="dxa" w:w="1500"/>
            <w:tcMar>
              <w:top w:type="dxa" w:w="70"/>
              <w:left w:type="dxa" w:w="100"/>
              <w:bottom w:type="dxa" w:w="70"/>
              <w:right w:type="dxa" w:w="100"/>
            </w:tcMar>
          </w:tcPr>
          <w:p>
            <w:r>
              <w:rPr>
                <w:b w:val="false"/>
                <w:bCs w:val="false"/>
                <w:i/>
                <w:iCs/>
                <w:sz w:val="19"/>
                <w:szCs w:val="19"/>
              </w:rPr>
              <w:t xml:space="preserve">code → Temps interne, ou null</w:t>
            </w:r>
          </w:p>
        </w:tc>
        <w:tc>
          <w:tcPr>
            <w:tcW w:type="dxa" w:w="5600"/>
            <w:tcMar>
              <w:top w:type="dxa" w:w="70"/>
              <w:left w:type="dxa" w:w="100"/>
              <w:bottom w:type="dxa" w:w="70"/>
              <w:right w:type="dxa" w:w="100"/>
            </w:tcMar>
          </w:tcPr>
          <w:p>
            <w:r>
              <w:rPr>
                <w:b w:val="false"/>
                <w:bCs w:val="false"/>
                <w:i w:val="false"/>
                <w:iCs w:val="false"/>
                <w:sz w:val="19"/>
                <w:szCs w:val="19"/>
              </w:rPr>
              <w:t xml:space="preserve">Temps interne auquel la dépense se rattache — renseigné uniquement si le frais n'est pas affecté à une affaire. Jamais un temps d'absence (exclu du choix proposé à la saisie).</w:t>
            </w:r>
          </w:p>
        </w:tc>
      </w:tr>
      <w:tr>
        <w:tc>
          <w:tcPr>
            <w:tcW w:type="dxa" w:w="2100"/>
            <w:tcMar>
              <w:top w:type="dxa" w:w="70"/>
              <w:left w:type="dxa" w:w="100"/>
              <w:bottom w:type="dxa" w:w="70"/>
              <w:right w:type="dxa" w:w="100"/>
            </w:tcMar>
          </w:tcPr>
          <w:p>
            <w:r>
              <w:rPr>
                <w:b w:val="false"/>
                <w:bCs w:val="false"/>
                <w:i w:val="false"/>
                <w:iCs w:val="false"/>
                <w:sz w:val="19"/>
                <w:szCs w:val="19"/>
              </w:rPr>
              <w:t xml:space="preserve">categorieFraisId</w:t>
            </w:r>
          </w:p>
        </w:tc>
        <w:tc>
          <w:tcPr>
            <w:tcW w:type="dxa" w:w="1500"/>
            <w:tcMar>
              <w:top w:type="dxa" w:w="70"/>
              <w:left w:type="dxa" w:w="100"/>
              <w:bottom w:type="dxa" w:w="70"/>
              <w:right w:type="dxa" w:w="100"/>
            </w:tcMar>
          </w:tcPr>
          <w:p>
            <w:r>
              <w:rPr>
                <w:b w:val="false"/>
                <w:bCs w:val="false"/>
                <w:i/>
                <w:iCs/>
                <w:sz w:val="19"/>
                <w:szCs w:val="19"/>
              </w:rPr>
              <w:t xml:space="preserve">référence → Sous-catégorie de frais</w:t>
            </w:r>
          </w:p>
        </w:tc>
        <w:tc>
          <w:tcPr>
            <w:tcW w:type="dxa" w:w="5600"/>
            <w:tcMar>
              <w:top w:type="dxa" w:w="70"/>
              <w:left w:type="dxa" w:w="100"/>
              <w:bottom w:type="dxa" w:w="70"/>
              <w:right w:type="dxa" w:w="100"/>
            </w:tcMar>
          </w:tcPr>
          <w:p>
            <w:r>
              <w:rPr>
                <w:b w:val="false"/>
                <w:bCs w:val="false"/>
                <w:i w:val="false"/>
                <w:iCs w:val="false"/>
                <w:sz w:val="19"/>
                <w:szCs w:val="19"/>
              </w:rPr>
              <w:t xml:space="preserve">Voir section 12.</w:t>
            </w:r>
          </w:p>
        </w:tc>
      </w:tr>
      <w:tr>
        <w:tc>
          <w:tcPr>
            <w:tcW w:type="dxa" w:w="2100"/>
            <w:tcMar>
              <w:top w:type="dxa" w:w="70"/>
              <w:left w:type="dxa" w:w="100"/>
              <w:bottom w:type="dxa" w:w="70"/>
              <w:right w:type="dxa" w:w="100"/>
            </w:tcMar>
          </w:tcPr>
          <w:p>
            <w:r>
              <w:rPr>
                <w:b w:val="false"/>
                <w:bCs w:val="false"/>
                <w:i w:val="false"/>
                <w:iCs w:val="false"/>
                <w:sz w:val="19"/>
                <w:szCs w:val="19"/>
              </w:rPr>
              <w:t xml:space="preserve">refacturable</w:t>
            </w:r>
          </w:p>
        </w:tc>
        <w:tc>
          <w:tcPr>
            <w:tcW w:type="dxa" w:w="1500"/>
            <w:tcMar>
              <w:top w:type="dxa" w:w="70"/>
              <w:left w:type="dxa" w:w="100"/>
              <w:bottom w:type="dxa" w:w="70"/>
              <w:right w:type="dxa" w:w="100"/>
            </w:tcMar>
          </w:tcPr>
          <w:p>
            <w:r>
              <w:rPr>
                <w:b w:val="false"/>
                <w:bCs w:val="false"/>
                <w:i/>
                <w:iCs/>
                <w:sz w:val="19"/>
                <w:szCs w:val="19"/>
              </w:rPr>
              <w:t xml:space="preserve">booléen</w:t>
            </w:r>
          </w:p>
        </w:tc>
        <w:tc>
          <w:tcPr>
            <w:tcW w:type="dxa" w:w="5600"/>
            <w:tcMar>
              <w:top w:type="dxa" w:w="70"/>
              <w:left w:type="dxa" w:w="100"/>
              <w:bottom w:type="dxa" w:w="70"/>
              <w:right w:type="dxa" w:w="100"/>
            </w:tcMar>
          </w:tcPr>
          <w:p>
            <w:r>
              <w:rPr>
                <w:b w:val="false"/>
                <w:bCs w:val="false"/>
                <w:i w:val="false"/>
                <w:iCs w:val="false"/>
                <w:sz w:val="19"/>
                <w:szCs w:val="19"/>
              </w:rPr>
              <w:t xml:space="preserve">N'a de sens que pour un frais affecté à une affaire : si vrai, le montant TTC s'impute sur la ligne « Frais Cabinet » du budget de l'affaire (cohérence budgétaire) ; si faux, reste hors budget affaire. Toujours faux pour un frais affecté à un temps interne.</w:t>
            </w:r>
          </w:p>
        </w:tc>
      </w:tr>
      <w:tr>
        <w:tc>
          <w:tcPr>
            <w:tcW w:type="dxa" w:w="2100"/>
            <w:tcMar>
              <w:top w:type="dxa" w:w="70"/>
              <w:left w:type="dxa" w:w="100"/>
              <w:bottom w:type="dxa" w:w="70"/>
              <w:right w:type="dxa" w:w="100"/>
            </w:tcMar>
          </w:tcPr>
          <w:p>
            <w:r>
              <w:rPr>
                <w:b w:val="false"/>
                <w:bCs w:val="false"/>
                <w:i w:val="false"/>
                <w:iCs w:val="false"/>
                <w:sz w:val="19"/>
                <w:szCs w:val="19"/>
              </w:rPr>
              <w:t xml:space="preserve">numeroBordereau</w:t>
            </w:r>
          </w:p>
        </w:tc>
        <w:tc>
          <w:tcPr>
            <w:tcW w:type="dxa" w:w="1500"/>
            <w:tcMar>
              <w:top w:type="dxa" w:w="70"/>
              <w:left w:type="dxa" w:w="100"/>
              <w:bottom w:type="dxa" w:w="70"/>
              <w:right w:type="dxa" w:w="100"/>
            </w:tcMar>
          </w:tcPr>
          <w:p>
            <w:r>
              <w:rPr>
                <w:b w:val="false"/>
                <w:bCs w:val="false"/>
                <w:i/>
                <w:iCs/>
                <w:sz w:val="19"/>
                <w:szCs w:val="19"/>
              </w:rPr>
              <w:t xml:space="preserve">référence → Bordereau de frais</w:t>
            </w:r>
          </w:p>
        </w:tc>
        <w:tc>
          <w:tcPr>
            <w:tcW w:type="dxa" w:w="5600"/>
            <w:tcMar>
              <w:top w:type="dxa" w:w="70"/>
              <w:left w:type="dxa" w:w="100"/>
              <w:bottom w:type="dxa" w:w="70"/>
              <w:right w:type="dxa" w:w="100"/>
            </w:tcMar>
          </w:tcPr>
          <w:p>
            <w:r>
              <w:rPr>
                <w:b w:val="false"/>
                <w:bCs w:val="false"/>
                <w:i w:val="false"/>
                <w:iCs w:val="false"/>
                <w:sz w:val="19"/>
                <w:szCs w:val="19"/>
              </w:rPr>
              <w:t xml:space="preserve">Note de frais à laquelle ce frais est rattaché (voir section 11).</w:t>
            </w:r>
          </w:p>
        </w:tc>
      </w:tr>
      <w:tr>
        <w:tc>
          <w:tcPr>
            <w:tcW w:type="dxa" w:w="2100"/>
            <w:tcMar>
              <w:top w:type="dxa" w:w="70"/>
              <w:left w:type="dxa" w:w="100"/>
              <w:bottom w:type="dxa" w:w="70"/>
              <w:right w:type="dxa" w:w="100"/>
            </w:tcMar>
          </w:tcPr>
          <w:p>
            <w:r>
              <w:rPr>
                <w:b w:val="false"/>
                <w:bCs w:val="false"/>
                <w:i w:val="false"/>
                <w:iCs w:val="false"/>
                <w:sz w:val="19"/>
                <w:szCs w:val="19"/>
              </w:rPr>
              <w:t xml:space="preserve">lignesTVA</w:t>
            </w:r>
          </w:p>
        </w:tc>
        <w:tc>
          <w:tcPr>
            <w:tcW w:type="dxa" w:w="1500"/>
            <w:tcMar>
              <w:top w:type="dxa" w:w="70"/>
              <w:left w:type="dxa" w:w="100"/>
              <w:bottom w:type="dxa" w:w="70"/>
              <w:right w:type="dxa" w:w="100"/>
            </w:tcMar>
          </w:tcPr>
          <w:p>
            <w:r>
              <w:rPr>
                <w:b w:val="false"/>
                <w:bCs w:val="false"/>
                <w:i/>
                <w:iCs/>
                <w:sz w:val="19"/>
                <w:szCs w:val="19"/>
              </w:rPr>
              <w:t xml:space="preserve">liste de Ligne de TVA</w:t>
            </w:r>
          </w:p>
        </w:tc>
        <w:tc>
          <w:tcPr>
            <w:tcW w:type="dxa" w:w="5600"/>
            <w:tcMar>
              <w:top w:type="dxa" w:w="70"/>
              <w:left w:type="dxa" w:w="100"/>
              <w:bottom w:type="dxa" w:w="70"/>
              <w:right w:type="dxa" w:w="100"/>
            </w:tcMar>
          </w:tcPr>
          <w:p>
            <w:r>
              <w:rPr>
                <w:b w:val="false"/>
                <w:bCs w:val="false"/>
                <w:i w:val="false"/>
                <w:iCs w:val="false"/>
                <w:sz w:val="19"/>
                <w:szCs w:val="19"/>
              </w:rPr>
              <w:t xml:space="preserve">1 à 4 lignes — voir section 10.</w:t>
            </w:r>
          </w:p>
        </w:tc>
      </w:tr>
      <w:tr>
        <w:tc>
          <w:tcPr>
            <w:tcW w:type="dxa" w:w="2100"/>
            <w:tcMar>
              <w:top w:type="dxa" w:w="70"/>
              <w:left w:type="dxa" w:w="100"/>
              <w:bottom w:type="dxa" w:w="70"/>
              <w:right w:type="dxa" w:w="100"/>
            </w:tcMar>
          </w:tcPr>
          <w:p>
            <w:r>
              <w:rPr>
                <w:b w:val="false"/>
                <w:bCs w:val="false"/>
                <w:i w:val="false"/>
                <w:iCs w:val="false"/>
                <w:sz w:val="19"/>
                <w:szCs w:val="19"/>
              </w:rPr>
              <w:t xml:space="preserve">commentaire</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Libre.</w:t>
            </w:r>
          </w:p>
        </w:tc>
      </w:tr>
    </w:tbl>
    <w:p>
      <w:pPr>
        <w:spacing w:after="80"/>
      </w:pPr>
    </w:p>
    <w:p>
      <w:pPr>
        <w:spacing w:after="200"/>
      </w:pPr>
      <w:r>
        <w:rPr>
          <w:b w:val="false"/>
          <w:bCs w:val="false"/>
          <w:i w:val="false"/>
          <w:iCs w:val="false"/>
        </w:rPr>
        <w:t xml:space="preserve">Champs dérivés jamais stockés : montantHT, montantTVA et montantTTC (somme des lignesTVA) ; le statut affiché (« saisi » / « à payer » / « remboursé ») découle uniquement du statut du bordereau parent — jamais stocké sur le frais lui-même, pour exclure toute désynchronisation entre un frais et sa note.</w:t>
      </w:r>
    </w:p>
    <w:p>
      <w:pPr>
        <w:pStyle w:val="Heading1"/>
        <w:spacing w:after="160" w:before="360"/>
      </w:pPr>
      <w:r>
        <w:t xml:space="preserve">10. Ligne de TVA (sous-table du Frais)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600"/>
      </w:tblGrid>
      <w:tr>
        <w:trPr>
          <w:tblHeader/>
        </w:trPr>
        <w:tc>
          <w:tcPr>
            <w:tcW w:type="dxa" w:w="2100"/>
            <w:shd w:fill="EAF3DC" w:val="clear"/>
            <w:tcMar>
              <w:top w:type="dxa" w:w="70"/>
              <w:left w:type="dxa" w:w="100"/>
              <w:bottom w:type="dxa" w:w="70"/>
              <w:right w:type="dxa" w:w="100"/>
            </w:tcMar>
          </w:tcPr>
          <w:p>
            <w:r>
              <w:rPr>
                <w:b/>
                <w:bCs/>
                <w:i w:val="false"/>
                <w:iCs w:val="false"/>
                <w:sz w:val="19"/>
                <w:szCs w:val="19"/>
              </w:rPr>
              <w:t xml:space="preserve">Champ</w:t>
            </w:r>
          </w:p>
        </w:tc>
        <w:tc>
          <w:tcPr>
            <w:tcW w:type="dxa" w:w="1500"/>
            <w:shd w:fill="EAF3DC" w:val="clear"/>
            <w:tcMar>
              <w:top w:type="dxa" w:w="70"/>
              <w:left w:type="dxa" w:w="100"/>
              <w:bottom w:type="dxa" w:w="70"/>
              <w:right w:type="dxa" w:w="100"/>
            </w:tcMar>
          </w:tcPr>
          <w:p>
            <w:r>
              <w:rPr>
                <w:b/>
                <w:bCs/>
                <w:i w:val="false"/>
                <w:iCs w:val="false"/>
                <w:sz w:val="19"/>
                <w:szCs w:val="19"/>
              </w:rPr>
              <w:t xml:space="preserve">Type</w:t>
            </w:r>
          </w:p>
        </w:tc>
        <w:tc>
          <w:tcPr>
            <w:tcW w:type="dxa" w:w="5600"/>
            <w:shd w:fill="EAF3DC" w:val="clear"/>
            <w:tcMar>
              <w:top w:type="dxa" w:w="70"/>
              <w:left w:type="dxa" w:w="100"/>
              <w:bottom w:type="dxa" w:w="70"/>
              <w:right w:type="dxa" w:w="100"/>
            </w:tcMar>
          </w:tcPr>
          <w:p>
            <w:r>
              <w:rPr>
                <w:b/>
                <w:bCs/>
                <w:i w:val="false"/>
                <w:iCs w:val="false"/>
                <w:sz w:val="19"/>
                <w:szCs w:val="19"/>
              </w:rPr>
              <w:t xml:space="preserve">Signification</w:t>
            </w:r>
          </w:p>
        </w:tc>
      </w:tr>
      <w:tr>
        <w:tc>
          <w:tcPr>
            <w:tcW w:type="dxa" w:w="2100"/>
            <w:tcMar>
              <w:top w:type="dxa" w:w="70"/>
              <w:left w:type="dxa" w:w="100"/>
              <w:bottom w:type="dxa" w:w="70"/>
              <w:right w:type="dxa" w:w="100"/>
            </w:tcMar>
          </w:tcPr>
          <w:p>
            <w:r>
              <w:rPr>
                <w:b w:val="false"/>
                <w:bCs w:val="false"/>
                <w:i w:val="false"/>
                <w:iCs w:val="false"/>
                <w:sz w:val="19"/>
                <w:szCs w:val="19"/>
              </w:rPr>
              <w:t xml:space="preserve">tauxTVA</w:t>
            </w:r>
          </w:p>
        </w:tc>
        <w:tc>
          <w:tcPr>
            <w:tcW w:type="dxa" w:w="1500"/>
            <w:tcMar>
              <w:top w:type="dxa" w:w="70"/>
              <w:left w:type="dxa" w:w="100"/>
              <w:bottom w:type="dxa" w:w="70"/>
              <w:right w:type="dxa" w:w="100"/>
            </w:tcMar>
          </w:tcPr>
          <w:p>
            <w:r>
              <w:rPr>
                <w:b w:val="false"/>
                <w:bCs w:val="false"/>
                <w:i/>
                <w:iCs/>
                <w:sz w:val="19"/>
                <w:szCs w:val="19"/>
              </w:rPr>
              <w:t xml:space="preserve">nombre (%)</w:t>
            </w:r>
          </w:p>
        </w:tc>
        <w:tc>
          <w:tcPr>
            <w:tcW w:type="dxa" w:w="5600"/>
            <w:tcMar>
              <w:top w:type="dxa" w:w="70"/>
              <w:left w:type="dxa" w:w="100"/>
              <w:bottom w:type="dxa" w:w="70"/>
              <w:right w:type="dxa" w:w="100"/>
            </w:tcMar>
          </w:tcPr>
          <w:p>
            <w:r>
              <w:rPr>
                <w:b w:val="false"/>
                <w:bCs w:val="false"/>
                <w:i w:val="false"/>
                <w:iCs w:val="false"/>
                <w:sz w:val="19"/>
                <w:szCs w:val="19"/>
              </w:rPr>
              <w:t xml:space="preserve">Un des 5 taux en vigueur en France : 20, 10, 5,5, 2,1 ou 0 (constante TAUX_TVA).</w:t>
            </w:r>
          </w:p>
        </w:tc>
      </w:tr>
      <w:tr>
        <w:tc>
          <w:tcPr>
            <w:tcW w:type="dxa" w:w="2100"/>
            <w:tcMar>
              <w:top w:type="dxa" w:w="70"/>
              <w:left w:type="dxa" w:w="100"/>
              <w:bottom w:type="dxa" w:w="70"/>
              <w:right w:type="dxa" w:w="100"/>
            </w:tcMar>
          </w:tcPr>
          <w:p>
            <w:r>
              <w:rPr>
                <w:b w:val="false"/>
                <w:bCs w:val="false"/>
                <w:i w:val="false"/>
                <w:iCs w:val="false"/>
                <w:sz w:val="19"/>
                <w:szCs w:val="19"/>
              </w:rPr>
              <w:t xml:space="preserve">montantHT</w:t>
            </w:r>
          </w:p>
        </w:tc>
        <w:tc>
          <w:tcPr>
            <w:tcW w:type="dxa" w:w="1500"/>
            <w:tcMar>
              <w:top w:type="dxa" w:w="70"/>
              <w:left w:type="dxa" w:w="100"/>
              <w:bottom w:type="dxa" w:w="70"/>
              <w:right w:type="dxa" w:w="100"/>
            </w:tcMar>
          </w:tcPr>
          <w:p>
            <w:r>
              <w:rPr>
                <w:b w:val="false"/>
                <w:bCs w:val="false"/>
                <w:i/>
                <w:iCs/>
                <w:sz w:val="19"/>
                <w:szCs w:val="19"/>
              </w:rPr>
              <w:t xml:space="preserve">nombre (€)</w:t>
            </w:r>
          </w:p>
        </w:tc>
        <w:tc>
          <w:tcPr>
            <w:tcW w:type="dxa" w:w="5600"/>
            <w:tcMar>
              <w:top w:type="dxa" w:w="70"/>
              <w:left w:type="dxa" w:w="100"/>
              <w:bottom w:type="dxa" w:w="70"/>
              <w:right w:type="dxa" w:w="100"/>
            </w:tcMar>
          </w:tcPr>
          <w:p>
            <w:r>
              <w:rPr>
                <w:b w:val="false"/>
                <w:bCs w:val="false"/>
                <w:i w:val="false"/>
                <w:iCs w:val="false"/>
                <w:sz w:val="19"/>
                <w:szCs w:val="19"/>
              </w:rPr>
              <w:t xml:space="preserve">Montant hors taxes de cette ligne.</w:t>
            </w:r>
          </w:p>
        </w:tc>
      </w:tr>
      <w:tr>
        <w:tc>
          <w:tcPr>
            <w:tcW w:type="dxa" w:w="2100"/>
            <w:tcMar>
              <w:top w:type="dxa" w:w="70"/>
              <w:left w:type="dxa" w:w="100"/>
              <w:bottom w:type="dxa" w:w="70"/>
              <w:right w:type="dxa" w:w="100"/>
            </w:tcMar>
          </w:tcPr>
          <w:p>
            <w:r>
              <w:rPr>
                <w:b w:val="false"/>
                <w:bCs w:val="false"/>
                <w:i w:val="false"/>
                <w:iCs w:val="false"/>
                <w:sz w:val="19"/>
                <w:szCs w:val="19"/>
              </w:rPr>
              <w:t xml:space="preserve">montantTVA</w:t>
            </w:r>
          </w:p>
        </w:tc>
        <w:tc>
          <w:tcPr>
            <w:tcW w:type="dxa" w:w="1500"/>
            <w:tcMar>
              <w:top w:type="dxa" w:w="70"/>
              <w:left w:type="dxa" w:w="100"/>
              <w:bottom w:type="dxa" w:w="70"/>
              <w:right w:type="dxa" w:w="100"/>
            </w:tcMar>
          </w:tcPr>
          <w:p>
            <w:r>
              <w:rPr>
                <w:b w:val="false"/>
                <w:bCs w:val="false"/>
                <w:i/>
                <w:iCs/>
                <w:sz w:val="19"/>
                <w:szCs w:val="19"/>
              </w:rPr>
              <w:t xml:space="preserve">nombre (€, dérivé)</w:t>
            </w:r>
          </w:p>
        </w:tc>
        <w:tc>
          <w:tcPr>
            <w:tcW w:type="dxa" w:w="5600"/>
            <w:tcMar>
              <w:top w:type="dxa" w:w="70"/>
              <w:left w:type="dxa" w:w="100"/>
              <w:bottom w:type="dxa" w:w="70"/>
              <w:right w:type="dxa" w:w="100"/>
            </w:tcMar>
          </w:tcPr>
          <w:p>
            <w:r>
              <w:rPr>
                <w:b w:val="false"/>
                <w:bCs w:val="false"/>
                <w:i w:val="false"/>
                <w:iCs w:val="false"/>
                <w:sz w:val="19"/>
                <w:szCs w:val="19"/>
              </w:rPr>
              <w:t xml:space="preserve">= montantHT × tauxTVA / 100, calculé automatiquement à la saisie.</w:t>
            </w:r>
          </w:p>
        </w:tc>
      </w:tr>
    </w:tbl>
    <w:p>
      <w:pPr>
        <w:spacing w:after="80"/>
      </w:pPr>
    </w:p>
    <w:p>
      <w:pPr>
        <w:spacing w:after="200"/>
      </w:pPr>
      <w:r>
        <w:rPr>
          <w:b w:val="false"/>
          <w:bCs w:val="false"/>
          <w:i w:val="false"/>
          <w:iCs w:val="false"/>
        </w:rPr>
        <w:t xml:space="preserve">Exemple réel du jeu de données : un repas au restaurant peut porter une ligne à 10 % sur le repas et une seconde ligne à 20 % sur les boissons alcoolisées — d'où jusqu'à 4 lignes possibles sur une même dépense.</w:t>
      </w:r>
    </w:p>
    <w:p>
      <w:pPr>
        <w:pStyle w:val="Heading1"/>
        <w:spacing w:after="160" w:before="360"/>
      </w:pPr>
      <w:r>
        <w:t xml:space="preserve">11. Bordereau de frais (note de frais)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600"/>
      </w:tblGrid>
      <w:tr>
        <w:trPr>
          <w:tblHeader/>
        </w:trPr>
        <w:tc>
          <w:tcPr>
            <w:tcW w:type="dxa" w:w="2100"/>
            <w:shd w:fill="EAF3DC" w:val="clear"/>
            <w:tcMar>
              <w:top w:type="dxa" w:w="70"/>
              <w:left w:type="dxa" w:w="100"/>
              <w:bottom w:type="dxa" w:w="70"/>
              <w:right w:type="dxa" w:w="100"/>
            </w:tcMar>
          </w:tcPr>
          <w:p>
            <w:r>
              <w:rPr>
                <w:b/>
                <w:bCs/>
                <w:i w:val="false"/>
                <w:iCs w:val="false"/>
                <w:sz w:val="19"/>
                <w:szCs w:val="19"/>
              </w:rPr>
              <w:t xml:space="preserve">Champ</w:t>
            </w:r>
          </w:p>
        </w:tc>
        <w:tc>
          <w:tcPr>
            <w:tcW w:type="dxa" w:w="1500"/>
            <w:shd w:fill="EAF3DC" w:val="clear"/>
            <w:tcMar>
              <w:top w:type="dxa" w:w="70"/>
              <w:left w:type="dxa" w:w="100"/>
              <w:bottom w:type="dxa" w:w="70"/>
              <w:right w:type="dxa" w:w="100"/>
            </w:tcMar>
          </w:tcPr>
          <w:p>
            <w:r>
              <w:rPr>
                <w:b/>
                <w:bCs/>
                <w:i w:val="false"/>
                <w:iCs w:val="false"/>
                <w:sz w:val="19"/>
                <w:szCs w:val="19"/>
              </w:rPr>
              <w:t xml:space="preserve">Type</w:t>
            </w:r>
          </w:p>
        </w:tc>
        <w:tc>
          <w:tcPr>
            <w:tcW w:type="dxa" w:w="5600"/>
            <w:shd w:fill="EAF3DC" w:val="clear"/>
            <w:tcMar>
              <w:top w:type="dxa" w:w="70"/>
              <w:left w:type="dxa" w:w="100"/>
              <w:bottom w:type="dxa" w:w="70"/>
              <w:right w:type="dxa" w:w="100"/>
            </w:tcMar>
          </w:tcPr>
          <w:p>
            <w:r>
              <w:rPr>
                <w:b/>
                <w:bCs/>
                <w:i w:val="false"/>
                <w:iCs w:val="false"/>
                <w:sz w:val="19"/>
                <w:szCs w:val="19"/>
              </w:rPr>
              <w:t xml:space="preserve">Signification</w:t>
            </w:r>
          </w:p>
        </w:tc>
      </w:tr>
      <w:tr>
        <w:tc>
          <w:tcPr>
            <w:tcW w:type="dxa" w:w="2100"/>
            <w:tcMar>
              <w:top w:type="dxa" w:w="70"/>
              <w:left w:type="dxa" w:w="100"/>
              <w:bottom w:type="dxa" w:w="70"/>
              <w:right w:type="dxa" w:w="100"/>
            </w:tcMar>
          </w:tcPr>
          <w:p>
            <w:r>
              <w:rPr>
                <w:b w:val="false"/>
                <w:bCs w:val="false"/>
                <w:i w:val="false"/>
                <w:iCs w:val="false"/>
                <w:sz w:val="19"/>
                <w:szCs w:val="19"/>
              </w:rPr>
              <w:t xml:space="preserve">numero</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Format FRAIS_&lt;trigramme&gt;_&lt;année&gt;_&lt;n° séquentiel sur 3 chiffres&gt;, ex. « FRAIS_XAD_2026_002 ». Incrémenté par consultant et par année (champ seq).</w:t>
            </w:r>
          </w:p>
        </w:tc>
      </w:tr>
      <w:tr>
        <w:tc>
          <w:tcPr>
            <w:tcW w:type="dxa" w:w="2100"/>
            <w:tcMar>
              <w:top w:type="dxa" w:w="70"/>
              <w:left w:type="dxa" w:w="100"/>
              <w:bottom w:type="dxa" w:w="70"/>
              <w:right w:type="dxa" w:w="100"/>
            </w:tcMar>
          </w:tcPr>
          <w:p>
            <w:r>
              <w:rPr>
                <w:b w:val="false"/>
                <w:bCs w:val="false"/>
                <w:i w:val="false"/>
                <w:iCs w:val="false"/>
                <w:sz w:val="19"/>
                <w:szCs w:val="19"/>
              </w:rPr>
              <w:t xml:space="preserve">consultantId</w:t>
            </w:r>
          </w:p>
        </w:tc>
        <w:tc>
          <w:tcPr>
            <w:tcW w:type="dxa" w:w="1500"/>
            <w:tcMar>
              <w:top w:type="dxa" w:w="70"/>
              <w:left w:type="dxa" w:w="100"/>
              <w:bottom w:type="dxa" w:w="70"/>
              <w:right w:type="dxa" w:w="100"/>
            </w:tcMar>
          </w:tcPr>
          <w:p>
            <w:r>
              <w:rPr>
                <w:b w:val="false"/>
                <w:bCs w:val="false"/>
                <w:i/>
                <w:iCs/>
                <w:sz w:val="19"/>
                <w:szCs w:val="19"/>
              </w:rPr>
              <w:t xml:space="preserve">référence → Consultant</w:t>
            </w:r>
          </w:p>
        </w:tc>
        <w:tc>
          <w:tcPr>
            <w:tcW w:type="dxa" w:w="5600"/>
            <w:tcMar>
              <w:top w:type="dxa" w:w="70"/>
              <w:left w:type="dxa" w:w="100"/>
              <w:bottom w:type="dxa" w:w="70"/>
              <w:right w:type="dxa" w:w="100"/>
            </w:tcMar>
          </w:tcPr>
          <w:p>
            <w:r>
              <w:rPr>
                <w:b w:val="false"/>
                <w:bCs w:val="false"/>
                <w:i w:val="false"/>
                <w:iCs w:val="false"/>
                <w:sz w:val="19"/>
                <w:szCs w:val="19"/>
              </w:rPr>
              <w:t xml:space="preserve">Titulaire de la note.</w:t>
            </w:r>
          </w:p>
        </w:tc>
      </w:tr>
      <w:tr>
        <w:tc>
          <w:tcPr>
            <w:tcW w:type="dxa" w:w="2100"/>
            <w:tcMar>
              <w:top w:type="dxa" w:w="70"/>
              <w:left w:type="dxa" w:w="100"/>
              <w:bottom w:type="dxa" w:w="70"/>
              <w:right w:type="dxa" w:w="100"/>
            </w:tcMar>
          </w:tcPr>
          <w:p>
            <w:r>
              <w:rPr>
                <w:b w:val="false"/>
                <w:bCs w:val="false"/>
                <w:i w:val="false"/>
                <w:iCs w:val="false"/>
                <w:sz w:val="19"/>
                <w:szCs w:val="19"/>
              </w:rPr>
              <w:t xml:space="preserve">annee</w:t>
            </w:r>
          </w:p>
        </w:tc>
        <w:tc>
          <w:tcPr>
            <w:tcW w:type="dxa" w:w="1500"/>
            <w:tcMar>
              <w:top w:type="dxa" w:w="70"/>
              <w:left w:type="dxa" w:w="100"/>
              <w:bottom w:type="dxa" w:w="70"/>
              <w:right w:type="dxa" w:w="100"/>
            </w:tcMar>
          </w:tcPr>
          <w:p>
            <w:r>
              <w:rPr>
                <w:b w:val="false"/>
                <w:bCs w:val="false"/>
                <w:i/>
                <w:iCs/>
                <w:sz w:val="19"/>
                <w:szCs w:val="19"/>
              </w:rPr>
              <w:t xml:space="preserve">nombre</w:t>
            </w:r>
          </w:p>
        </w:tc>
        <w:tc>
          <w:tcPr>
            <w:tcW w:type="dxa" w:w="5600"/>
            <w:tcMar>
              <w:top w:type="dxa" w:w="70"/>
              <w:left w:type="dxa" w:w="100"/>
              <w:bottom w:type="dxa" w:w="70"/>
              <w:right w:type="dxa" w:w="100"/>
            </w:tcMar>
          </w:tcPr>
          <w:p>
            <w:r>
              <w:rPr>
                <w:b w:val="false"/>
                <w:bCs w:val="false"/>
                <w:i w:val="false"/>
                <w:iCs w:val="false"/>
                <w:sz w:val="19"/>
                <w:szCs w:val="19"/>
              </w:rPr>
              <w:t xml:space="preserve">Année de la note.</w:t>
            </w:r>
          </w:p>
        </w:tc>
      </w:tr>
      <w:tr>
        <w:tc>
          <w:tcPr>
            <w:tcW w:type="dxa" w:w="2100"/>
            <w:tcMar>
              <w:top w:type="dxa" w:w="70"/>
              <w:left w:type="dxa" w:w="100"/>
              <w:bottom w:type="dxa" w:w="70"/>
              <w:right w:type="dxa" w:w="100"/>
            </w:tcMar>
          </w:tcPr>
          <w:p>
            <w:r>
              <w:rPr>
                <w:b w:val="false"/>
                <w:bCs w:val="false"/>
                <w:i w:val="false"/>
                <w:iCs w:val="false"/>
                <w:sz w:val="19"/>
                <w:szCs w:val="19"/>
              </w:rPr>
              <w:t xml:space="preserve">seq</w:t>
            </w:r>
          </w:p>
        </w:tc>
        <w:tc>
          <w:tcPr>
            <w:tcW w:type="dxa" w:w="1500"/>
            <w:tcMar>
              <w:top w:type="dxa" w:w="70"/>
              <w:left w:type="dxa" w:w="100"/>
              <w:bottom w:type="dxa" w:w="70"/>
              <w:right w:type="dxa" w:w="100"/>
            </w:tcMar>
          </w:tcPr>
          <w:p>
            <w:r>
              <w:rPr>
                <w:b w:val="false"/>
                <w:bCs w:val="false"/>
                <w:i/>
                <w:iCs/>
                <w:sz w:val="19"/>
                <w:szCs w:val="19"/>
              </w:rPr>
              <w:t xml:space="preserve">nombre</w:t>
            </w:r>
          </w:p>
        </w:tc>
        <w:tc>
          <w:tcPr>
            <w:tcW w:type="dxa" w:w="5600"/>
            <w:tcMar>
              <w:top w:type="dxa" w:w="70"/>
              <w:left w:type="dxa" w:w="100"/>
              <w:bottom w:type="dxa" w:w="70"/>
              <w:right w:type="dxa" w:w="100"/>
            </w:tcMar>
          </w:tcPr>
          <w:p>
            <w:r>
              <w:rPr>
                <w:b w:val="false"/>
                <w:bCs w:val="false"/>
                <w:i w:val="false"/>
                <w:iCs w:val="false"/>
                <w:sz w:val="19"/>
                <w:szCs w:val="19"/>
              </w:rPr>
              <w:t xml:space="preserve">Rang de la note pour ce consultant sur cette année (sert à composer numero).</w:t>
            </w:r>
          </w:p>
        </w:tc>
      </w:tr>
      <w:tr>
        <w:tc>
          <w:tcPr>
            <w:tcW w:type="dxa" w:w="2100"/>
            <w:tcMar>
              <w:top w:type="dxa" w:w="70"/>
              <w:left w:type="dxa" w:w="100"/>
              <w:bottom w:type="dxa" w:w="70"/>
              <w:right w:type="dxa" w:w="100"/>
            </w:tcMar>
          </w:tcPr>
          <w:p>
            <w:r>
              <w:rPr>
                <w:b w:val="false"/>
                <w:bCs w:val="false"/>
                <w:i w:val="false"/>
                <w:iCs w:val="false"/>
                <w:sz w:val="19"/>
                <w:szCs w:val="19"/>
              </w:rPr>
              <w:t xml:space="preserve">statut</w:t>
            </w:r>
          </w:p>
        </w:tc>
        <w:tc>
          <w:tcPr>
            <w:tcW w:type="dxa" w:w="1500"/>
            <w:tcMar>
              <w:top w:type="dxa" w:w="70"/>
              <w:left w:type="dxa" w:w="100"/>
              <w:bottom w:type="dxa" w:w="70"/>
              <w:right w:type="dxa" w:w="100"/>
            </w:tcMar>
          </w:tcPr>
          <w:p>
            <w:r>
              <w:rPr>
                <w:b w:val="false"/>
                <w:bCs w:val="false"/>
                <w:i/>
                <w:iCs/>
                <w:sz w:val="19"/>
                <w:szCs w:val="19"/>
              </w:rPr>
              <w:t xml:space="preserve">texte (3 valeurs)</w:t>
            </w:r>
          </w:p>
        </w:tc>
        <w:tc>
          <w:tcPr>
            <w:tcW w:type="dxa" w:w="5600"/>
            <w:tcMar>
              <w:top w:type="dxa" w:w="70"/>
              <w:left w:type="dxa" w:w="100"/>
              <w:bottom w:type="dxa" w:w="70"/>
              <w:right w:type="dxa" w:w="100"/>
            </w:tcMar>
          </w:tcPr>
          <w:p>
            <w:r>
              <w:rPr>
                <w:b w:val="false"/>
                <w:bCs w:val="false"/>
                <w:i w:val="false"/>
                <w:iCs w:val="false"/>
                <w:sz w:val="19"/>
                <w:szCs w:val="19"/>
              </w:rPr>
              <w:t xml:space="preserve">« en saisie » → « note à payer » → « payée ».</w:t>
            </w:r>
          </w:p>
        </w:tc>
      </w:tr>
      <w:tr>
        <w:tc>
          <w:tcPr>
            <w:tcW w:type="dxa" w:w="2100"/>
            <w:tcMar>
              <w:top w:type="dxa" w:w="70"/>
              <w:left w:type="dxa" w:w="100"/>
              <w:bottom w:type="dxa" w:w="70"/>
              <w:right w:type="dxa" w:w="100"/>
            </w:tcMar>
          </w:tcPr>
          <w:p>
            <w:r>
              <w:rPr>
                <w:b w:val="false"/>
                <w:bCs w:val="false"/>
                <w:i w:val="false"/>
                <w:iCs w:val="false"/>
                <w:sz w:val="19"/>
                <w:szCs w:val="19"/>
              </w:rPr>
              <w:t xml:space="preserve">datePaiement</w:t>
            </w:r>
          </w:p>
        </w:tc>
        <w:tc>
          <w:tcPr>
            <w:tcW w:type="dxa" w:w="1500"/>
            <w:tcMar>
              <w:top w:type="dxa" w:w="70"/>
              <w:left w:type="dxa" w:w="100"/>
              <w:bottom w:type="dxa" w:w="70"/>
              <w:right w:type="dxa" w:w="100"/>
            </w:tcMar>
          </w:tcPr>
          <w:p>
            <w:r>
              <w:rPr>
                <w:b w:val="false"/>
                <w:bCs w:val="false"/>
                <w:i/>
                <w:iCs/>
                <w:sz w:val="19"/>
                <w:szCs w:val="19"/>
              </w:rPr>
              <w:t xml:space="preserve">date ou null</w:t>
            </w:r>
          </w:p>
        </w:tc>
        <w:tc>
          <w:tcPr>
            <w:tcW w:type="dxa" w:w="5600"/>
            <w:tcMar>
              <w:top w:type="dxa" w:w="70"/>
              <w:left w:type="dxa" w:w="100"/>
              <w:bottom w:type="dxa" w:w="70"/>
              <w:right w:type="dxa" w:w="100"/>
            </w:tcMar>
          </w:tcPr>
          <w:p>
            <w:r>
              <w:rPr>
                <w:b w:val="false"/>
                <w:bCs w:val="false"/>
                <w:i w:val="false"/>
                <w:iCs w:val="false"/>
                <w:sz w:val="19"/>
                <w:szCs w:val="19"/>
              </w:rPr>
              <w:t xml:space="preserve">Renseignée uniquement au passage à « payée » (action du cabinet).</w:t>
            </w:r>
          </w:p>
        </w:tc>
      </w:tr>
    </w:tbl>
    <w:p>
      <w:pPr>
        <w:spacing w:after="80"/>
      </w:pPr>
    </w:p>
    <w:p>
      <w:pPr>
        <w:spacing w:after="200"/>
      </w:pPr>
      <w:r>
        <w:rPr>
          <w:b w:val="false"/>
          <w:bCs w:val="false"/>
          <w:i w:val="false"/>
          <w:iCs w:val="false"/>
        </w:rPr>
        <w:t xml:space="preserve">Cycle de vie : un seul bordereau « en saisie » à la fois par consultant et par année — tout nouveau frais rejoint ce bordereau ouvert. Le consultant le fait passer à « note à payer » depuis « Mes frais » ; un administrateur le fait passer à « payée » avec la date du jour depuis Novalia Censis &gt; Frais (directement depuis le tableau « Notes de frais », ou depuis le détail d'une note), ce qui fait passer automatiquement tous ses frais en statut affiché « remboursé ». Un nouveau frais saisi après clôture ouvre le bordereau suivant.</w:t>
      </w:r>
    </w:p>
    <w:p>
      <w:pPr>
        <w:pStyle w:val="Heading1"/>
        <w:spacing w:after="160" w:before="360"/>
      </w:pPr>
      <w:r>
        <w:t xml:space="preserve">12. Facture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600"/>
      </w:tblGrid>
      <w:tr>
        <w:trPr>
          <w:tblHeader/>
        </w:trPr>
        <w:tc>
          <w:tcPr>
            <w:tcW w:type="dxa" w:w="2100"/>
            <w:shd w:fill="EAF3DC" w:val="clear"/>
            <w:tcMar>
              <w:top w:type="dxa" w:w="70"/>
              <w:left w:type="dxa" w:w="100"/>
              <w:bottom w:type="dxa" w:w="70"/>
              <w:right w:type="dxa" w:w="100"/>
            </w:tcMar>
          </w:tcPr>
          <w:p>
            <w:r>
              <w:rPr>
                <w:b/>
                <w:bCs/>
                <w:i w:val="false"/>
                <w:iCs w:val="false"/>
                <w:sz w:val="19"/>
                <w:szCs w:val="19"/>
              </w:rPr>
              <w:t xml:space="preserve">Champ</w:t>
            </w:r>
          </w:p>
        </w:tc>
        <w:tc>
          <w:tcPr>
            <w:tcW w:type="dxa" w:w="1500"/>
            <w:shd w:fill="EAF3DC" w:val="clear"/>
            <w:tcMar>
              <w:top w:type="dxa" w:w="70"/>
              <w:left w:type="dxa" w:w="100"/>
              <w:bottom w:type="dxa" w:w="70"/>
              <w:right w:type="dxa" w:w="100"/>
            </w:tcMar>
          </w:tcPr>
          <w:p>
            <w:r>
              <w:rPr>
                <w:b/>
                <w:bCs/>
                <w:i w:val="false"/>
                <w:iCs w:val="false"/>
                <w:sz w:val="19"/>
                <w:szCs w:val="19"/>
              </w:rPr>
              <w:t xml:space="preserve">Type</w:t>
            </w:r>
          </w:p>
        </w:tc>
        <w:tc>
          <w:tcPr>
            <w:tcW w:type="dxa" w:w="5600"/>
            <w:shd w:fill="EAF3DC" w:val="clear"/>
            <w:tcMar>
              <w:top w:type="dxa" w:w="70"/>
              <w:left w:type="dxa" w:w="100"/>
              <w:bottom w:type="dxa" w:w="70"/>
              <w:right w:type="dxa" w:w="100"/>
            </w:tcMar>
          </w:tcPr>
          <w:p>
            <w:r>
              <w:rPr>
                <w:b/>
                <w:bCs/>
                <w:i w:val="false"/>
                <w:iCs w:val="false"/>
                <w:sz w:val="19"/>
                <w:szCs w:val="19"/>
              </w:rPr>
              <w:t xml:space="preserve">Signification</w:t>
            </w:r>
          </w:p>
        </w:tc>
      </w:tr>
      <w:tr>
        <w:tc>
          <w:tcPr>
            <w:tcW w:type="dxa" w:w="2100"/>
            <w:tcMar>
              <w:top w:type="dxa" w:w="70"/>
              <w:left w:type="dxa" w:w="100"/>
              <w:bottom w:type="dxa" w:w="70"/>
              <w:right w:type="dxa" w:w="100"/>
            </w:tcMar>
          </w:tcPr>
          <w:p>
            <w:r>
              <w:rPr>
                <w:b w:val="false"/>
                <w:bCs w:val="false"/>
                <w:i w:val="false"/>
                <w:iCs w:val="false"/>
                <w:sz w:val="19"/>
                <w:szCs w:val="19"/>
              </w:rPr>
              <w:t xml:space="preserve">id</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Identifiant unique.</w:t>
            </w:r>
          </w:p>
        </w:tc>
      </w:tr>
      <w:tr>
        <w:tc>
          <w:tcPr>
            <w:tcW w:type="dxa" w:w="2100"/>
            <w:tcMar>
              <w:top w:type="dxa" w:w="70"/>
              <w:left w:type="dxa" w:w="100"/>
              <w:bottom w:type="dxa" w:w="70"/>
              <w:right w:type="dxa" w:w="100"/>
            </w:tcMar>
          </w:tcPr>
          <w:p>
            <w:r>
              <w:rPr>
                <w:b w:val="false"/>
                <w:bCs w:val="false"/>
                <w:i w:val="false"/>
                <w:iCs w:val="false"/>
                <w:sz w:val="19"/>
                <w:szCs w:val="19"/>
              </w:rPr>
              <w:t xml:space="preserve">affaireId</w:t>
            </w:r>
          </w:p>
        </w:tc>
        <w:tc>
          <w:tcPr>
            <w:tcW w:type="dxa" w:w="1500"/>
            <w:tcMar>
              <w:top w:type="dxa" w:w="70"/>
              <w:left w:type="dxa" w:w="100"/>
              <w:bottom w:type="dxa" w:w="70"/>
              <w:right w:type="dxa" w:w="100"/>
            </w:tcMar>
          </w:tcPr>
          <w:p>
            <w:r>
              <w:rPr>
                <w:b w:val="false"/>
                <w:bCs w:val="false"/>
                <w:i/>
                <w:iCs/>
                <w:sz w:val="19"/>
                <w:szCs w:val="19"/>
              </w:rPr>
              <w:t xml:space="preserve">référence → Affaire</w:t>
            </w:r>
          </w:p>
        </w:tc>
        <w:tc>
          <w:tcPr>
            <w:tcW w:type="dxa" w:w="5600"/>
            <w:tcMar>
              <w:top w:type="dxa" w:w="70"/>
              <w:left w:type="dxa" w:w="100"/>
              <w:bottom w:type="dxa" w:w="70"/>
              <w:right w:type="dxa" w:w="100"/>
            </w:tcMar>
          </w:tcPr>
          <w:p>
            <w:r>
              <w:rPr>
                <w:b w:val="false"/>
                <w:bCs w:val="false"/>
                <w:i w:val="false"/>
                <w:iCs w:val="false"/>
                <w:sz w:val="19"/>
                <w:szCs w:val="19"/>
              </w:rPr>
              <w:t xml:space="preserve">L'affaire facturée — une affaire peut porter plusieurs factures.</w:t>
            </w:r>
          </w:p>
        </w:tc>
      </w:tr>
      <w:tr>
        <w:tc>
          <w:tcPr>
            <w:tcW w:type="dxa" w:w="2100"/>
            <w:tcMar>
              <w:top w:type="dxa" w:w="70"/>
              <w:left w:type="dxa" w:w="100"/>
              <w:bottom w:type="dxa" w:w="70"/>
              <w:right w:type="dxa" w:w="100"/>
            </w:tcMar>
          </w:tcPr>
          <w:p>
            <w:r>
              <w:rPr>
                <w:b w:val="false"/>
                <w:bCs w:val="false"/>
                <w:i w:val="false"/>
                <w:iCs w:val="false"/>
                <w:sz w:val="19"/>
                <w:szCs w:val="19"/>
              </w:rPr>
              <w:t xml:space="preserve">numero</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Numéro de facture, saisi à la main (référence du logiciel de facturation externe — l'outil ne fait pas foi pour la numérotation légale). Facultatif tant que la facture est « prévisionnelle » ; un avertissement non bloquant s'affiche si on la dépose sans numéro renseigné.</w:t>
            </w:r>
          </w:p>
        </w:tc>
      </w:tr>
      <w:tr>
        <w:tc>
          <w:tcPr>
            <w:tcW w:type="dxa" w:w="2100"/>
            <w:tcMar>
              <w:top w:type="dxa" w:w="70"/>
              <w:left w:type="dxa" w:w="100"/>
              <w:bottom w:type="dxa" w:w="70"/>
              <w:right w:type="dxa" w:w="100"/>
            </w:tcMar>
          </w:tcPr>
          <w:p>
            <w:r>
              <w:rPr>
                <w:b w:val="false"/>
                <w:bCs w:val="false"/>
                <w:i w:val="false"/>
                <w:iCs w:val="false"/>
                <w:sz w:val="19"/>
                <w:szCs w:val="19"/>
              </w:rPr>
              <w:t xml:space="preserve">formation</w:t>
            </w:r>
          </w:p>
        </w:tc>
        <w:tc>
          <w:tcPr>
            <w:tcW w:type="dxa" w:w="1500"/>
            <w:tcMar>
              <w:top w:type="dxa" w:w="70"/>
              <w:left w:type="dxa" w:w="100"/>
              <w:bottom w:type="dxa" w:w="70"/>
              <w:right w:type="dxa" w:w="100"/>
            </w:tcMar>
          </w:tcPr>
          <w:p>
            <w:r>
              <w:rPr>
                <w:b w:val="false"/>
                <w:bCs w:val="false"/>
                <w:i/>
                <w:iCs/>
                <w:sz w:val="19"/>
                <w:szCs w:val="19"/>
              </w:rPr>
              <w:t xml:space="preserve">booléen</w:t>
            </w:r>
          </w:p>
        </w:tc>
        <w:tc>
          <w:tcPr>
            <w:tcW w:type="dxa" w:w="5600"/>
            <w:tcMar>
              <w:top w:type="dxa" w:w="70"/>
              <w:left w:type="dxa" w:w="100"/>
              <w:bottom w:type="dxa" w:w="70"/>
              <w:right w:type="dxa" w:w="100"/>
            </w:tcMar>
          </w:tcPr>
          <w:p>
            <w:r>
              <w:rPr>
                <w:b w:val="false"/>
                <w:bCs w:val="false"/>
                <w:i w:val="false"/>
                <w:iCs w:val="false"/>
                <w:sz w:val="19"/>
                <w:szCs w:val="19"/>
              </w:rPr>
              <w:t xml:space="preserve">Case « Formation » — coché = 0 % de TVA sur les lignes mission et sous-traitance ; décoché = 20 %. Seul levier de TVA de ce module (contrairement aux Frais, qui autorisent les 5 taux français).</w:t>
            </w:r>
          </w:p>
        </w:tc>
      </w:tr>
      <w:tr>
        <w:tc>
          <w:tcPr>
            <w:tcW w:type="dxa" w:w="2100"/>
            <w:tcMar>
              <w:top w:type="dxa" w:w="70"/>
              <w:left w:type="dxa" w:w="100"/>
              <w:bottom w:type="dxa" w:w="70"/>
              <w:right w:type="dxa" w:w="100"/>
            </w:tcMar>
          </w:tcPr>
          <w:p>
            <w:r>
              <w:rPr>
                <w:b w:val="false"/>
                <w:bCs w:val="false"/>
                <w:i w:val="false"/>
                <w:iCs w:val="false"/>
                <w:sz w:val="19"/>
                <w:szCs w:val="19"/>
              </w:rPr>
              <w:t xml:space="preserve">montantMissionHT</w:t>
            </w:r>
          </w:p>
        </w:tc>
        <w:tc>
          <w:tcPr>
            <w:tcW w:type="dxa" w:w="1500"/>
            <w:tcMar>
              <w:top w:type="dxa" w:w="70"/>
              <w:left w:type="dxa" w:w="100"/>
              <w:bottom w:type="dxa" w:w="70"/>
              <w:right w:type="dxa" w:w="100"/>
            </w:tcMar>
          </w:tcPr>
          <w:p>
            <w:r>
              <w:rPr>
                <w:b w:val="false"/>
                <w:bCs w:val="false"/>
                <w:i/>
                <w:iCs/>
                <w:sz w:val="19"/>
                <w:szCs w:val="19"/>
              </w:rPr>
              <w:t xml:space="preserve">nombre (€)</w:t>
            </w:r>
          </w:p>
        </w:tc>
        <w:tc>
          <w:tcPr>
            <w:tcW w:type="dxa" w:w="5600"/>
            <w:tcMar>
              <w:top w:type="dxa" w:w="70"/>
              <w:left w:type="dxa" w:w="100"/>
              <w:bottom w:type="dxa" w:w="70"/>
              <w:right w:type="dxa" w:w="100"/>
            </w:tcMar>
          </w:tcPr>
          <w:p>
            <w:r>
              <w:rPr>
                <w:b w:val="false"/>
                <w:bCs w:val="false"/>
                <w:i w:val="false"/>
                <w:iCs w:val="false"/>
                <w:sz w:val="19"/>
                <w:szCs w:val="19"/>
              </w:rPr>
              <w:t xml:space="preserve">Ligne « budget mission », HT. Montant TTC dérivé = montantMissionHT × (1 + taux/100).</w:t>
            </w:r>
          </w:p>
        </w:tc>
      </w:tr>
      <w:tr>
        <w:tc>
          <w:tcPr>
            <w:tcW w:type="dxa" w:w="2100"/>
            <w:tcMar>
              <w:top w:type="dxa" w:w="70"/>
              <w:left w:type="dxa" w:w="100"/>
              <w:bottom w:type="dxa" w:w="70"/>
              <w:right w:type="dxa" w:w="100"/>
            </w:tcMar>
          </w:tcPr>
          <w:p>
            <w:r>
              <w:rPr>
                <w:b w:val="false"/>
                <w:bCs w:val="false"/>
                <w:i w:val="false"/>
                <w:iCs w:val="false"/>
                <w:sz w:val="19"/>
                <w:szCs w:val="19"/>
              </w:rPr>
              <w:t xml:space="preserve">montantSousTraitanceHT</w:t>
            </w:r>
          </w:p>
        </w:tc>
        <w:tc>
          <w:tcPr>
            <w:tcW w:type="dxa" w:w="1500"/>
            <w:tcMar>
              <w:top w:type="dxa" w:w="70"/>
              <w:left w:type="dxa" w:w="100"/>
              <w:bottom w:type="dxa" w:w="70"/>
              <w:right w:type="dxa" w:w="100"/>
            </w:tcMar>
          </w:tcPr>
          <w:p>
            <w:r>
              <w:rPr>
                <w:b w:val="false"/>
                <w:bCs w:val="false"/>
                <w:i/>
                <w:iCs/>
                <w:sz w:val="19"/>
                <w:szCs w:val="19"/>
              </w:rPr>
              <w:t xml:space="preserve">nombre (€)</w:t>
            </w:r>
          </w:p>
        </w:tc>
        <w:tc>
          <w:tcPr>
            <w:tcW w:type="dxa" w:w="5600"/>
            <w:tcMar>
              <w:top w:type="dxa" w:w="70"/>
              <w:left w:type="dxa" w:w="100"/>
              <w:bottom w:type="dxa" w:w="70"/>
              <w:right w:type="dxa" w:w="100"/>
            </w:tcMar>
          </w:tcPr>
          <w:p>
            <w:r>
              <w:rPr>
                <w:b w:val="false"/>
                <w:bCs w:val="false"/>
                <w:i w:val="false"/>
                <w:iCs w:val="false"/>
                <w:sz w:val="19"/>
                <w:szCs w:val="19"/>
              </w:rPr>
              <w:t xml:space="preserve">Ligne « sous-traitance refacturée » au client, HT, mêmes règles de TVA que la mission. Distincte du montant que le cabinet paie lui-même au sous-traitant (champ montant de Partenaire d'affaire, section 5).</w:t>
            </w:r>
          </w:p>
        </w:tc>
      </w:tr>
      <w:tr>
        <w:tc>
          <w:tcPr>
            <w:tcW w:type="dxa" w:w="2100"/>
            <w:tcMar>
              <w:top w:type="dxa" w:w="70"/>
              <w:left w:type="dxa" w:w="100"/>
              <w:bottom w:type="dxa" w:w="70"/>
              <w:right w:type="dxa" w:w="100"/>
            </w:tcMar>
          </w:tcPr>
          <w:p>
            <w:r>
              <w:rPr>
                <w:b w:val="false"/>
                <w:bCs w:val="false"/>
                <w:i w:val="false"/>
                <w:iCs w:val="false"/>
                <w:sz w:val="19"/>
                <w:szCs w:val="19"/>
              </w:rPr>
              <w:t xml:space="preserve">montantFraisTTC</w:t>
            </w:r>
          </w:p>
        </w:tc>
        <w:tc>
          <w:tcPr>
            <w:tcW w:type="dxa" w:w="1500"/>
            <w:tcMar>
              <w:top w:type="dxa" w:w="70"/>
              <w:left w:type="dxa" w:w="100"/>
              <w:bottom w:type="dxa" w:w="70"/>
              <w:right w:type="dxa" w:w="100"/>
            </w:tcMar>
          </w:tcPr>
          <w:p>
            <w:r>
              <w:rPr>
                <w:b w:val="false"/>
                <w:bCs w:val="false"/>
                <w:i/>
                <w:iCs/>
                <w:sz w:val="19"/>
                <w:szCs w:val="19"/>
              </w:rPr>
              <w:t xml:space="preserve">nombre (€)</w:t>
            </w:r>
          </w:p>
        </w:tc>
        <w:tc>
          <w:tcPr>
            <w:tcW w:type="dxa" w:w="5600"/>
            <w:tcMar>
              <w:top w:type="dxa" w:w="70"/>
              <w:left w:type="dxa" w:w="100"/>
              <w:bottom w:type="dxa" w:w="70"/>
              <w:right w:type="dxa" w:w="100"/>
            </w:tcMar>
          </w:tcPr>
          <w:p>
            <w:r>
              <w:rPr>
                <w:b w:val="false"/>
                <w:bCs w:val="false"/>
                <w:i w:val="false"/>
                <w:iCs w:val="false"/>
                <w:sz w:val="19"/>
                <w:szCs w:val="19"/>
              </w:rPr>
              <w:t xml:space="preserve">Ligne « frais », saisie directement en TTC (pas de détail HT/TVA à ce niveau, contrairement aux notes de frais).</w:t>
            </w:r>
          </w:p>
        </w:tc>
      </w:tr>
      <w:tr>
        <w:tc>
          <w:tcPr>
            <w:tcW w:type="dxa" w:w="2100"/>
            <w:tcMar>
              <w:top w:type="dxa" w:w="70"/>
              <w:left w:type="dxa" w:w="100"/>
              <w:bottom w:type="dxa" w:w="70"/>
              <w:right w:type="dxa" w:w="100"/>
            </w:tcMar>
          </w:tcPr>
          <w:p>
            <w:r>
              <w:rPr>
                <w:b w:val="false"/>
                <w:bCs w:val="false"/>
                <w:i w:val="false"/>
                <w:iCs w:val="false"/>
                <w:sz w:val="19"/>
                <w:szCs w:val="19"/>
              </w:rPr>
              <w:t xml:space="preserve">echeancePrev</w:t>
            </w:r>
          </w:p>
        </w:tc>
        <w:tc>
          <w:tcPr>
            <w:tcW w:type="dxa" w:w="1500"/>
            <w:tcMar>
              <w:top w:type="dxa" w:w="70"/>
              <w:left w:type="dxa" w:w="100"/>
              <w:bottom w:type="dxa" w:w="70"/>
              <w:right w:type="dxa" w:w="100"/>
            </w:tcMar>
          </w:tcPr>
          <w:p>
            <w:r>
              <w:rPr>
                <w:b w:val="false"/>
                <w:bCs w:val="false"/>
                <w:i/>
                <w:iCs/>
                <w:sz w:val="19"/>
                <w:szCs w:val="19"/>
              </w:rPr>
              <w:t xml:space="preserve">date</w:t>
            </w:r>
          </w:p>
        </w:tc>
        <w:tc>
          <w:tcPr>
            <w:tcW w:type="dxa" w:w="5600"/>
            <w:tcMar>
              <w:top w:type="dxa" w:w="70"/>
              <w:left w:type="dxa" w:w="100"/>
              <w:bottom w:type="dxa" w:w="70"/>
              <w:right w:type="dxa" w:w="100"/>
            </w:tcMar>
          </w:tcPr>
          <w:p>
            <w:r>
              <w:rPr>
                <w:b w:val="false"/>
                <w:bCs w:val="false"/>
                <w:i w:val="false"/>
                <w:iCs w:val="false"/>
                <w:sz w:val="19"/>
                <w:szCs w:val="19"/>
              </w:rPr>
              <w:t xml:space="preserve">Échéance prévisionnelle de facturation (de dépôt) — base de calcul du sélecteur d'année et des tuiles « Total facturé » et « En attente/prévisionnel » de la page Facturation.</w:t>
            </w:r>
          </w:p>
        </w:tc>
      </w:tr>
      <w:tr>
        <w:tc>
          <w:tcPr>
            <w:tcW w:type="dxa" w:w="2100"/>
            <w:tcMar>
              <w:top w:type="dxa" w:w="70"/>
              <w:left w:type="dxa" w:w="100"/>
              <w:bottom w:type="dxa" w:w="70"/>
              <w:right w:type="dxa" w:w="100"/>
            </w:tcMar>
          </w:tcPr>
          <w:p>
            <w:r>
              <w:rPr>
                <w:b w:val="false"/>
                <w:bCs w:val="false"/>
                <w:i w:val="false"/>
                <w:iCs w:val="false"/>
                <w:sz w:val="19"/>
                <w:szCs w:val="19"/>
              </w:rPr>
              <w:t xml:space="preserve">dateDepot</w:t>
            </w:r>
          </w:p>
        </w:tc>
        <w:tc>
          <w:tcPr>
            <w:tcW w:type="dxa" w:w="1500"/>
            <w:tcMar>
              <w:top w:type="dxa" w:w="70"/>
              <w:left w:type="dxa" w:w="100"/>
              <w:bottom w:type="dxa" w:w="70"/>
              <w:right w:type="dxa" w:w="100"/>
            </w:tcMar>
          </w:tcPr>
          <w:p>
            <w:r>
              <w:rPr>
                <w:b w:val="false"/>
                <w:bCs w:val="false"/>
                <w:i/>
                <w:iCs/>
                <w:sz w:val="19"/>
                <w:szCs w:val="19"/>
              </w:rPr>
              <w:t xml:space="preserve">date ou null</w:t>
            </w:r>
          </w:p>
        </w:tc>
        <w:tc>
          <w:tcPr>
            <w:tcW w:type="dxa" w:w="5600"/>
            <w:tcMar>
              <w:top w:type="dxa" w:w="70"/>
              <w:left w:type="dxa" w:w="100"/>
              <w:bottom w:type="dxa" w:w="70"/>
              <w:right w:type="dxa" w:w="100"/>
            </w:tcMar>
          </w:tcPr>
          <w:p>
            <w:r>
              <w:rPr>
                <w:b w:val="false"/>
                <w:bCs w:val="false"/>
                <w:i w:val="false"/>
                <w:iCs w:val="false"/>
                <w:sz w:val="19"/>
                <w:szCs w:val="19"/>
              </w:rPr>
              <w:t xml:space="preserve">Date réelle de dépôt — renseignée automatiquement au passage au statut « facturée ».</w:t>
            </w:r>
          </w:p>
        </w:tc>
      </w:tr>
      <w:tr>
        <w:tc>
          <w:tcPr>
            <w:tcW w:type="dxa" w:w="2100"/>
            <w:tcMar>
              <w:top w:type="dxa" w:w="70"/>
              <w:left w:type="dxa" w:w="100"/>
              <w:bottom w:type="dxa" w:w="70"/>
              <w:right w:type="dxa" w:w="100"/>
            </w:tcMar>
          </w:tcPr>
          <w:p>
            <w:r>
              <w:rPr>
                <w:b w:val="false"/>
                <w:bCs w:val="false"/>
                <w:i w:val="false"/>
                <w:iCs w:val="false"/>
                <w:sz w:val="19"/>
                <w:szCs w:val="19"/>
              </w:rPr>
              <w:t xml:space="preserve">echeancePaiementPrev</w:t>
            </w:r>
          </w:p>
        </w:tc>
        <w:tc>
          <w:tcPr>
            <w:tcW w:type="dxa" w:w="1500"/>
            <w:tcMar>
              <w:top w:type="dxa" w:w="70"/>
              <w:left w:type="dxa" w:w="100"/>
              <w:bottom w:type="dxa" w:w="70"/>
              <w:right w:type="dxa" w:w="100"/>
            </w:tcMar>
          </w:tcPr>
          <w:p>
            <w:r>
              <w:rPr>
                <w:b w:val="false"/>
                <w:bCs w:val="false"/>
                <w:i/>
                <w:iCs/>
                <w:sz w:val="19"/>
                <w:szCs w:val="19"/>
              </w:rPr>
              <w:t xml:space="preserve">date</w:t>
            </w:r>
          </w:p>
        </w:tc>
        <w:tc>
          <w:tcPr>
            <w:tcW w:type="dxa" w:w="5600"/>
            <w:tcMar>
              <w:top w:type="dxa" w:w="70"/>
              <w:left w:type="dxa" w:w="100"/>
              <w:bottom w:type="dxa" w:w="70"/>
              <w:right w:type="dxa" w:w="100"/>
            </w:tcMar>
          </w:tcPr>
          <w:p>
            <w:r>
              <w:rPr>
                <w:b w:val="false"/>
                <w:bCs w:val="false"/>
                <w:i w:val="false"/>
                <w:iCs w:val="false"/>
                <w:sz w:val="19"/>
                <w:szCs w:val="19"/>
              </w:rPr>
              <w:t xml:space="preserve">Échéance prévisionnelle de paiement.</w:t>
            </w:r>
          </w:p>
        </w:tc>
      </w:tr>
      <w:tr>
        <w:tc>
          <w:tcPr>
            <w:tcW w:type="dxa" w:w="2100"/>
            <w:tcMar>
              <w:top w:type="dxa" w:w="70"/>
              <w:left w:type="dxa" w:w="100"/>
              <w:bottom w:type="dxa" w:w="70"/>
              <w:right w:type="dxa" w:w="100"/>
            </w:tcMar>
          </w:tcPr>
          <w:p>
            <w:r>
              <w:rPr>
                <w:b w:val="false"/>
                <w:bCs w:val="false"/>
                <w:i w:val="false"/>
                <w:iCs w:val="false"/>
                <w:sz w:val="19"/>
                <w:szCs w:val="19"/>
              </w:rPr>
              <w:t xml:space="preserve">datePaiement</w:t>
            </w:r>
          </w:p>
        </w:tc>
        <w:tc>
          <w:tcPr>
            <w:tcW w:type="dxa" w:w="1500"/>
            <w:tcMar>
              <w:top w:type="dxa" w:w="70"/>
              <w:left w:type="dxa" w:w="100"/>
              <w:bottom w:type="dxa" w:w="70"/>
              <w:right w:type="dxa" w:w="100"/>
            </w:tcMar>
          </w:tcPr>
          <w:p>
            <w:r>
              <w:rPr>
                <w:b w:val="false"/>
                <w:bCs w:val="false"/>
                <w:i/>
                <w:iCs/>
                <w:sz w:val="19"/>
                <w:szCs w:val="19"/>
              </w:rPr>
              <w:t xml:space="preserve">date ou null</w:t>
            </w:r>
          </w:p>
        </w:tc>
        <w:tc>
          <w:tcPr>
            <w:tcW w:type="dxa" w:w="5600"/>
            <w:tcMar>
              <w:top w:type="dxa" w:w="70"/>
              <w:left w:type="dxa" w:w="100"/>
              <w:bottom w:type="dxa" w:w="70"/>
              <w:right w:type="dxa" w:w="100"/>
            </w:tcMar>
          </w:tcPr>
          <w:p>
            <w:r>
              <w:rPr>
                <w:b w:val="false"/>
                <w:bCs w:val="false"/>
                <w:i w:val="false"/>
                <w:iCs w:val="false"/>
                <w:sz w:val="19"/>
                <w:szCs w:val="19"/>
              </w:rPr>
              <w:t xml:space="preserve">Date réelle de paiement — renseignée automatiquement au passage au statut « payée », et effacée si ce statut est annulé. Base de calcul de la tuile « Total payé » de la page Facturation (voir note ci-dessous).</w:t>
            </w:r>
          </w:p>
        </w:tc>
      </w:tr>
      <w:tr>
        <w:tc>
          <w:tcPr>
            <w:tcW w:type="dxa" w:w="2100"/>
            <w:tcMar>
              <w:top w:type="dxa" w:w="70"/>
              <w:left w:type="dxa" w:w="100"/>
              <w:bottom w:type="dxa" w:w="70"/>
              <w:right w:type="dxa" w:w="100"/>
            </w:tcMar>
          </w:tcPr>
          <w:p>
            <w:r>
              <w:rPr>
                <w:b w:val="false"/>
                <w:bCs w:val="false"/>
                <w:i w:val="false"/>
                <w:iCs w:val="false"/>
                <w:sz w:val="19"/>
                <w:szCs w:val="19"/>
              </w:rPr>
              <w:t xml:space="preserve">payee</w:t>
            </w:r>
          </w:p>
        </w:tc>
        <w:tc>
          <w:tcPr>
            <w:tcW w:type="dxa" w:w="1500"/>
            <w:tcMar>
              <w:top w:type="dxa" w:w="70"/>
              <w:left w:type="dxa" w:w="100"/>
              <w:bottom w:type="dxa" w:w="70"/>
              <w:right w:type="dxa" w:w="100"/>
            </w:tcMar>
          </w:tcPr>
          <w:p>
            <w:r>
              <w:rPr>
                <w:b w:val="false"/>
                <w:bCs w:val="false"/>
                <w:i/>
                <w:iCs/>
                <w:sz w:val="19"/>
                <w:szCs w:val="19"/>
              </w:rPr>
              <w:t xml:space="preserve">booléen</w:t>
            </w:r>
          </w:p>
        </w:tc>
        <w:tc>
          <w:tcPr>
            <w:tcW w:type="dxa" w:w="5600"/>
            <w:tcMar>
              <w:top w:type="dxa" w:w="70"/>
              <w:left w:type="dxa" w:w="100"/>
              <w:bottom w:type="dxa" w:w="70"/>
              <w:right w:type="dxa" w:w="100"/>
            </w:tcMar>
          </w:tcPr>
          <w:p>
            <w:r>
              <w:rPr>
                <w:b w:val="false"/>
                <w:bCs w:val="false"/>
                <w:i w:val="false"/>
                <w:iCs w:val="false"/>
                <w:sz w:val="19"/>
                <w:szCs w:val="19"/>
              </w:rPr>
              <w:t xml:space="preserve">Synchronisé avec le statut « payée ».</w:t>
            </w:r>
          </w:p>
        </w:tc>
      </w:tr>
      <w:tr>
        <w:tc>
          <w:tcPr>
            <w:tcW w:type="dxa" w:w="2100"/>
            <w:tcMar>
              <w:top w:type="dxa" w:w="70"/>
              <w:left w:type="dxa" w:w="100"/>
              <w:bottom w:type="dxa" w:w="70"/>
              <w:right w:type="dxa" w:w="100"/>
            </w:tcMar>
          </w:tcPr>
          <w:p>
            <w:r>
              <w:rPr>
                <w:b w:val="false"/>
                <w:bCs w:val="false"/>
                <w:i w:val="false"/>
                <w:iCs w:val="false"/>
                <w:sz w:val="19"/>
                <w:szCs w:val="19"/>
              </w:rPr>
              <w:t xml:space="preserve">statut</w:t>
            </w:r>
          </w:p>
        </w:tc>
        <w:tc>
          <w:tcPr>
            <w:tcW w:type="dxa" w:w="1500"/>
            <w:tcMar>
              <w:top w:type="dxa" w:w="70"/>
              <w:left w:type="dxa" w:w="100"/>
              <w:bottom w:type="dxa" w:w="70"/>
              <w:right w:type="dxa" w:w="100"/>
            </w:tcMar>
          </w:tcPr>
          <w:p>
            <w:r>
              <w:rPr>
                <w:b w:val="false"/>
                <w:bCs w:val="false"/>
                <w:i/>
                <w:iCs/>
                <w:sz w:val="19"/>
                <w:szCs w:val="19"/>
              </w:rPr>
              <w:t xml:space="preserve">texte (4 valeurs)</w:t>
            </w:r>
          </w:p>
        </w:tc>
        <w:tc>
          <w:tcPr>
            <w:tcW w:type="dxa" w:w="5600"/>
            <w:tcMar>
              <w:top w:type="dxa" w:w="70"/>
              <w:left w:type="dxa" w:w="100"/>
              <w:bottom w:type="dxa" w:w="70"/>
              <w:right w:type="dxa" w:w="100"/>
            </w:tcMar>
          </w:tcPr>
          <w:p>
            <w:r>
              <w:rPr>
                <w:b w:val="false"/>
                <w:bCs w:val="false"/>
                <w:i w:val="false"/>
                <w:iCs w:val="false"/>
                <w:sz w:val="19"/>
                <w:szCs w:val="19"/>
              </w:rPr>
              <w:t xml:space="preserve">« prévisionnelle » → « facturée » → « payée », ou « annulée » — voir cycle ci-dessous.</w:t>
            </w:r>
          </w:p>
        </w:tc>
      </w:tr>
      <w:tr>
        <w:tc>
          <w:tcPr>
            <w:tcW w:type="dxa" w:w="2100"/>
            <w:tcMar>
              <w:top w:type="dxa" w:w="70"/>
              <w:left w:type="dxa" w:w="100"/>
              <w:bottom w:type="dxa" w:w="70"/>
              <w:right w:type="dxa" w:w="100"/>
            </w:tcMar>
          </w:tcPr>
          <w:p>
            <w:r>
              <w:rPr>
                <w:b w:val="false"/>
                <w:bCs w:val="false"/>
                <w:i w:val="false"/>
                <w:iCs w:val="false"/>
                <w:sz w:val="19"/>
                <w:szCs w:val="19"/>
              </w:rPr>
              <w:t xml:space="preserve">commentaires</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Libre (onglet Notes).</w:t>
            </w:r>
          </w:p>
        </w:tc>
      </w:tr>
    </w:tbl>
    <w:p>
      <w:pPr>
        <w:spacing w:after="80"/>
      </w:pPr>
    </w:p>
    <w:p>
      <w:pPr>
        <w:pStyle w:val="Heading3"/>
        <w:spacing w:after="90" w:before="180"/>
      </w:pPr>
      <w:r>
        <w:t xml:space="preserve">Cycle de statut</w:t>
      </w:r>
    </w:p>
    <w:p>
      <w:pPr>
        <w:pStyle w:val="ListParagraph"/>
        <w:numPr>
          <w:ilvl w:val="0"/>
          <w:numId w:val="2"/>
        </w:numPr>
        <w:spacing w:after="70"/>
      </w:pPr>
      <w:r>
        <w:t xml:space="preserve">prévisionnelle → facturée : action « Marquer déposée » — fixe la date de dépôt à aujourd'hui.</w:t>
      </w:r>
    </w:p>
    <w:p>
      <w:pPr>
        <w:pStyle w:val="ListParagraph"/>
        <w:numPr>
          <w:ilvl w:val="0"/>
          <w:numId w:val="2"/>
        </w:numPr>
        <w:spacing w:after="70"/>
      </w:pPr>
      <w:r>
        <w:t xml:space="preserve">facturée → payée : case « Facture payée » — fixe la date de paiement à aujourd'hui.</w:t>
      </w:r>
    </w:p>
    <w:p>
      <w:pPr>
        <w:pStyle w:val="ListParagraph"/>
        <w:numPr>
          <w:ilvl w:val="0"/>
          <w:numId w:val="2"/>
        </w:numPr>
        <w:spacing w:after="70"/>
      </w:pPr>
      <w:r>
        <w:t xml:space="preserve">payée → facturée : décocher la case « Facture payée » déclenche une confirmation (« Êtes-vous sûr de vouloir annuler le statut « payée » de cette facture ? ») ; une fois confirmée, le statut repasse à « facturée » et la date de paiement est effacée. Le paiement n'est donc pas irréversible depuis cette case.</w:t>
      </w:r>
    </w:p>
    <w:p>
      <w:pPr>
        <w:pStyle w:val="ListParagraph"/>
        <w:numPr>
          <w:ilvl w:val="0"/>
          <w:numId w:val="2"/>
        </w:numPr>
        <w:spacing w:after="70"/>
      </w:pPr>
      <w:r>
        <w:t xml:space="preserve">prévisionnelle ou facturée → annulée : action « Annuler la facture », état terminal — une facture déjà payée ne peut plus être annulée depuis l'interface.</w:t>
      </w:r>
    </w:p>
    <w:p>
      <w:pPr>
        <w:spacing w:after="80"/>
      </w:pPr>
    </w:p>
    <w:p>
      <w:pPr>
        <w:spacing w:after="140"/>
      </w:pPr>
      <w:r>
        <w:rPr>
          <w:b w:val="false"/>
          <w:bCs w:val="false"/>
          <w:i w:val="false"/>
          <w:iCs w:val="false"/>
        </w:rPr>
        <w:t xml:space="preserve">Champs dérivés jamais stockés : factureTotalHT = montantMissionHT + montantSousTraitanceHT (les frais n'ont pas de « HT » dans ce total) ; factureTotalTTC = missionTTC + montantFraisTTC + sousTraitanceTTC.</w:t>
      </w:r>
    </w:p>
    <w:p>
      <w:pPr>
        <w:spacing w:after="140"/>
      </w:pPr>
      <w:r>
        <w:rPr>
          <w:b w:val="false"/>
          <w:bCs w:val="false"/>
          <w:i/>
          <w:iCs/>
          <w:color w:val="5A5A4E"/>
        </w:rPr>
        <w:t xml:space="preserve">Sur la page Facturation, les tuiles « Total facturé » et « En attente/prévisionnel » filtrent les factures de l'année sélectionnée sur echeancePrev (échéance prévisionnelle), tandis que la tuile « Total payé » filtre sur datePaiement (date de paiement effective) — une facture échéancée une année mais payée l'année suivante compte donc dans le total payé de l'année de paiement, et non dans celui de son échéance. Le sélecteur d'année de la page inclut à la fois les années présentes dans echeancePrev et celles présentes dans datePaiement pour les factures payées, afin qu'une telle année reste sélectionnable même sans aucune facture échéancée dessus.</w:t>
      </w:r>
    </w:p>
    <w:p>
      <w:pPr>
        <w:spacing w:after="200"/>
      </w:pPr>
      <w:r>
        <w:rPr>
          <w:b w:val="false"/>
          <w:bCs w:val="false"/>
          <w:i/>
          <w:iCs/>
          <w:color w:val="5A5A4E"/>
        </w:rPr>
        <w:t xml:space="preserve">5 alertes calculées à partir de cette table et de l'Affaire (détaillées dans le cahier des charges, section 6) : les 4 alertes de facturation (retard de dépôt, retard de paiement, écart entre l'échéancier de facturation d'une affaire et son budget vendu, affaire facturable sans aucune facture échéancée), calculées sur les affaires « en production » ou « terminée » ; et, à part, les 5 alertes de pilotage d'affaire (incohérences budgétaires, absence de caractéristiques, missions non créées, missions ou affaire à rééchéancer), calculées sur les affaires « en commercialisation » ou « en production ».</w:t>
      </w:r>
    </w:p>
    <w:p>
      <w:pPr>
        <w:pStyle w:val="Heading1"/>
        <w:spacing w:after="160" w:before="360"/>
      </w:pPr>
      <w:r>
        <w:t xml:space="preserve">13. Listes de référence</w:t>
      </w:r>
    </w:p>
    <w:p>
      <w:pPr>
        <w:spacing w:after="140"/>
      </w:pPr>
      <w:r>
        <w:rPr>
          <w:b w:val="false"/>
          <w:bCs w:val="false"/>
          <w:i w:val="false"/>
          <w:iCs w:val="false"/>
        </w:rPr>
        <w:t xml:space="preserve">Éditables par un administrateur depuis Administration &gt; Tables &amp; réglages, à l'exception des Temps internes et Temps d'absence, qui sont une liste fixe dans le code.</w:t>
      </w:r>
    </w:p>
    <w:p>
      <w:pPr>
        <w:pStyle w:val="Heading3"/>
        <w:spacing w:after="90" w:before="180"/>
      </w:pPr>
      <w:r>
        <w:t xml:space="preserve">Méthode, Type de territoire, Domaine d'intervention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600"/>
      </w:tblGrid>
      <w:tr>
        <w:trPr>
          <w:tblHeader/>
        </w:trPr>
        <w:tc>
          <w:tcPr>
            <w:tcW w:type="dxa" w:w="2100"/>
            <w:shd w:fill="EAF3DC" w:val="clear"/>
            <w:tcMar>
              <w:top w:type="dxa" w:w="70"/>
              <w:left w:type="dxa" w:w="100"/>
              <w:bottom w:type="dxa" w:w="70"/>
              <w:right w:type="dxa" w:w="100"/>
            </w:tcMar>
          </w:tcPr>
          <w:p>
            <w:r>
              <w:rPr>
                <w:b/>
                <w:bCs/>
                <w:i w:val="false"/>
                <w:iCs w:val="false"/>
                <w:sz w:val="19"/>
                <w:szCs w:val="19"/>
              </w:rPr>
              <w:t xml:space="preserve">Champ</w:t>
            </w:r>
          </w:p>
        </w:tc>
        <w:tc>
          <w:tcPr>
            <w:tcW w:type="dxa" w:w="1500"/>
            <w:shd w:fill="EAF3DC" w:val="clear"/>
            <w:tcMar>
              <w:top w:type="dxa" w:w="70"/>
              <w:left w:type="dxa" w:w="100"/>
              <w:bottom w:type="dxa" w:w="70"/>
              <w:right w:type="dxa" w:w="100"/>
            </w:tcMar>
          </w:tcPr>
          <w:p>
            <w:r>
              <w:rPr>
                <w:b/>
                <w:bCs/>
                <w:i w:val="false"/>
                <w:iCs w:val="false"/>
                <w:sz w:val="19"/>
                <w:szCs w:val="19"/>
              </w:rPr>
              <w:t xml:space="preserve">Type</w:t>
            </w:r>
          </w:p>
        </w:tc>
        <w:tc>
          <w:tcPr>
            <w:tcW w:type="dxa" w:w="5600"/>
            <w:shd w:fill="EAF3DC" w:val="clear"/>
            <w:tcMar>
              <w:top w:type="dxa" w:w="70"/>
              <w:left w:type="dxa" w:w="100"/>
              <w:bottom w:type="dxa" w:w="70"/>
              <w:right w:type="dxa" w:w="100"/>
            </w:tcMar>
          </w:tcPr>
          <w:p>
            <w:r>
              <w:rPr>
                <w:b/>
                <w:bCs/>
                <w:i w:val="false"/>
                <w:iCs w:val="false"/>
                <w:sz w:val="19"/>
                <w:szCs w:val="19"/>
              </w:rPr>
              <w:t xml:space="preserve">Signification</w:t>
            </w:r>
          </w:p>
        </w:tc>
      </w:tr>
      <w:tr>
        <w:tc>
          <w:tcPr>
            <w:tcW w:type="dxa" w:w="2100"/>
            <w:tcMar>
              <w:top w:type="dxa" w:w="70"/>
              <w:left w:type="dxa" w:w="100"/>
              <w:bottom w:type="dxa" w:w="70"/>
              <w:right w:type="dxa" w:w="100"/>
            </w:tcMar>
          </w:tcPr>
          <w:p>
            <w:r>
              <w:rPr>
                <w:b w:val="false"/>
                <w:bCs w:val="false"/>
                <w:i w:val="false"/>
                <w:iCs w:val="false"/>
                <w:sz w:val="19"/>
                <w:szCs w:val="19"/>
              </w:rPr>
              <w:t xml:space="preserve">id</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Identifiant stable (« ME1 », « TE1 », « DO1 », …), conservé sur les affaires qui la cochent même si le libellé est renommé ensuite.</w:t>
            </w:r>
          </w:p>
        </w:tc>
      </w:tr>
      <w:tr>
        <w:tc>
          <w:tcPr>
            <w:tcW w:type="dxa" w:w="2100"/>
            <w:tcMar>
              <w:top w:type="dxa" w:w="70"/>
              <w:left w:type="dxa" w:w="100"/>
              <w:bottom w:type="dxa" w:w="70"/>
              <w:right w:type="dxa" w:w="100"/>
            </w:tcMar>
          </w:tcPr>
          <w:p>
            <w:r>
              <w:rPr>
                <w:b w:val="false"/>
                <w:bCs w:val="false"/>
                <w:i w:val="false"/>
                <w:iCs w:val="false"/>
                <w:sz w:val="19"/>
                <w:szCs w:val="19"/>
              </w:rPr>
              <w:t xml:space="preserve">label</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Libellé affiché.</w:t>
            </w:r>
          </w:p>
        </w:tc>
      </w:tr>
    </w:tbl>
    <w:p>
      <w:pPr>
        <w:spacing w:after="80"/>
      </w:pPr>
    </w:p>
    <w:p>
      <w:pPr>
        <w:pStyle w:val="Heading3"/>
        <w:spacing w:after="90" w:before="180"/>
      </w:pPr>
      <w:r>
        <w:t xml:space="preserve">Sous-catégorie de frais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600"/>
      </w:tblGrid>
      <w:tr>
        <w:trPr>
          <w:tblHeader/>
        </w:trPr>
        <w:tc>
          <w:tcPr>
            <w:tcW w:type="dxa" w:w="2100"/>
            <w:shd w:fill="EAF3DC" w:val="clear"/>
            <w:tcMar>
              <w:top w:type="dxa" w:w="70"/>
              <w:left w:type="dxa" w:w="100"/>
              <w:bottom w:type="dxa" w:w="70"/>
              <w:right w:type="dxa" w:w="100"/>
            </w:tcMar>
          </w:tcPr>
          <w:p>
            <w:r>
              <w:rPr>
                <w:b/>
                <w:bCs/>
                <w:i w:val="false"/>
                <w:iCs w:val="false"/>
                <w:sz w:val="19"/>
                <w:szCs w:val="19"/>
              </w:rPr>
              <w:t xml:space="preserve">Champ</w:t>
            </w:r>
          </w:p>
        </w:tc>
        <w:tc>
          <w:tcPr>
            <w:tcW w:type="dxa" w:w="1500"/>
            <w:shd w:fill="EAF3DC" w:val="clear"/>
            <w:tcMar>
              <w:top w:type="dxa" w:w="70"/>
              <w:left w:type="dxa" w:w="100"/>
              <w:bottom w:type="dxa" w:w="70"/>
              <w:right w:type="dxa" w:w="100"/>
            </w:tcMar>
          </w:tcPr>
          <w:p>
            <w:r>
              <w:rPr>
                <w:b/>
                <w:bCs/>
                <w:i w:val="false"/>
                <w:iCs w:val="false"/>
                <w:sz w:val="19"/>
                <w:szCs w:val="19"/>
              </w:rPr>
              <w:t xml:space="preserve">Type</w:t>
            </w:r>
          </w:p>
        </w:tc>
        <w:tc>
          <w:tcPr>
            <w:tcW w:type="dxa" w:w="5600"/>
            <w:shd w:fill="EAF3DC" w:val="clear"/>
            <w:tcMar>
              <w:top w:type="dxa" w:w="70"/>
              <w:left w:type="dxa" w:w="100"/>
              <w:bottom w:type="dxa" w:w="70"/>
              <w:right w:type="dxa" w:w="100"/>
            </w:tcMar>
          </w:tcPr>
          <w:p>
            <w:r>
              <w:rPr>
                <w:b/>
                <w:bCs/>
                <w:i w:val="false"/>
                <w:iCs w:val="false"/>
                <w:sz w:val="19"/>
                <w:szCs w:val="19"/>
              </w:rPr>
              <w:t xml:space="preserve">Signification</w:t>
            </w:r>
          </w:p>
        </w:tc>
      </w:tr>
      <w:tr>
        <w:tc>
          <w:tcPr>
            <w:tcW w:type="dxa" w:w="2100"/>
            <w:tcMar>
              <w:top w:type="dxa" w:w="70"/>
              <w:left w:type="dxa" w:w="100"/>
              <w:bottom w:type="dxa" w:w="70"/>
              <w:right w:type="dxa" w:w="100"/>
            </w:tcMar>
          </w:tcPr>
          <w:p>
            <w:r>
              <w:rPr>
                <w:b w:val="false"/>
                <w:bCs w:val="false"/>
                <w:i w:val="false"/>
                <w:iCs w:val="false"/>
                <w:sz w:val="19"/>
                <w:szCs w:val="19"/>
              </w:rPr>
              <w:t xml:space="preserve">id</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Identifiant stable (« CF1 », « CF2 », …, compteur nextCategorieFraisId).</w:t>
            </w:r>
          </w:p>
        </w:tc>
      </w:tr>
      <w:tr>
        <w:tc>
          <w:tcPr>
            <w:tcW w:type="dxa" w:w="2100"/>
            <w:tcMar>
              <w:top w:type="dxa" w:w="70"/>
              <w:left w:type="dxa" w:w="100"/>
              <w:bottom w:type="dxa" w:w="70"/>
              <w:right w:type="dxa" w:w="100"/>
            </w:tcMar>
          </w:tcPr>
          <w:p>
            <w:r>
              <w:rPr>
                <w:b w:val="false"/>
                <w:bCs w:val="false"/>
                <w:i w:val="false"/>
                <w:iCs w:val="false"/>
                <w:sz w:val="19"/>
                <w:szCs w:val="19"/>
              </w:rPr>
              <w:t xml:space="preserve">categorie</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Catégorie parente (ex. « Déplacement », « Hébergement », « Restauration », « Achats », « Communication et Marketing », « Frais administratifs »). Sert à regrouper les sous-catégories par optgroup dans le formulaire de saisie.</w:t>
            </w:r>
          </w:p>
        </w:tc>
      </w:tr>
      <w:tr>
        <w:tc>
          <w:tcPr>
            <w:tcW w:type="dxa" w:w="2100"/>
            <w:tcMar>
              <w:top w:type="dxa" w:w="70"/>
              <w:left w:type="dxa" w:w="100"/>
              <w:bottom w:type="dxa" w:w="70"/>
              <w:right w:type="dxa" w:w="100"/>
            </w:tcMar>
          </w:tcPr>
          <w:p>
            <w:r>
              <w:rPr>
                <w:b w:val="false"/>
                <w:bCs w:val="false"/>
                <w:i w:val="false"/>
                <w:iCs w:val="false"/>
                <w:sz w:val="19"/>
                <w:szCs w:val="19"/>
              </w:rPr>
              <w:t xml:space="preserve">label</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Libellé de la sous-catégorie (ex. « Train TER », « Voiture IKA »).</w:t>
            </w:r>
          </w:p>
        </w:tc>
      </w:tr>
    </w:tbl>
    <w:p>
      <w:pPr>
        <w:spacing w:after="80"/>
      </w:pPr>
    </w:p>
    <w:p>
      <w:pPr>
        <w:pStyle w:val="Heading3"/>
        <w:spacing w:after="90" w:before="180"/>
      </w:pPr>
      <w:r>
        <w:t xml:space="preserve">Temps interne, Temps d'absence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600"/>
      </w:tblGrid>
      <w:tr>
        <w:trPr>
          <w:tblHeader/>
        </w:trPr>
        <w:tc>
          <w:tcPr>
            <w:tcW w:type="dxa" w:w="2100"/>
            <w:shd w:fill="EAF3DC" w:val="clear"/>
            <w:tcMar>
              <w:top w:type="dxa" w:w="70"/>
              <w:left w:type="dxa" w:w="100"/>
              <w:bottom w:type="dxa" w:w="70"/>
              <w:right w:type="dxa" w:w="100"/>
            </w:tcMar>
          </w:tcPr>
          <w:p>
            <w:r>
              <w:rPr>
                <w:b/>
                <w:bCs/>
                <w:i w:val="false"/>
                <w:iCs w:val="false"/>
                <w:sz w:val="19"/>
                <w:szCs w:val="19"/>
              </w:rPr>
              <w:t xml:space="preserve">Champ</w:t>
            </w:r>
          </w:p>
        </w:tc>
        <w:tc>
          <w:tcPr>
            <w:tcW w:type="dxa" w:w="1500"/>
            <w:shd w:fill="EAF3DC" w:val="clear"/>
            <w:tcMar>
              <w:top w:type="dxa" w:w="70"/>
              <w:left w:type="dxa" w:w="100"/>
              <w:bottom w:type="dxa" w:w="70"/>
              <w:right w:type="dxa" w:w="100"/>
            </w:tcMar>
          </w:tcPr>
          <w:p>
            <w:r>
              <w:rPr>
                <w:b/>
                <w:bCs/>
                <w:i w:val="false"/>
                <w:iCs w:val="false"/>
                <w:sz w:val="19"/>
                <w:szCs w:val="19"/>
              </w:rPr>
              <w:t xml:space="preserve">Type</w:t>
            </w:r>
          </w:p>
        </w:tc>
        <w:tc>
          <w:tcPr>
            <w:tcW w:type="dxa" w:w="5600"/>
            <w:shd w:fill="EAF3DC" w:val="clear"/>
            <w:tcMar>
              <w:top w:type="dxa" w:w="70"/>
              <w:left w:type="dxa" w:w="100"/>
              <w:bottom w:type="dxa" w:w="70"/>
              <w:right w:type="dxa" w:w="100"/>
            </w:tcMar>
          </w:tcPr>
          <w:p>
            <w:r>
              <w:rPr>
                <w:b/>
                <w:bCs/>
                <w:i w:val="false"/>
                <w:iCs w:val="false"/>
                <w:sz w:val="19"/>
                <w:szCs w:val="19"/>
              </w:rPr>
              <w:t xml:space="preserve">Signification</w:t>
            </w:r>
          </w:p>
        </w:tc>
      </w:tr>
      <w:tr>
        <w:tc>
          <w:tcPr>
            <w:tcW w:type="dxa" w:w="2100"/>
            <w:tcMar>
              <w:top w:type="dxa" w:w="70"/>
              <w:left w:type="dxa" w:w="100"/>
              <w:bottom w:type="dxa" w:w="70"/>
              <w:right w:type="dxa" w:w="100"/>
            </w:tcMar>
          </w:tcPr>
          <w:p>
            <w:r>
              <w:rPr>
                <w:b w:val="false"/>
                <w:bCs w:val="false"/>
                <w:i w:val="false"/>
                <w:iCs w:val="false"/>
                <w:sz w:val="19"/>
                <w:szCs w:val="19"/>
              </w:rPr>
              <w:t xml:space="preserve">code</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Identifiant fixe (ex. « ADM », « FORM », « CONG », « MAL »), non modifiable depuis l'interface.</w:t>
            </w:r>
          </w:p>
        </w:tc>
      </w:tr>
      <w:tr>
        <w:tc>
          <w:tcPr>
            <w:tcW w:type="dxa" w:w="2100"/>
            <w:tcMar>
              <w:top w:type="dxa" w:w="70"/>
              <w:left w:type="dxa" w:w="100"/>
              <w:bottom w:type="dxa" w:w="70"/>
              <w:right w:type="dxa" w:w="100"/>
            </w:tcMar>
          </w:tcPr>
          <w:p>
            <w:r>
              <w:rPr>
                <w:b w:val="false"/>
                <w:bCs w:val="false"/>
                <w:i w:val="false"/>
                <w:iCs w:val="false"/>
                <w:sz w:val="19"/>
                <w:szCs w:val="19"/>
              </w:rPr>
              <w:t xml:space="preserve">label</w:t>
            </w:r>
          </w:p>
        </w:tc>
        <w:tc>
          <w:tcPr>
            <w:tcW w:type="dxa" w:w="1500"/>
            <w:tcMar>
              <w:top w:type="dxa" w:w="70"/>
              <w:left w:type="dxa" w:w="100"/>
              <w:bottom w:type="dxa" w:w="70"/>
              <w:right w:type="dxa" w:w="100"/>
            </w:tcMar>
          </w:tcPr>
          <w:p>
            <w:r>
              <w:rPr>
                <w:b w:val="false"/>
                <w:bCs w:val="false"/>
                <w:i/>
                <w:iCs/>
                <w:sz w:val="19"/>
                <w:szCs w:val="19"/>
              </w:rPr>
              <w:t xml:space="preserve">texte</w:t>
            </w:r>
          </w:p>
        </w:tc>
        <w:tc>
          <w:tcPr>
            <w:tcW w:type="dxa" w:w="5600"/>
            <w:tcMar>
              <w:top w:type="dxa" w:w="70"/>
              <w:left w:type="dxa" w:w="100"/>
              <w:bottom w:type="dxa" w:w="70"/>
              <w:right w:type="dxa" w:w="100"/>
            </w:tcMar>
          </w:tcPr>
          <w:p>
            <w:r>
              <w:rPr>
                <w:b w:val="false"/>
                <w:bCs w:val="false"/>
                <w:i w:val="false"/>
                <w:iCs w:val="false"/>
                <w:sz w:val="19"/>
                <w:szCs w:val="19"/>
              </w:rPr>
              <w:t xml:space="preserve">Libellé affiché.</w:t>
            </w:r>
          </w:p>
        </w:tc>
      </w:tr>
    </w:tbl>
    <w:p>
      <w:pPr>
        <w:pStyle w:val="Heading1"/>
        <w:spacing w:after="160" w:before="360"/>
      </w:pPr>
      <w:r>
        <w:t xml:space="preserve">14. Vers une vraie base de données</w:t>
      </w:r>
    </w:p>
    <w:p>
      <w:pPr>
        <w:spacing w:after="140"/>
      </w:pPr>
      <w:r>
        <w:rPr>
          <w:b w:val="false"/>
          <w:bCs w:val="false"/>
          <w:i w:val="false"/>
          <w:iCs w:val="false"/>
        </w:rPr>
        <w:t xml:space="preserve">Ce document décrit la structure telle qu'elle vit aujourd'hui en mémoire JavaScript, dans une seule page — voir la section 2 du « Cahier des charges — Pilotéo V3 » pour ce que cela implique concrètement en matière de sauvegarde et ses limites. Les entités et relations décrites ci-dessus sont volontairement déjà pensées comme des tables : chaque référence croisée (organisationId, consultantId, affaireId, missionId, numeroBordereau, categorieFraisId, categorieTempsInterne…) est un identifiant stable, jamais une copie de libellé, exactement comme le serait une clé étrangère dans une base de données relationnelle.</w:t>
      </w:r>
    </w:p>
    <w:p>
      <w:pPr>
        <w:spacing w:after="120"/>
      </w:pPr>
      <w:r>
        <w:rPr>
          <w:b w:val="false"/>
          <w:bCs w:val="false"/>
          <w:i w:val="false"/>
          <w:iCs w:val="false"/>
        </w:rPr>
        <w:t xml:space="preserve">Une migration vers une vraie base de données (par exemple une base relationnelle classique) consisterait à reprendre telles quelles les quatorze entités de ce document comme autant de tables, ces identifiants comme clés primaires/étrangères, et à ajouter ce que la mémoire JavaScript ne peut pas offrir : une écriture persistée à chaque saisie (au lieu d'une republication manuelle de l'outil), un accès simultané de plusieurs consultants sans risque d'écrasement, et une vraie authentification (au lieu du choix de nom sans mot de passe décrit en section 3 du cahier des charges). Ce document constitue la spécification de départ de cette migration, le jour où elle sera engagée.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01"/>
      </w:pPr>
    </w:lvl>
    <w:lvl w:ilvl="1" w15:tentative="1">
      <w:start w:val="1"/>
      <w:numFmt w:val="bullet"/>
      <w:lvlText w:val="–"/>
      <w:lvlJc w:val="left"/>
      <w:pPr>
        <w:ind w:left="792" w:hanging="20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5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b/>
      <w:bCs/>
      <w:color w:val="5E7A17"/>
      <w:sz w:val="44"/>
      <w:szCs w:val="44"/>
    </w:rPr>
  </w:style>
  <w:style w:type="paragraph" w:styleId="Heading1">
    <w:name w:val="Heading 1"/>
    <w:basedOn w:val="Normal"/>
    <w:next w:val="Normal"/>
    <w:pPr>
      <w:pBdr>
        <w:bottom w:val="single" w:color="5E7A17" w:sz="8" w:space="4"/>
      </w:pBdr>
      <w:spacing w:after="160" w:before="360"/>
    </w:pPr>
    <w:rPr>
      <w:b/>
      <w:bCs/>
      <w:color w:val="5E7A17"/>
      <w:sz w:val="28"/>
      <w:szCs w:val="28"/>
    </w:rPr>
  </w:style>
  <w:style w:type="paragraph" w:styleId="Heading2">
    <w:name w:val="Heading 2"/>
    <w:basedOn w:val="Normal"/>
    <w:next w:val="Normal"/>
    <w:pPr>
      <w:spacing w:after="110" w:before="260"/>
    </w:pPr>
    <w:rPr>
      <w:b/>
      <w:bCs/>
      <w:color w:val="C04F15"/>
      <w:sz w:val="24"/>
      <w:szCs w:val="24"/>
    </w:rPr>
  </w:style>
  <w:style w:type="paragraph" w:styleId="Heading3">
    <w:name w:val="Heading 3"/>
    <w:basedOn w:val="Normal"/>
    <w:next w:val="Normal"/>
    <w:pPr>
      <w:spacing w:after="90" w:before="180"/>
    </w:pPr>
    <w:rPr>
      <w:b/>
      <w:bCs/>
      <w:color w:val="33352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2026-08-29T12:58:17.721Z</dcterms:created>
  <dcterms:modified xsi:type="dcterms:W3CDTF">2026-08-29T12:58:17.721Z</dcterms:modified>
</cp:coreProperties>
</file>

<file path=docProps/custom.xml><?xml version="1.0" encoding="utf-8"?>
<Properties xmlns="http://schemas.openxmlformats.org/officeDocument/2006/custom-properties" xmlns:vt="http://schemas.openxmlformats.org/officeDocument/2006/docPropsVTypes"/>
</file>