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spacing w:lineRule="auto" w:line="360" w:before="0" w:after="0"/>
        <w:ind w:firstLine="709"/>
        <w:jc w:val="both"/>
      </w:pPr>
      <w:r>
        <w:rPr>
          <w:rFonts w:ascii="Times New Roman" w:hAnsi="Times New Roman" w:cs="Times New Roman"/>
          <w:rFonts w:ascii="Times New Roman" w:hAnsi="Times New Roman"/>
          <w:b/>
          <w:sz w:val="28"/>
        </w:rPr>
        <w:t>1 Теоретические основы документооборота в системе государственного оборонного заказа</w:t>
      </w:r>
    </w:p>
    <w:p>
      <w:pPr>
        <w:pStyle w:val="Heading2"/>
        <w:spacing w:lineRule="auto" w:line="360" w:before="0" w:after="0"/>
        <w:jc w:val="both"/>
      </w:pPr>
      <w:r>
        <w:rPr>
          <w:rFonts w:ascii="Times New Roman" w:hAnsi="Times New Roman" w:cs="Times New Roman"/>
          <w:rFonts w:ascii="Times New Roman" w:hAnsi="Times New Roman"/>
          <w:b/>
          <w:sz w:val="28"/>
        </w:rPr>
        <w:t>1.1 Нормативно-правовое регулирование государственного оборонного заказа в Российской Федерации</w:t>
      </w:r>
    </w:p>
    <w:p>
      <w:pPr>
        <w:spacing w:lineRule="auto" w:line="360" w:before="0" w:after="0"/>
        <w:ind w:firstLine="709"/>
        <w:jc w:val="both"/>
      </w:pPr>
      <w:r>
        <w:rPr>
          <w:rFonts w:ascii="Times New Roman" w:hAnsi="Times New Roman" w:cs="Times New Roman"/>
          <w:rFonts w:ascii="Times New Roman" w:hAnsi="Times New Roman"/>
          <w:b w:val="0"/>
          <w:sz w:val="28"/>
        </w:rPr>
        <w:t>Документооборот в системе государственного оборонного заказа (ГОЗ) - это не просто совокупность процедур по созданию и движению документов. В условиях современной геополитической обстановки, характеризующейся высоким уровнем внешних угроз и необходимостью обеспечения технологического суверенитета страны, эффективное управление документационными потоками в сфере обороны приобретает статус одного из ключевых факторов национальной безопасности. Актуальность исследования теоретических основ данной сферы обусловлена тремя фундаментальными обстоятельствами: Бюджетные средства; Правовой режим особой важности; Постоянная реформа законодательства. ГОЗ является одним из самых крупных направлений расходования федерального бюджета. Любая ошибка в документальном оформлении, утрата документа или нарушение регламента его обработки влекут за собой риски нецелевого использования средств и срыва поставок критически важной продукции. В отличие от гражданского документооборота, где приоритетом является скорость и удобство, в ГОЗ приоритетом выступает законность, подконтрольность и сохранность защищаемой информации. Здесь документ выступает не только носителем управленческого решения, но и юридическим доказательством исполнения обязательств. Нормативная база ГОЗ (в первую очередь Федеральный закон № 275-ФЗ) находится в состоянии постоянного реформирования. Внедрение изменений обусловлено необходимостью реагирования на актуальные требования (например, адаптация к санкционному давлению, внедрение механизмов банковского сопровождения), что требует от участников кооперации высокой теоретической подготовки и способности быстро адаптироваться к нововведениям. В широком смысле документооборот в ГОЗ можно определить как регламентированную систему создания, согласования, передачи, учета, хранения и уничтожения документированной информации, которая обеспечивает процессы планирования, размещения, финансирования, исполнения и контроля государственных контрактов в целях обороны и безопасности Российской Федерации. Однако специфика ГОЗ накладывает на эту систему ряд уникальных черт, превращающих ее из вспомогательного делопроизводственного процесса в основной механизм управления кооперацией. Такими чертами являются многоуровневость и режимность Документооборот не замыкается в рамках одной организации. Он охватывает вертикаль «Государственный заказчик (Минобороны, Росатом, Роскосмос) → Головной исполнитель → Исполнители всех уровней кооперации». Каждый уровень генерирует свой массив документов, при этом юридическая сила вышестоящего документа (государственного контракта) распространяется на все нижестоящие уровни. Значительная часть документов (технические задания, конструкторская документация, планы поставок) содержит сведения, составляющие государственную тайну или информацию ограниченного распространения (ДСП). Это требует параллельного существования двух изолированных потоков документооборота: секретного и несекретного, что значительно усложняет организационную структуру делопроизводства. В системе ГОЗ (государственного оборонного заказа) документ перестает быть просто фиксатором хозяйственной операции. Он становится инструментом сквозного финансового контроля. Ключевым элементом здесь выступает идентификатор государственного контракта (ИГК). Это уникальный цифровой код, который присваивается каждому контракту и должен проставляться во всех первичных учетных документах, платежных поручениях и отчетах. Теоретически это означает, что каждый документ (от акта приема-передачи до требования на оплату сырья) должен быть «привязан» к конкретному контракту. Без наличия ИГК в документе уполномоченный банк имеет право заблокировать платеж, а контролирующие органы — признать операцию нецелевой. Таким образом, документооборот в ГОЗ выполняет не только информационную, но и контрольно-разрешительную функцию. Рассмотрение теоретических основ документооборота в ГОЗ необходимо для решения следующих задач: систематизация нормативно-правовой базы, регулирующей документационное обеспечение управления в оборонно-промышленном комплексе (ОПК), определение видового состава документов (контрактная, техническая, финансовая, распорядительная документация) и их юридической значимости на разных этапах исполнения контракта, анализ принципов организации документооборота в условиях жесткой регламентации (законность, раздельный учет, конфиденциальность), выявление проблемных зон и путей их оптимизации. Теоретической базой для анализа служат положения системного подхода, рассматривающего документооборот ГОЗ как сложную иерархическую систему, функционирующую в условиях внешних ограничений (законодательных, экономических, режимных). Основное внимание уделяется изучению взаимосвязей между элементами системы: субъекты (участники кооперации) - объекты (документы) - правовые нормы (275-ФЗ, подзаконные акты) - контрольные органы (ФАС, Росфинмониторинг, уполномоченные банки). Теоретической основой организации документооборота в системе государственного оборонного заказа является строго иерархичная система нормативных правовых актов, которые можно разделить на следующие уровни: Конституционный и законодательный уровень; Уровень подзаконных актов (Постановления Правительства РФ); Уровень ведомственных приказов (Минфин, ФАС, Минпромторг); Уровень технических и отраслевых стандартов. На конституционном и законодательном уровне закладываются базовые принципы обороны страны и правового режима информации. Конституция Российской Федерации - устанавливает обязанность государства по обеспечению обороны и безопасности, а также права граждан на доступ к информации (с ограничениями, установленными федеральным законом в части государственной тайны). Федеральный закон от 29.12.2012 № 275-ФЗ «О государственном оборонном заказе» - это основополагающий документ, определяющий: понятие государственного оборонного заказа, государственного контракта и идентификатора государственного контракта (ИГК), требования к ведению раздельного учета результатов финансово-хозяйственной деятельности по каждому контракту, правовые основы банковского и казначейского сопровождения, что напрямую определяет требования к платежным и первичным учетным документам, полномочия участников кооперации и контролирующих органов. Закон РФ от 21.07.1993 № 5485-1 «О государственной тайне» — регламентирует порядок отнесения сведений к государственной тайне, их засекречивания и рассекречивания. Для документооборота этот закон важен тем, что устанавливает режим обработки документов с грифами секретности («Особой важности», «Совершенно секретно», «Секретно»), определяя необходимость наличия у организации лицензий ФСБ и ФСТЭК, а также регламентируя допуск сотрудников к работе с такими документами. Федеральный закон от 05.04.2013 № 44-ФЗ «О контрактной системе…» — применяется в части, не противоречащей 275-ФЗ, и регулирует порядок размещения заказов, заключения государственных контрактов и ведения реестра контрактов. Уровень подзаконных актов содержит ключевые регламенты, напрямую определяющие формы документов и правила их составления. Постановление Правительства РФ от 02.12.2017 № 1465 «О государственном регулировании цен на продукцию, поставляемую по государственному оборонному заказу». Данный документ является фундаментом для формирования расчетно-калькуляционных материалов (РКМ). Он устанавливает методы ценообразования (затратный, метод сравнимой цены и др.) и определяет перечень обосновывающих документов, которые исполнитель обязан представить заказчику для подтверждения цены контракта. Документ постоянно актуализируется. Например, Постановлением Правительства № 936 от 23.06.2025 в Положение № 1465 внесены изменения, уточняющие перечень обосновывающих документов при затратном методе, а также вводящие пороговые значения сумм (менее 1 млн руб.), при которых допускается упрощенное представление расчетов. Постановление Правительства РФ от 19.01.1998 № 47 «О Правилах ведения организациями, выполняющими государственный заказ…, раздельного учета результатов финансово-хозяйственной деятельности». Это старейший, но действующий акт, который утверждает правила ведения раздельного учета по ГОЗ. Именно он предписывает: учитывать затраты отдельно по каждому контракту, оформлять первичную учетную документацию (лимитные карты, требования, рабочие наряды) строго на конкретное изделие или работу по ГОЗ, а также утверждает форму отчета об исполнении государственного контракта, который головной исполнитель и соисполнители обязаны представлять государственному заказчику. Этот документ делает прозрачным движение ресурсов (материалов, денег) внутри кооперации. Отсутствие раздельного учета или ошибки в первичных документах (например, списание материалов не на тот контракт) являются прямым нарушением, влекущим административную и уголовную ответственность. Уровень ведомственных приказов детализирует формы документов и правила их заполнения, часто нося узкоспециализированный характер. Приказ ФАС России от 16.12.2022 № 995/22 «Об утверждении формы расчетно-калькуляционных материалов…» - если Постановление № 1465 устанавливает принципы ценообразования, то Приказ № 995 утверждает конкретные формы (таблицы) РКМ, которые исполнитель должен заполнить и передать заказчику. Без заполненных в соответствии с этим приказом форм РКМ заказчик не примет цену, и контракт не будет заключен. Приказ Минпромторга России от 08.02.2022 № 334 «Об утверждении Порядка определения состава затрат, включаемых в себестоимость продукции, поставляемой по государственному оборонному заказу» определяет, какие именно расходы (прямые, косвенные, накладные) могут быть включены в себестоимость продукции ГОЗ. Он тесно связан с Постановлением № 1465 и Приказом № 995. Если № 1465 говорит, как считать прибыль, а № 995 - в какой форме отчитаться, то Приказ № 334 говорит, что именно можно включать в затраты. Это необходимо для корректного документального подтверждения расходов в актах сдачи-приемки и отчетах. Приказ Министра обороны РФ от 08.06.2022 № 329 «Об утверждении Перечня документов, представляемых в Министерство обороны Российской Федерации в составе обосновывающих документов при представлении предложений о цене на продукцию, поставляемую по государственному оборонному заказу…». Приказ издан во исполнение Постановления № 1465 и утверждает конкретный перечень документов (калькуляции, документы по оплате труда, учетная политика, первичные документы по материальным затратам, сведения о кооперации), которые головной исполнитель и участники кооперации обязаны представить в Минобороны для обоснования цены затратным методом. Документ устанавливает единый минимально достаточный состав обосновывающих материалов, что позволяет сократить количество разногласий между исполнителем и государственным заказчиком. Уровень технических и отраслевых стандартов ГОСТ Р 7.0.97-2016 - регламентирует оформление организационно-распорядительной документации (реквизиты, бланки, шрифты). В ГОЗ это важно для единообразия бумаг, особенно тех, которые передаются в военные представительства (ВП). ГОСТ РВ (военные стандарты) - специализированные стандарты, регулирующие вопросы секретного делопроизводства, защиты информации, а также требования к технической документации (конструкторской, технологической), которая часто является предметом поставки по ГОЗ. Таким образом, представленные нормативные акты образуют единую систему, обеспечивающую сквозной контроль за движением документации от момента формирования цены контракта до сдачи итогового отчета о его исполнении. Документооборот в системе ГОЗ охватывает следующие основные группы: контрактная документация (государственные контракты, договоры с соисполнителями, извещения о квотах, протоколы согласования цен, спецификации, ведомости исполнения и т.д.), техническая документация: (технические задания, чертежи, конструкторская и технологическая документация (часто имеющая гриф секретности), акты приемки этапов работ), финансово-отчетная документация (счета и счета-фактуры, акты сдачи-приемки выполненных работ, расчетно-калькуляционные материалы, отчеты о целевом использовании средств), распорядительная документация (приказы, директивы, указания вышестоящих органов), документы по личному составу. Выделяют ряд обязательных принципов организации документооборота: Принцип законности и целевого назначения; Принцип конфиденциальности; Принцип идентификации контрактов; Принцип раздельного учета. Движение каждого документа должно подтверждать, что деньги и ресурсы потрачены именно на нужды обороны, а не на что-то иное. Без корректно оформленного документа операция считается недействительной. Принцип конфиденциальности обеспечивает разделение документооборота на два параллельных потока. Согласно 275-ФЗ, каждый документ должен содержать ИГК. Это обязательное условие для банковского сопровождения и прохождения платежей через уполномоченные банки (ПАО «Банк ПСБ», ВТБ и др.). Исполнители ГОЗ обязаны вести раздельный учет финансово-хозяйственной деятельности по каждому контракту. Это порождает необходимость документооборота, который позволяет четко отделить затраты по гособоронзаказу от затрат по гражданской продукции. С теоретической точки зрения, идеальная модель документооборота в ГОЗ на практике сталкивается с трудностями: бюрократизация (избыточное регулирование приводит к дублированию документов на бумажных и электронных носителях), нестыковка кооперации (головной исполнитель может работать по одним стандартам ЭДО, а соисполнитель по другим, что затрудняет взаимодействие систем), длительные согласования (документы, требующие визирования в разных ведомствах и режимных органах, могут проходить путь неделями), риски безопасности (ошибки в оформлении ведут к срыву финансирования или обвинениям в нецелевом использовании средств).</w:t>
      </w:r>
    </w:p>
    <w:p>
      <w:pPr>
        <w:pStyle w:val="Heading2"/>
        <w:spacing w:lineRule="auto" w:line="360" w:before="0" w:after="0"/>
        <w:jc w:val="both"/>
      </w:pPr>
      <w:r>
        <w:rPr>
          <w:rFonts w:ascii="Times New Roman" w:hAnsi="Times New Roman" w:cs="Times New Roman"/>
          <w:rFonts w:ascii="Times New Roman" w:hAnsi="Times New Roman"/>
          <w:b/>
          <w:sz w:val="28"/>
        </w:rPr>
        <w:t>1.2 Использование обосновывающих документов для определения методов цены на продукцию</w:t>
      </w:r>
    </w:p>
    <w:p>
      <w:pPr>
        <w:spacing w:lineRule="auto" w:line="360" w:before="0" w:after="0"/>
        <w:ind w:firstLine="709"/>
        <w:jc w:val="both"/>
      </w:pPr>
      <w:r>
        <w:rPr>
          <w:rFonts w:ascii="Times New Roman" w:hAnsi="Times New Roman" w:cs="Times New Roman"/>
          <w:rFonts w:ascii="Times New Roman" w:hAnsi="Times New Roman"/>
          <w:b w:val="0"/>
          <w:sz w:val="28"/>
        </w:rPr>
        <w:t>Обосновывающие документы - это комплект материалов, направляемых исполнителем (соисполнителем) государственному заказчику (головному исполнителю, исполнителю) для подтверждения предлагаемой цены на продукцию, поставляемую по государственному оборонному заказу, направляемые организацией государственному заказчику (головному исполнителю, исполнителю) в составе: предложения о переводе вида цены на продукцию в фиксированную цену, предложения о прогнозной цене, предложения о цене на продукцию в рамках определения начальной (максимальной) цены контракта, предложения о цене на продукцию, поставляемую единственным поставщиком. Расчетно-калькуляционные материалы (РКМ) - это комплексный пакет из утвержденных форм с пояснительной документацией, раскрывающий структуру цены на продукцию в гособоронзаказе. В зависимости от выбранного метода ценообразования определяется состав и порядок заполнения РКМ: Затратный метод - цена складывается из себестоимости и нормативной прибыли. Наиболее распространенный. Метод сравнимой цены - цена устанавливается на уровне рыночной цены на аналогичную продукцию. Метод индексации - используется для актуализации ранее согласованных цен с учетом инфляции (индексы-дефляторы). Метод анализа рыночных индикаторов - характерен для биржевых товаров.</w:t>
      </w:r>
    </w:p>
    <w:p>
      <w:pPr>
        <w:pStyle w:val="Heading2"/>
        <w:spacing w:lineRule="auto" w:line="360" w:before="0" w:after="0"/>
        <w:jc w:val="both"/>
      </w:pPr>
      <w:r>
        <w:rPr>
          <w:rFonts w:ascii="Times New Roman" w:hAnsi="Times New Roman" w:cs="Times New Roman"/>
          <w:rFonts w:ascii="Times New Roman" w:hAnsi="Times New Roman"/>
          <w:b/>
          <w:sz w:val="28"/>
        </w:rPr>
        <w:t>1.3 Структура и требования к составу обосновывающих материалов.</w:t>
      </w:r>
    </w:p>
    <w:p>
      <w:pPr>
        <w:spacing w:lineRule="auto" w:line="360" w:before="0" w:after="0"/>
        <w:ind w:firstLine="709"/>
        <w:jc w:val="both"/>
      </w:pPr>
      <w:r>
        <w:rPr>
          <w:rFonts w:ascii="Times New Roman" w:hAnsi="Times New Roman" w:cs="Times New Roman"/>
          <w:rFonts w:ascii="Times New Roman" w:hAnsi="Times New Roman"/>
          <w:b w:val="0"/>
          <w:sz w:val="28"/>
        </w:rPr>
        <w:t>Обосновывающие материалы представляют собой комплект документов, подтверждающих экономическую обоснованность цены на продукцию, поставляемую по государственному оборонному заказу. Основная функция обосновывающих материалов - доказательство экономической обоснованности цены. Основу обосновывающих материалов составляют 23 формы (согласно Приказу ФАС № 995/22), разделенные на несколько функциональных групп (см. таблицу 1). Таблица 1 - Состав и назначение форм обосновывающих материалов</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Номера форм</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Назначение</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Основные документы</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1 (1д)</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Протокол цены единицы продукции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Калькуляции</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 № 2 (2д), № 3 (3д)</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Плановая и отчетная калькуляция затрат</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Материальные затраты</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4-6</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Детализация затрат на сырье, материалы, ПКИ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Работы и услуги сторонних организаций</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 № 7</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Расшифровка затрат на работы и услуги (кооперация, субподряд, сторонние организации)</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Расходы на оплату труда</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Группа форм № 9</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Основная заработная плата, трудоемкость работ</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Прочие затраты</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14-19</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Специальные расходы, командировки, реклама, страхование, услуги сторонних организаций</w:t>
            </w:r>
          </w:p>
        </w:tc>
      </w:tr>
      <w:tr>
        <w:tc>
          <w:tcPr>
            <w:tcW w:type="dxa" w:w="3118"/>
          </w:tcPr>
          <w:p>
            <w:pPr>
              <w:spacing w:lineRule="auto" w:line="360" w:before="0" w:after="0"/>
              <w:jc w:val="both"/>
            </w:pPr>
            <w:r>
              <w:rPr>
                <w:rFonts w:ascii="Times New Roman" w:hAnsi="Times New Roman" w:cs="Times New Roman"/>
                <w:rFonts w:ascii="Times New Roman" w:hAnsi="Times New Roman"/>
                <w:b w:val="0"/>
                <w:sz w:val="28"/>
              </w:rPr>
              <w:t>Прибыль</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 20</w:t>
            </w:r>
          </w:p>
        </w:tc>
        <w:tc>
          <w:tcPr>
            <w:tcW w:type="dxa" w:w="3118"/>
          </w:tcPr>
          <w:p>
            <w:pPr>
              <w:spacing w:lineRule="auto" w:line="360" w:before="0" w:after="0"/>
              <w:jc w:val="both"/>
            </w:pPr>
            <w:r>
              <w:rPr>
                <w:rFonts w:ascii="Times New Roman" w:hAnsi="Times New Roman" w:cs="Times New Roman"/>
                <w:rFonts w:ascii="Times New Roman" w:hAnsi="Times New Roman"/>
                <w:b w:val="0"/>
                <w:sz w:val="28"/>
              </w:rPr>
              <w:t>Расчет прибыли</w:t>
            </w:r>
          </w:p>
        </w:tc>
      </w:tr>
    </w:tbl>
    <w:p/>
    <w:p>
      <w:pPr>
        <w:spacing w:lineRule="auto" w:line="360" w:before="0" w:after="0"/>
        <w:ind w:firstLine="709"/>
        <w:jc w:val="both"/>
      </w:pPr>
      <w:r>
        <w:rPr>
          <w:rFonts w:ascii="Times New Roman" w:hAnsi="Times New Roman" w:cs="Times New Roman"/>
          <w:rFonts w:ascii="Times New Roman" w:hAnsi="Times New Roman"/>
          <w:b w:val="0"/>
          <w:sz w:val="28"/>
        </w:rPr>
        <w:t>Отдельно выделяются общие формы - № 8, 10, 11, 12, 13, 21, 22, 23. Эти формы, содержащие единые для предприятия (или периода) показатели: коэффициенты распределения косвенных расходов (общепроизводственные, общехозяйственные), параметры оплаты труда (тарифы, проценты доплат и взносов), а также обоснование применяемых цен на сырьё, уровень рентабельности и макроэкономические нормативы (ставка ЦБ, налог на прибыль и др.). Эти данные используются как константы при расчёте себестоимости любого конкретного изделия в форме № 2. Дополнительный состав (согласно Приказу Минпромторга № 1652) с 27 сентября 2025 года в состав обосновывающих материалов дополнительно включаются: опись представляемых обосновывающих документов - систематизированный перечень всех направляемых материалов, копии документов (выписки из документов), подтверждающие право подписи обосновывающих документов уполномоченным должностным лицом организации, документ, подтверждающий статус единственного поставщика (при наличии). Кроме того, по запросу Минпромторга России могут предоставляться дополнительные документы в зависимости от используемого метода определения цены на продукцию. Согласно новой редакции Положения № 1465 с 1 января 2026 года все обосновывающие документы представляются на электронном оптическом носителе с усиленной квалифицированной электронной подписью уполномоченного должностного лица организации. Эксперты выделяют три ключевых элемента, которые должны присутствовать в обосновывающих материалах: Расчет - способ получения результата в цифрах (математическая и методическая часть); Подтверждение - документальная база, показывающая, что расчет опирается на реальные данные, а не на предположения; Обоснование - логика, связывающая расчет и документы в единую доказательную конструкцию. Не соблюдение этих принципов - наиболее дорогостоящая ошибка. Формально полный комплект, но без доказательной логики, не выполняет своей главной функции - не убеждает заказчика. Обосновывающие материалы подлежат проверке государственным заказчиком и контролирующими органами (ФАС России, Счетная палата, Росфинмониторинг). Нарушение порядка предоставления или завышение цены может повлечь: отказ в согласовании цены, возврат документов на доработку, административную и уголовную ответственность должностных лиц (ст. 201, 285 УК РФ).</w:t>
      </w:r>
    </w:p>
    <w:p>
      <w:pPr>
        <w:pStyle w:val="Heading2"/>
        <w:spacing w:lineRule="auto" w:line="360" w:before="0" w:after="0"/>
        <w:jc w:val="both"/>
      </w:pPr>
      <w:r>
        <w:rPr>
          <w:rFonts w:ascii="Times New Roman" w:hAnsi="Times New Roman" w:cs="Times New Roman"/>
          <w:rFonts w:ascii="Times New Roman" w:hAnsi="Times New Roman"/>
          <w:b/>
          <w:sz w:val="28"/>
        </w:rPr>
        <w:t>1.4 Анализ существующих решений</w:t>
      </w:r>
    </w:p>
    <w:p>
      <w:pPr>
        <w:spacing w:lineRule="auto" w:line="360" w:before="0" w:after="0"/>
        <w:ind w:firstLine="709"/>
        <w:jc w:val="both"/>
      </w:pPr>
      <w:r>
        <w:rPr>
          <w:rFonts w:ascii="Times New Roman" w:hAnsi="Times New Roman" w:cs="Times New Roman"/>
          <w:rFonts w:ascii="Times New Roman" w:hAnsi="Times New Roman"/>
          <w:b w:val="0"/>
          <w:sz w:val="28"/>
        </w:rPr>
        <w:t>В данный момент на рынке нет готового решения для заполнения необходимых форм. Иногда применяются комплексы прикладных решений на платформе 1С:Предприятие или 1С:ERP и разрабатываются персонализированные программные комплексы, которые используются для обработки и выгрузки данных, но не затрагивают сами формы. Класс специализированных программных комплексов для ТЭО и ценообразования представлен системами, изначально разработанными под требования ПП РФ №1465 и приказы ФАС. Примеры: «АСУ Гоззаказ/Цена», «Лоцман:Планово-экономическое бюро». Характеристики: - Расчёт материальных и трудовых затрат на основе конструкторско-технологической документации (КТД); - Ведение нормативно-справочной базы (ЕТКС, отраслевые нормативы); - Автоматическая индексация цен; - Недостаток: Высокая стоимость владения и длительное внедрение (от 3 мес.). Доработки прикладных решений на платформе «1С:Предприятие» являются наиболее распространённым вариантом для среднего бизнеса. Характеристики: - Прямая выгрузка данных из регистров бухгалтерского учёта (счета 20, 23, 25, 26). - Недостаток: Требует доработки под конкретное предприятие (настройка статей калькуляции). Проведённый анализ показал, что ни одно из решений (специализированное ПО, доработки 1С) в действительности не обеспечивает полноценную автоматизацию заполнения именно Excel-форм, утверждённых приказом № 995/22. Выявленные ограничения носят системный характер.</w:t>
      </w:r>
    </w:p>
    <w:p>
      <w:pPr>
        <w:pStyle w:val="Heading2"/>
        <w:spacing w:lineRule="auto" w:line="360" w:before="0" w:after="0"/>
        <w:jc w:val="both"/>
      </w:pPr>
      <w:r>
        <w:rPr>
          <w:rFonts w:ascii="Times New Roman" w:hAnsi="Times New Roman" w:cs="Times New Roman"/>
          <w:rFonts w:ascii="Times New Roman" w:hAnsi="Times New Roman"/>
          <w:b/>
          <w:sz w:val="28"/>
        </w:rPr>
        <w:t>1.5 Проблематика ручного заполнения форм и анализ типовых ошибок</w:t>
      </w:r>
    </w:p>
    <w:p>
      <w:pPr>
        <w:spacing w:lineRule="auto" w:line="360" w:before="0" w:after="0"/>
        <w:ind w:firstLine="709"/>
        <w:jc w:val="both"/>
      </w:pPr>
      <w:r>
        <w:rPr>
          <w:rFonts w:ascii="Times New Roman" w:hAnsi="Times New Roman" w:cs="Times New Roman"/>
          <w:rFonts w:ascii="Times New Roman" w:hAnsi="Times New Roman"/>
          <w:b w:val="0"/>
          <w:sz w:val="28"/>
        </w:rPr>
        <w:t>Ручное внесение данных в формы создает "человеческий фактор" на стыке разных учетных систем. Отсутствие привязки к учету. Работник вынужден переносить данные из учетных регистров (1С, Excel) в форму вручную. Это приводит к опечаткам в суммах или неверному переносу данных по строкам (например, путаница между затратами на материалы и покупные комплектующие). Несоответствие периодов учета. В Форме 3 предусмотрены графы для разных отчетных периодов, а также необходимость добавления столбцов, если технологический цикл превышает год. При ручном заполнении легко ошибиться, указав данные нарастающим итогом вместо годовых срезов, или забыть добавить нужные графы. Отрыв плана от факта. Форма 3 предполагает одновременное заполнение графы 3 «План» и графы 4 «Факт». При ручном вводе часто теряется логическая связь: экономист заполняет план, бухгалтер — факт. Если не свести их в одном файле, итоговый документ будет содержать несопоставимые данные.</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Rule="auto" w:line="36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Rule="auto" w:line="36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