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Heading1"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3 Разработка и реализация системы автоматизированного заполнения документов</w:t>
      </w:r>
    </w:p>
    <w:p>
      <w:pPr>
        <w:pStyle w:val="Heading2"/>
        <w:spacing w:lineRule="auto" w:line="360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3.1 Обоснование инструментальных средств разработки системы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Выбор технологического стека определялся требованиями к надёжности серверных расчётов, зрелости экосистемы и возможности интеграции с форматом Excel. Для серверной части выбран Java 21 и Spring Boot 3.3.5. Java обеспечивает строгую типизацию, что снижает риск ошибок при работе с BigDecimal в финансовых расчётах; Spring Boot предоставляет готовую инфраструктуру для REST API, JPA, валидации и тестирования, сокращая объём шаблонного кода.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Spring Data JPA выбран для доступа к PostgreSQL, поскольку доменная модель содержит устойчивые сущности (Document, DocumentEntry, ReferenceMaterial, ReferenceSupplier, справочники разделов) и отношения один-ко-многим. Flyway использован для версионирования схемы БД: миграция V1 создаёт базовую модель, V2 деактивирует исключённые разделы, V3 добавляет таблицы reference_supplier и reference_material с индексами для поиска и ограничениями уникальности. Такой подход обеспечивает воспроизводимость окружения при развёртывании на стендах разработки и приёмки.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PostgreSQL 15 выбран как промышленная СУБД с поддержкой JSONB, ограничений CHECK и GIN-индексов. Хранение полей строки в JSONB позволяет эволюционировать каноническую модель без частых DDL-изменений, что важно на этапе уточнения маппинга граф форм.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Для клиентской части применены React 18 и TypeScript 5.6. React обеспечивает компонентную модель, удобную для пошагового мастера с локальным состоянием и условным рендерингом полей. TypeScript повышает надёжность интеграции с API за счёт статической типизации DTO. Сборщик Vite 5.4 ускоряет цикл разработки и предоставляет проксирование /api на backend в dev-режиме.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Экспорт реализован с помощью Apache POI 5.4.1. Библиотека позволяет открывать существующий XLSX-шаблон из classpath (export-template.xlsx) и записывать значения в заданные ячейки, не разрушая стили и объединения. Альтернативы (генерация книги «с нуля», CSV-выгрузка) отклонены, поскольку не удовлетворяют требованию визуальной идентичности с утверждённым бланком.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Средства контроля качества включают JUnit и Spring Boot Test для API-тестов (DocumentControllerWebTest), а также специализированные тесты структуры экспорта (ExportTemplateStructureTest). OpenAPI (springdoc) применяется для синхронизации контракта API с документацией и фронтенд-клиентом.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Java 21 выбрана как LTS-версия с поддержкой современных языковых конструкций (records, pattern matching), используемых в DTO API. Spring Boot 3.3 работает на базе Jakarta EE 10, что обеспечивает совместимость с долгосрочной поддержкой корпоративного стека. В отличие от микрофреймворков (Spark, Javalin), Spring предоставляет готовую интеграцию JPA, validation и exception handling, сократив время разработки MVP до девяти завершённых ТЗ.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React выбран вместо классического JSF/Thymeleaf, поскольку мастер ввода требует динамического изменения набора полей без перезагрузки страницы. Альтернатива Vue.js была допустима, однако TypeScript-экосистема React в сочетании с Vite обеспечила более быструю настройку прокси и HMR при разработке TZ-007 и TZ-008.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PostgreSQL предпочтён MySQL/MariaDB из-за выразительности JSONB и строгой проверки ограничений. MS SQL Server не рассматривался ввиду лицензионных ограничений учебного стенда. SQLite отклонён как несоответствующий многопользовательской эксплуатации.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Apache POI выбран вместо JExcelAPI и docx4j (последний ориентирован на Word). Библиотека активно поддерживается, совместима с Office Open XML и позволяет открывать поток из classpath без промежуточного копирования на диск. Недостаток POI — повышенное потребление памяти при больших шаблонах; для шаблона форм 4/5/6 размером в пределах нескольких мегабайт это не критично.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Инструменты разработки: IntelliJ IDEA / VS Code, Git, Maven Wrapper, npm. Документирование API — springdoc-openapi-starter-webmvc-ui. Тесты запускаются через mvn test в CI-пайплайне.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Maven выбран как стандарт сборки Java-проектов в корпоративной среде. Файл pom.xml фиксирует версии spring-boot-starter-parent 3.3.5, зависимости spring-boot-starter-web, data-jpa, validation, flyway, postgresql, poi-ooxml, springdoc. Плагин spring-boot-maven-plugin формирует исполняемый jar. Wrapper не обязателен при установленном Maven 3.9+.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Vite выбран вместо Create React App ввиду более быстрой сборки и нативной поддержки TypeScript. Конфигурация vite.config.ts задаёт proxy: { '/api': 'http://localhost:8080' }, что позволяет frontend обращаться к backend без настройки CORS в dev.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Flyway-миграции версионированы префиксом V и двойным подчёркиванием. Скрипт V1 создаёт шесть таблиц и начальные справочники разделов; V2 выполняет UPDATE active=false для return_waste_f4/f5; V3 создаёт reference_supplier и reference_material с CHECK на формат ИНН, частичными уникальными индексами и индексами для полнотекстового поиска по подстроке. Откат миграций в MVP не автоматизирован — допустимо для учебного проекта.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Выбор BigDecimal вместо double на сервере обоснован требованием точности денежных расчётов. Double мог бы давать артефакты 0.30000000004 при суммировании, недопустимые в отчётности ГОЗ.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91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3_tech_st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91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Рисунок 3.1 – Стек технологий разработанной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Критерий выбора</w:t>
            </w:r>
          </w:p>
        </w:tc>
        <w:tc>
          <w:tcPr>
            <w:tcW w:type="dxa" w:w="187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Java/Spring</w:t>
            </w:r>
          </w:p>
        </w:tc>
        <w:tc>
          <w:tcPr>
            <w:tcW w:type="dxa" w:w="187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React/TS</w:t>
            </w:r>
          </w:p>
        </w:tc>
        <w:tc>
          <w:tcPr>
            <w:tcW w:type="dxa" w:w="187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PostgreSQL</w:t>
            </w:r>
          </w:p>
        </w:tc>
        <w:tc>
          <w:tcPr>
            <w:tcW w:type="dxa" w:w="187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Apache POI</w:t>
            </w:r>
          </w:p>
        </w:tc>
      </w:tr>
      <w:tr>
        <w:tc>
          <w:tcPr>
            <w:tcW w:type="dxa" w:w="187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Зрелость экосистемы</w:t>
            </w:r>
          </w:p>
        </w:tc>
        <w:tc>
          <w:tcPr>
            <w:tcW w:type="dxa" w:w="187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высокая</w:t>
            </w:r>
          </w:p>
        </w:tc>
        <w:tc>
          <w:tcPr>
            <w:tcW w:type="dxa" w:w="187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высокая</w:t>
            </w:r>
          </w:p>
        </w:tc>
        <w:tc>
          <w:tcPr>
            <w:tcW w:type="dxa" w:w="187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высокая</w:t>
            </w:r>
          </w:p>
        </w:tc>
        <w:tc>
          <w:tcPr>
            <w:tcW w:type="dxa" w:w="187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средняя</w:t>
            </w:r>
          </w:p>
        </w:tc>
      </w:tr>
      <w:tr>
        <w:tc>
          <w:tcPr>
            <w:tcW w:type="dxa" w:w="187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Типизация расчётов</w:t>
            </w:r>
          </w:p>
        </w:tc>
        <w:tc>
          <w:tcPr>
            <w:tcW w:type="dxa" w:w="187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BigDecimal</w:t>
            </w:r>
          </w:p>
        </w:tc>
        <w:tc>
          <w:tcPr>
            <w:tcW w:type="dxa" w:w="187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на клиенте preview</w:t>
            </w:r>
          </w:p>
        </w:tc>
        <w:tc>
          <w:tcPr>
            <w:tcW w:type="dxa" w:w="187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CHECK/JSONB</w:t>
            </w:r>
          </w:p>
        </w:tc>
        <w:tc>
          <w:tcPr>
            <w:tcW w:type="dxa" w:w="187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Скорость разработки UI</w:t>
            </w:r>
          </w:p>
        </w:tc>
        <w:tc>
          <w:tcPr>
            <w:tcW w:type="dxa" w:w="187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187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высокая</w:t>
            </w:r>
          </w:p>
        </w:tc>
        <w:tc>
          <w:tcPr>
            <w:tcW w:type="dxa" w:w="187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187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Сохранение макета Excel</w:t>
            </w:r>
          </w:p>
        </w:tc>
        <w:tc>
          <w:tcPr>
            <w:tcW w:type="dxa" w:w="187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187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187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1871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да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Сравнительный анализ альтернатив (чистый Node.js backend, генерация DOCX вместо XLSX, хранение строк в отдельных колонках реляционной таблицы) показал, что выбранный стек обеспечивает наилучший баланс между соответствием регламенту Excel и скоростью итераций MVP.</w:t>
      </w:r>
    </w:p>
    <w:p>
      <w:pPr>
        <w:pStyle w:val="Heading2"/>
        <w:spacing w:lineRule="auto" w:line="360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3.2 Описание работы программы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Пользовательский сценарий начинается с открытия веб-приложения core-form-frontend. На шаге 1 мастера пользователь вводит общие данные: наименование и шифр ТРУ (в UI объединены в одно поле), этап выполнения, отчётный и плановый год. При нажатии «Сохранить черновик» frontend вызывает POST /api/v1/documents (для нового документа) или PATCH /api/v1/documents/{id}/common (для существующего). Backend сохраняет запись в таблицах document и document_common_info, возвращает UUID документа.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шаге 2 пользователь выбирает раздел из справочника GET /api/v1/dictionaries. Интерфейс отображает вычисленные атрибуты: номер формы (4, 5 или 6), номер раздела, прогнозируемый rowNo. Пользователь заполняет поля col2–col10, col13_1, col13_2, col14, col15 в зависимости от типа формы. Поля col2, col14 и col15 реализованы с автодополнением: компонент AutocompleteInput выполняет отложенный запрос к /reference-data/materials/search или /reference-data/suppliers/search; при выборе подсказки связанные графы заполняются автоматически (коды материала или реквизиты поставщика). Кнопка «Справочники» открывает модальное окно ReferenceDataManager для прямого добавления, редактирования и удаления записей без прерывания работы с документом. Поля col11 и col12 отображаются как только для чтения: клиент может показывать предварительный расчёт, но итоговые значения фиксируются на сервере при POST или PATCH /entries; одновременно вызывается syncFromEntryFields для пополнения справочников.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Таблица введённых строк поддерживает фильтрацию по разделу, форме и статусу валидации. Доступны действия редактирования, дублирования и удаления. При удалении backend перенумеровывает оставшиеся строки раздела через EntryRowNumberService, сохраняя непрерывность нумерации.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Шаг 3 выполняет параллельные запросы GET /entries и GET /totals. UI отображает карточки агрегатов по каждой форме и список строк со статусом INVALID. Если preview не актуален (данные менялись после последнего просмотра), кнопка экспорта заблокирована. При подтверждении пользователь инициирует POST /documents/{id}/export с параметрами format=xlsx и mode=fill_template. Сервис XlsxTemplateExportService загружает шаблон, заполняет общий блок и строки согласно mapping-spec, возвращает массив байтов. Файл сохраняется во временное хранилище ExportFileStore и отдаётся клиенту через GET /files/{fileId}.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Обработка ошибок унифицирована: ApiExceptionHandler формирует конверт ErrorEnvelope с кодом VALIDATION_ERROR, NOT_FOUND, CONFLICT или INTERNAL_ERROR. Frontend отображает сообщения пользователю и подсвечивает проблемные поля, что сокращает время исправления данных перед повторным экспортом.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Реализация backend сосредоточена в классе DocumentApiService, который координирует транзакции, валидацию, расчёт computed-полей, синхронизацию справочников через ReferenceDataService и делегирует экспорт XlsxTemplateExportService. Контроллеры DocumentController и ReferenceDataController остаются тонким слоем маршрутизации без бизнес-логики. На frontend основная логика сосредоточена в App.tsx, включая управление шагами, dirty-state, блокировку beforeunload при несохранённых изменениях и интеграцию AutocompleteInput; компонент ReferenceDataManager инкапсулирует CRUD справочников.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Модуль core-form-service стартует из класса jd.ru.App. При запуске Spring Boot поднимает embedded Tomcat на порту 8080 (application.yml), применяет Flyway-миграции и публикует Swagger UI. DocumentController регистрирует endpoint'ы работы с документами; ReferenceDataController — десять endpoint'ов справочников по пути /api/v1/reference-data (поиск, список, создание, обновление, удаление для suppliers и materials). Каждый метод делегирует вызов DocumentApiService или ReferenceDataService, оборачивая ответы в ResponseEntity с корректными HTTP-кодами.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Создание документа (POST /documents) генерирует UUID, сохраняет статус draft, создаёт связанную запись common info. Поле truCode в MVP может быть пустой строкой при объединённом вводе наименования и шифра в UI — данное упрощение задокументировано в API_SPEC. Обновление common (PATCH) валидирует годы и обязательные строковые поля через Jakarta Validation.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Операция добавления строки (POST /entries) выполняет цепочку: resolve sectionKey → reject excluded → validate decimals → validate INN → compute col11/col12 → assign rowNo → persist → syncFromEntryFields → return UpsertEntryResponse с validationStatus. Обновление (PATCH) запрещает изменение sectionKey, чтобы не нарушить историю нумерации и привязку к форме; после сохранения также вызывается syncFromEntryFields.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Метод exportDocument проверяет format=xlsx и mode=fill_template, загружает все строки документа без фильтра, передаёт в XlsxTemplateExportService. Сервис экспорта определяет листы по синонимам названий («Форма 4», «Ф.4» и т.д.), заполняет ячейки, возвращает byte[]. ExportFileStore сохраняет файл под fileId с TTL для последующей загрузки.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Frontend App.tsx управляет состоянием currentStep (1..3), documentId, entries[], totals, previewReadyForExport, referenceDataOpen. API-клиент client.ts реализует функции createDocument, updateCommon, listEntries, upsertEntry, deleteEntry, getTotals, exportDocument, downloadFile, а также searchSuppliers, searchMaterials, listSuppliers, listMaterials и CRUD справочников. Типы в types/api.ts синхронизированы с OpenAPI-спецификацией.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Особенности шага 2: динамическая форма отображает разный набор подсказок для форм 4/5 и 6; col11/col12 подсвечиваются как вычисляемые; поля col2, col14 и col15 используют AutocompleteInput с поддержкой клавиш ArrowUp/ArrowDown, Enter и Escape; при дублировании строки создаётся копия fields без rowNo. Особенности шага 3: параллельный fetch entries и totals через Promise.all; список invalid-строк с кнопкой «Исправить» переводит на шаг 2 с выделением entryId.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Полный перечень REST endpoint документов (DocumentController): POST /api/v1/documents; GET /api/v1/documents/{id}; PATCH /api/v1/documents/{id}/common; POST /api/v1/documents/{id}/entries; PATCH /api/v1/documents/{id}/entries/{entryId}; DELETE /api/v1/documents/{id}/entries/{entryId}; GET /api/v1/documents/{id}/entries с query sectionKey, derivedFormNo, status; GET /api/v1/documents/{id}/totals; GET /api/v1/dictionaries; POST /api/v1/documents/{id}/export; GET /api/v1/files/{fileId}. Контур справочников (ReferenceDataController): GET /reference-data/suppliers/search и /materials/search; GET /reference-data/suppliers и /materials; POST, PATCH, DELETE для каждой сущности по id.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Структура JSON fields строки: col2 (наименование), col3–col10 (числовые и текстовые графы по форме), col13_1, col13_2 (код и расшифровка условия закупки), col14 (дополнительный показатель), col15 (ИНН поставщика). Структура computed: col11, col12 как числа с двумя знаками после запятой.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Алгоритм exportFilledTemplate: 1) открыть InputStream шаблона из classpath; 2) для каждого листа формы найти таблицу данных; 3) записать common block в фиксированные ячейки; 4) для каждой entry с matching section записать row в следующую свободную строку; 5) записать totals в итоговые ячейки; 6) вернуть ByteArrayOutputStream.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Состояния UI шага 2: режим «добавление» (пустая форма), режим «редактирование» (заполнение из selectedEntry), режим «дублирование» (копия fields без id), режим «управление справочниками» (модальное окно ReferenceDataManager поверх шага 2). Переключение сбрасывает dirty-флаг только после успешного ответа API. Компонент AutocompleteInput реализует debounce 250 мс, закрытие списка при клике вне поля и атрибуты доступности role=combobox, aria-expanded, aria-controls.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Логирование: стандартный Spring Boot logging уровня INFO для запросов; ошибки валидации не логируются как ERROR, чтобы не засорять журнал ожидаемыми пользовательскими ошибками.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9661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ui_wiz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66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Рисунок 3.2 – Пользовательский мастер ввода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Шаг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Действие пользователя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API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Таблицы БД</w:t>
            </w:r>
          </w:p>
        </w:tc>
      </w:tr>
      <w:tr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1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Ввод общих данных ТРУ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POST/PATCH /documents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document, document_common_info</w:t>
            </w:r>
          </w:p>
        </w:tc>
      </w:tr>
      <w:tr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2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Добавление строки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POST /entries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document_entry, reference_*</w:t>
            </w:r>
          </w:p>
        </w:tc>
      </w:tr>
      <w:tr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2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Автозаполнение материала/поставщика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GET .../reference-data/.../search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reference_material, reference_supplier</w:t>
            </w:r>
          </w:p>
        </w:tc>
      </w:tr>
      <w:tr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2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Управление справочниками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POST/PATCH/DELETE /reference-data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reference_material, reference_supplier</w:t>
            </w:r>
          </w:p>
        </w:tc>
      </w:tr>
      <w:tr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2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Редактирование/удаление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PATCH/DELETE /entries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document_entry</w:t>
            </w:r>
          </w:p>
        </w:tc>
      </w:tr>
      <w:tr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Предпросмотр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GET /entries, GET /totals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агрегация в сервисе</w:t>
            </w:r>
          </w:p>
        </w:tc>
      </w:tr>
      <w:tr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Экспорт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POST /export, GET /files</w:t>
            </w:r>
          </w:p>
        </w:tc>
        <w:tc>
          <w:tcPr>
            <w:tcW w:type="dxa" w:w="2339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export-template.xlsx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Взаимодействие компонентов при экспорте иллюстрируется диаграммой последовательности на рисунке 3.2. Запрос на формирование файла инициируется только после актуализации предпросмотра, что предотвращает выгрузку устаревших данных.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059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_export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05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Рисунок 3.3 – Диаграмма последовательности экспорта XLSX</w:t>
      </w:r>
    </w:p>
    <w:p>
      <w:pPr>
        <w:spacing w:lineRule="auto" w:line="360" w:before="0" w:after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color w:val="FF0000"/>
          <w:sz w:val="28"/>
        </w:rPr>
        <w:t>(ВСТАВИТЬ СКРИНШОТ: ШАГ 2 МАСТЕРА — АВТОЗАПОЛНЕНИЕ И СПРАВОЧНИКИ)</w:t>
      </w:r>
    </w:p>
    <w:p>
      <w:pPr>
        <w:spacing w:lineRule="auto" w:line="360" w:before="0" w:after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Рисунок 3.4 – Интерфейс автозаполнения и окна «Справочники» (шаг 2 мастера)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Ключевые классы реализации backend: DocumentController (работа с документами), ReferenceDataController (справочники), DocumentApiService (транзакции, валидация, syncFromEntryFields), ReferenceDataService (CRUD и поиск), XlsxTemplateExportService (заполнение шаблона), EntryRowNumberService (нумерация). Frontend реализует типизированный клиент api/client.ts, компоненты AutocompleteInput и ReferenceDataManager, а также единый компонент App.tsx с управлением состоянием шагов и таблицей строк.</w:t>
      </w:r>
    </w:p>
    <w:p>
      <w:pPr>
        <w:pStyle w:val="Heading2"/>
        <w:spacing w:lineRule="auto" w:line="360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3.3 Системные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Минимальные требования к серверу приложений: 64-разрядная ОС (Windows Server 2019+, Linux Ubuntu 22.04+), 2 ядра CPU, 4 ГБ RAM, 10 ГБ свободного дискового пространства (с учётом БД и временных файлов экспорта). Рекомендуется 4 ядра и 8 ГБ RAM при одновременной работе до 20 пользователей в учебно-опытной эксплуатации.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Требования к СУБД: PostgreSQL 15+, отдельный том для данных, резервное копирование по расписанию (pg_dump или снапшоты СХД). Кодировка UTF-8. Сетевой доступ к порту 5432 ограничивается подсетью приложения.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Требования к рабочему месту пользователя: современный браузер (Chromium 120+, Firefox 115+, Edge 120+), разрешение экрана не ниже 1366×768, постоянное сетевое соединение с сервером frontend. Клиентские вычислительные ресурсы минимальны, поскольку расчёты выполняются на сервере.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Программные зависимости backend: JDK 21, Maven 3.9+. Программные зависимости frontend: Node.js 20+, npm 10+. Для сборки backend используется команда mvn -q package, для запуска dev-режима frontend — npm run dev с проксированием API на localhost:8080.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Требования к развёртыванию MVP: переменные окружения для подключения к БД (DB_URL, DB_USER, DB_PASSWORD), путь к шаблону экспорта (app.export.template-path), настройка CORS при размещении frontend и backend на разных origin. Аутентификация в MVP не требуется; для промышленной эксплуатации рекомендуется дополнить контур SSO, журналированием действий и разграничением ролей «экономист / согласующий / администратор».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Требования к сопровождению: версионирование API (/api/v1), миграции Flyway при изменении схемы (включая V3 для справочников), регрессионные тесты экспорта при обновлении шаблона Excel. Документация API публикуется через Swagger UI (теги Document и Reference Data), пользовательские сценарии — в UI_SPEC.md и BPMN-project-processes.md.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Аппаратная конфигурация стенда разработки (фактическая): ПК с 16 ГБ RAM, 8 логических ядер CPU, SSD 512 ГБ; ОС Windows 11. Backend и PostgreSQL запускались локально; frontend — через Vite dev-server на порту 5173. Данная конфигурация избыточна для MVP, но обеспечивает комфортную разработку с параллельным запуском IDE, браузера и СУБД.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Сетевая топология учебного стенда: localhost-only. В промышленной топологии рекомендуется reverse proxy (nginx) с TLS-терминацией, отдельная подсеть для PostgreSQL, ограничение Swagger UI административной сетью.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Программные зависимости зафиксированы в pom.xml и package.json. Backend требует Java 21 (toolchains.xml). Frontend — Node 20 LTS. База данных — PostgreSQL 15 с расширением uuid-ossp при необходимости генерации UUID на стороне БД (в MVP UUID генерирует приложение).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Эксплуатационные процедуры: резервное копирование таблиц document* и dictionary*; мониторинг дискового пространства ExportFileStore; ротация логов Spring Boot. Процедуры выходят за рамки MVP, но включены в рекомендации для внедрения на предприятии ОПК.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Качество и приёмка: интеграционные сценарии TZ-009 подтверждают сквозной путь BP-01. Unit- и web-тесты backend покрывают контроллер и структуру экспорта. Frontend на этапе MVP проверялся вручную по чек-листу UI_SPEC.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Клиентские ОС: Windows 10/11, macOS 13+, Linux с графическим браузером. Мобильные браузеры не поддерживаются официально — таблица строк требует ширины desktop.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Серверные ОС: Linux предпочтителен для production; Windows Server допустим для пилотного внедрения. Требуется установленный JRE/JDK 21 для запуска jar.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Безопасность MVP: отсутствует аутентификация — документ доступен любому, кто знает UUID (security through obscurity). Для production обязательны: OAuth2/OIDC, проверка прав на documentId, HTTPS, маскирование ИНН в логах.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Масштабирование: вертикальное (увеличение RAM/CPU) достаточно для сотен документов; горизонтальное требует вынесения ExportFileStore в S3-совместимое хранилище и sticky sessions или stateless export.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Мониторинг: рекомендуется Spring Boot Actuator с endpoints health, metrics; алерт при ошибках 5xx &gt; 1% запросов.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Категория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Минимум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Рекомендуется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Сервер CPU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2 ядра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4 ядра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Сервер RAM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4 ГБ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8 ГБ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Диск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10 ГБ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50 ГБ SSD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СУБД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PostgreSQL 15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PostgreSQL 16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Браузер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Chromium 120+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актуальный LTS</w:t>
            </w:r>
          </w:p>
        </w:tc>
      </w:tr>
      <w:tr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Сеть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100 Мбит/с</w:t>
            </w:r>
          </w:p>
        </w:tc>
        <w:tc>
          <w:tcPr>
            <w:tcW w:type="dxa" w:w="3118"/>
          </w:tcPr>
          <w:p>
            <w:pPr>
              <w:spacing w:lineRule="auto" w:line="360" w:before="0" w:after="0"/>
              <w:jc w:val="both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1 Гбит/с в ЛВС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Для локальной разработки достаточно JDK 21, Maven 3.9+, Node.js 20+ и экземпляра PostgreSQL на localhost:5432. Команды запуска: mvn spring-boot:run в каталоге core-form-service и npm run dev в каталоге frontend. Прокси Vite перенаправляет /api на порт 8080, что исключает проблемы CORS в dev-режиме.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Перспективы развития системы включают: подключение аутентификации и аудита действий; поддержку форм 1, 2, 7 и 20; активацию разделов возвратных отходов; автосохранение черновика; импорт справочников из внешних систем учёта; версионирование шаблонов Excel при изменении приказа ФАС. Данные направления зафиксированы как открытые вопросы в реестре ТЗ и не входят в scope текущего MVP.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Rule="auto" w:line="3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Rule="auto" w:line="3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