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ЗАКЛЮЧЕНИЕ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выпускной квалификационной работе решена задача снижения трудоёмкости и ошибок при подготовке обосновывающих материалов по материальным затратам в системе государственного оборонного заказа. Объектом автоматизации выступили регламентированные формы № 4, 5 и 6, утверждённые приказом ФАС России от 16.12.2022 № 995/22. Предметом разработки стал программный комплекс, обеспечивающий единый ввод данных, серверные расчёты и выгрузку заполненного пакета в формате Excel без нарушения утверждённого макета.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первой главе рассмотрены теоретические основы документооборота ГОЗ, нормативная база ценообразования и проблематика ручного заполнения форм. Установлено, что ключевые риски ручного процесса связаны с человеческим фактором, рассинхронизацией плановых и фактических данных и отсутствием сквозной проверки итогов. Анализ существующих программных решений показал, что они либо ориентированы на смежные учётные задачи без прямой поддержки Excel-форм № 995/22, либо требуют длительного и дорогостоящего внедрения.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Во второй главе выполнено моделирование бизнес-процессов подготовки документации в нотации BPMN 2.0 (BP-01, BP-02, BP-03), сформированы функциональные и нефункциональные требования к системе, обоснована трёхзвенная архитектура «React SPA — Spring Boot — PostgreSQL» и спроектирована логика расчётов материальных затрат. Разработанная расчётная модель воспроизводит формулы граф 11 и 12, правила агрегирования итогов по формам 4, 5 и 6, а также проверки формата числовых полей и ИНН поставщика. Спроектированы справочники reference_material и reference_supplier с поиском для автозаполнения и автоматической синхронизацией при сохранении строки. Отдельно зафиксирован принцип fill_template при экспорте, гарантирующий сохранение структуры утверждённого шаблона.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третьей главе реализован MVP программного комплекса Project-A, включающего backend-модуль core-form-service и frontend-приложение с трёхшаговым мастером ввода. Подтверждена работоспособность REST API (создание документа, CRUD универсальных строк, расчёт totals, экспорт XLSX, управление справочниками и поиск для автодополнения), интеграции с PostgreSQL через Flyway-миграции (включая V3 для справочников) и заполнения Excel-шаблона средствами Apache POI. Компоненты AutocompleteInput и ReferenceDataManager обеспечивают ускоренный ввод повторяющихся реквизитов материалов и поставщиков. Приёмочные сценарии TZ-009 подтвердили корректность сквозного процесса от ввода общих данных до скачивания итогового файла.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Практическая значимость работы заключается в сокращении времени подготовки пакета форм 4/5/6 за счёт консолидации ввода в едином интерфейсе, автоматического пересчёта производных показателей, повторного использования накопленных справочников реквизитов и блокировки экспорта при наличии невалидных строк. Разработанное решение может использоваться на предприятиях ОПК — участниках кооперации ГОЗ в качестве рабочего инструмента экономиста на этапе формирования расчётно-калькуляционных материалов.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ходе разработки достигнуты следующие результаты: - спроектирован и описан бизнес-процесс автоматизированного заполнения форм 4, 5 и 6, включая работу со справочниками; - разработана каноническая модель данных документа-пакета с универсальной строкой ввода; - реализованы справочники материалов и поставщиков с поиском, автозаполнением и автосинхронизацией при сохранении строк; - реализован серверный контур валидации и расчётов, исключающий расхождение итогов; - обеспечен экспорт в XLSX с сохранением макета регламентных бланков; - подготовлена проектная документация (ТЗ, BPMN, API_SPEC, UI_SPEC) и набор автотестов.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Направления дальнейшего развития системы: внедрение аутентификации и ролевой модели; расширение scope на формы 1, 2, 7 и 20; активация разделов возвратных отходов; автосохранение черновика; импорт справочников из учётных систем предприятия; версионирование шаблонов при изменении нормативных актов; интеграция с учётными системами для автоматического подтягивания фактических цен и объёмов.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Таким образом, цель выпускной квалификационной работы — разработка системы автоматизированного заполнения регламентированных форм материальных затрат при ценообразовании в рамках ГОЗ — достигнута. Полученный программный комплекс соответствует сформулированным требованиям MVP и может служить основой для промышленного внедрения после доработки подсистем безопасности и расширения функционального охвата.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