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pPr>
        <w:pStyle w:val="Heading1"/>
        <w:spacing w:lineRule="auto" w:line="360" w:before="0" w:after="0"/>
        <w:jc w:val="center"/>
      </w:pPr>
      <w:r>
        <w:rPr>
          <w:rFonts w:ascii="Times New Roman" w:hAnsi="Times New Roman" w:cs="Times New Roman"/>
          <w:rFonts w:ascii="Times New Roman" w:hAnsi="Times New Roman"/>
          <w:b/>
          <w:sz w:val="28"/>
        </w:rPr>
        <w:t>СПИСОК ЛИТЕРАТУРЫ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 О государственном оборонном заказе : федер. закон от 29.12.2012 № 275-ФЗ (ред. от 24.06.2025) // Собрание законодательства РФ. — 2012. — № 53 (ч. I). — Ст. 760.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2 О государственном регулировании цен на продукцию, поставляемую по государственному оборонному заказу, и о внесении изменений и признании утратившими силу некоторых актов Правительства Российской Федерации : постановление Правительства РФ от 02.12.2017 № 1465 (ред. от 23.06.2025) // Собрание законодательства РФ. — 2017. — № 50. — Ст. 7566.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3 Об утверждении формы расчётно-калькуляционных материалов, состава расчётно-калькуляционных материалов, порядка их заполнения, а также форм и правил заполнения ими отдельных обосновывающих документов, включаемых в расчётно-калькуляционные материалы : приказ ФАС России от 16.12.2022 № 995/22 (ред. от 12.09.2023) // Официальный интернет-портал правовой информации. — URL: http://publication.pravo.gov.ru (дата обращения: 05.06.2026).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4 Об утверждении Порядка определения состава затрат, включаемых в себестоимость продукции, поставляемой по государственному оборонному заказу : приказ Минпромторга России от 08.02.2019 № 334 (ред. от 27.09.2025) // Официальный интернет-портал правовой информации. — URL: http://publication.pravo.gov.ru (дата обращения: 05.06.2026).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5 ГОСТ Р 7.0.97-2016. Система стандартов по информации, библиотечному и издательскому делу (СИБИД). Организационно-распорядительная документация. Требования к оформлению документов. — М. : Стандартинформ, 2017. — 27 с.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6 Гагарина, Л. Г. Разработка и эксплуатация автоматизированных систем в сфере экономики : учеб. пособие / Л. Г. Гагарина, Е. В. Кокорева, Б. М. Виснадель. — М. : Форум : Инфра-М, 2022. — 384 с.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7 Соммервилл, И. Инженерия программного обеспечения / И. Соммервилл ; пер. с англ. — 11-е изд. — М. : Вильямс, 2022. — 688 с.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8 Фаулер, М. Архитектура корпоративных программных приложений / М. Фаулер ; пер. с англ. — М. : Вильямс, 2021. — 544 с.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9 Business Process Model and Notation (BPMN) Version 2.0.2 [Электронный ресурс] / Object Management Group. — URL: https://www.omg.org/spec/BPMN/2.0.2 (дата обращения: 05.06.2026).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10 OpenAPI Specification Version 3.1.0 [Электронный ресурс]. — URL: https://spec.openapis.org/oas/v3.1.0 (дата обращения: 05.06.2026).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11 Spring Boot Reference Documentation [Электронный ресурс]. — URL: https://docs.spring.io/spring-boot/reference/ (дата обращения: 05.06.2026).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12 React Documentation [Электронный ресурс]. — URL: https://react.dev/ (дата обращения: 05.06.2026).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13 PostgreSQL 15 Documentation [Электронный ресурс]. — URL: https://www.postgresql.org/docs/15/ (дата обращения: 05.06.2026).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14 Apache POI — the Java API for Microsoft Documents [Электронный ресурс]. — URL: https://poi.apache.org/ (дата обращения: 05.06.2026).</w:t>
      </w:r>
    </w:p>
    <w:p>
      <w:pPr>
        <w:spacing w:lineRule="auto" w:line="360"/>
        <w:ind w:hanging="709" w:left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sz w:val="28"/>
        </w:rPr>
        <w:t>15 Java Platform, Standard Edition Documentation [Электронный ресурс] / Oracle. — URL: https://docs.oracle.com/en/java/ (дата обращения: 05.06.2026).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Rule="auto" w:line="36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Rule="auto" w:line="36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