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15A8" w14:textId="77777777" w:rsidR="004E12E3" w:rsidRPr="004E12E3" w:rsidRDefault="004E12E3" w:rsidP="004E12E3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385623" w:themeColor="accent6" w:themeShade="80"/>
        </w:rPr>
      </w:pPr>
      <w:r w:rsidRPr="004E12E3">
        <w:rPr>
          <w:rFonts w:ascii="Times New Roman" w:hAnsi="Times New Roman" w:cs="Times New Roman"/>
          <w:b/>
          <w:bCs/>
          <w:color w:val="385623" w:themeColor="accent6" w:themeShade="80"/>
        </w:rPr>
        <w:t>Loan Default Prediction Report</w:t>
      </w:r>
    </w:p>
    <w:p w14:paraId="3A76327A" w14:textId="6A1A4DAF" w:rsidR="004E12E3" w:rsidRPr="004E12E3" w:rsidRDefault="004E12E3" w:rsidP="004E12E3">
      <w:p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This report outlines the process of exploring, building, and evaluating a machine learning model to predict loan default risk. The objective is to identify high-risk borrowers and provide actionable insights to support better credit decision-making.</w:t>
      </w:r>
    </w:p>
    <w:p w14:paraId="637B48C9" w14:textId="77777777" w:rsidR="004E12E3" w:rsidRPr="00557535" w:rsidRDefault="004E12E3" w:rsidP="00557535">
      <w:pPr>
        <w:pStyle w:val="Heading2"/>
        <w:rPr>
          <w:b/>
          <w:bCs/>
          <w:color w:val="385623" w:themeColor="accent6" w:themeShade="80"/>
        </w:rPr>
      </w:pPr>
      <w:r w:rsidRPr="00557535">
        <w:rPr>
          <w:b/>
          <w:bCs/>
          <w:color w:val="385623" w:themeColor="accent6" w:themeShade="80"/>
        </w:rPr>
        <w:t>Data Identification and Collection</w:t>
      </w:r>
    </w:p>
    <w:p w14:paraId="0BA43864" w14:textId="77777777" w:rsidR="004E12E3" w:rsidRPr="004E12E3" w:rsidRDefault="004E12E3" w:rsidP="004E12E3">
      <w:p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The dataset consists of applicant-level financial and credit information. The key components include:</w:t>
      </w:r>
    </w:p>
    <w:p w14:paraId="361400FC" w14:textId="77777777" w:rsidR="004E12E3" w:rsidRPr="004E12E3" w:rsidRDefault="004E12E3" w:rsidP="004E12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  <w:b/>
          <w:bCs/>
        </w:rPr>
        <w:t>Demographics:</w:t>
      </w:r>
      <w:r w:rsidRPr="004E12E3">
        <w:rPr>
          <w:rFonts w:ascii="Times New Roman" w:hAnsi="Times New Roman" w:cs="Times New Roman"/>
        </w:rPr>
        <w:t xml:space="preserve"> Age, home ownership status, employment length</w:t>
      </w:r>
    </w:p>
    <w:p w14:paraId="3876A747" w14:textId="77777777" w:rsidR="004E12E3" w:rsidRPr="004E12E3" w:rsidRDefault="004E12E3" w:rsidP="004E12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  <w:b/>
          <w:bCs/>
        </w:rPr>
        <w:t>Financial Information:</w:t>
      </w:r>
      <w:r w:rsidRPr="004E12E3">
        <w:rPr>
          <w:rFonts w:ascii="Times New Roman" w:hAnsi="Times New Roman" w:cs="Times New Roman"/>
        </w:rPr>
        <w:t xml:space="preserve"> Income, loan amount, loan percent of income</w:t>
      </w:r>
    </w:p>
    <w:p w14:paraId="3AFC1F91" w14:textId="77777777" w:rsidR="004E12E3" w:rsidRPr="004E12E3" w:rsidRDefault="004E12E3" w:rsidP="004E12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  <w:b/>
          <w:bCs/>
        </w:rPr>
        <w:t>Credit History:</w:t>
      </w:r>
      <w:r w:rsidRPr="004E12E3">
        <w:rPr>
          <w:rFonts w:ascii="Times New Roman" w:hAnsi="Times New Roman" w:cs="Times New Roman"/>
        </w:rPr>
        <w:t xml:space="preserve"> Credit history length, previous defaults</w:t>
      </w:r>
    </w:p>
    <w:p w14:paraId="7553D02B" w14:textId="77777777" w:rsidR="004E12E3" w:rsidRPr="004E12E3" w:rsidRDefault="004E12E3" w:rsidP="004E12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  <w:b/>
          <w:bCs/>
        </w:rPr>
        <w:t>Loan Details:</w:t>
      </w:r>
      <w:r w:rsidRPr="004E12E3">
        <w:rPr>
          <w:rFonts w:ascii="Times New Roman" w:hAnsi="Times New Roman" w:cs="Times New Roman"/>
        </w:rPr>
        <w:t xml:space="preserve"> Loan intent, loan grade, interest rate</w:t>
      </w:r>
    </w:p>
    <w:p w14:paraId="034CAE3C" w14:textId="544CF568" w:rsidR="004E12E3" w:rsidRPr="004E12E3" w:rsidRDefault="004E12E3" w:rsidP="004E12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  <w:b/>
          <w:bCs/>
        </w:rPr>
        <w:t>Target Variable:</w:t>
      </w:r>
      <w:r w:rsidRPr="004E12E3">
        <w:rPr>
          <w:rFonts w:ascii="Times New Roman" w:hAnsi="Times New Roman" w:cs="Times New Roman"/>
        </w:rPr>
        <w:t xml:space="preserve"> Loan status (Default = 1, </w:t>
      </w:r>
      <w:proofErr w:type="gramStart"/>
      <w:r w:rsidRPr="004E12E3">
        <w:rPr>
          <w:rFonts w:ascii="Times New Roman" w:hAnsi="Times New Roman" w:cs="Times New Roman"/>
        </w:rPr>
        <w:t>Non-default</w:t>
      </w:r>
      <w:proofErr w:type="gramEnd"/>
      <w:r w:rsidRPr="004E12E3">
        <w:rPr>
          <w:rFonts w:ascii="Times New Roman" w:hAnsi="Times New Roman" w:cs="Times New Roman"/>
        </w:rPr>
        <w:t xml:space="preserve"> = 0)</w:t>
      </w:r>
    </w:p>
    <w:p w14:paraId="2FC4DD4F" w14:textId="77777777" w:rsidR="004E12E3" w:rsidRPr="00557535" w:rsidRDefault="004E12E3" w:rsidP="00557535">
      <w:pPr>
        <w:pStyle w:val="Heading2"/>
        <w:rPr>
          <w:b/>
          <w:bCs/>
          <w:color w:val="385623" w:themeColor="accent6" w:themeShade="80"/>
        </w:rPr>
      </w:pPr>
      <w:r w:rsidRPr="00557535">
        <w:rPr>
          <w:b/>
          <w:bCs/>
          <w:color w:val="385623" w:themeColor="accent6" w:themeShade="80"/>
        </w:rPr>
        <w:t>Exploratory Data Analysis</w:t>
      </w:r>
    </w:p>
    <w:p w14:paraId="2E6AEB4E" w14:textId="77777777" w:rsidR="004E12E3" w:rsidRPr="004E12E3" w:rsidRDefault="004E12E3" w:rsidP="004E12E3">
      <w:p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Exploratory data analysis was conducted to understand borrower behaviour and identify patterns associated with default risk.</w:t>
      </w:r>
    </w:p>
    <w:p w14:paraId="56D1E461" w14:textId="77777777" w:rsidR="004E12E3" w:rsidRPr="004E12E3" w:rsidRDefault="004E12E3" w:rsidP="004E12E3">
      <w:p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Key findings include:</w:t>
      </w:r>
    </w:p>
    <w:p w14:paraId="4D333D4C" w14:textId="77777777" w:rsidR="004E12E3" w:rsidRPr="004E12E3" w:rsidRDefault="004E12E3" w:rsidP="004E12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Borrowers with higher loan-to-income ratios are more likely to default</w:t>
      </w:r>
    </w:p>
    <w:p w14:paraId="41C36134" w14:textId="77777777" w:rsidR="004E12E3" w:rsidRPr="004E12E3" w:rsidRDefault="004E12E3" w:rsidP="004E12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Lower income is associated with higher default risk</w:t>
      </w:r>
    </w:p>
    <w:p w14:paraId="7F74E480" w14:textId="77777777" w:rsidR="004E12E3" w:rsidRPr="004E12E3" w:rsidRDefault="004E12E3" w:rsidP="004E12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Larger loan amounts show increased likelihood of default</w:t>
      </w:r>
    </w:p>
    <w:p w14:paraId="426EEFD2" w14:textId="77777777" w:rsidR="004E12E3" w:rsidRPr="004E12E3" w:rsidRDefault="004E12E3" w:rsidP="004E12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Renters and certain loan intents (medical, debt consolidation) have higher default rates</w:t>
      </w:r>
    </w:p>
    <w:p w14:paraId="6EFB339F" w14:textId="281762A4" w:rsidR="004E12E3" w:rsidRPr="004E12E3" w:rsidRDefault="004E12E3" w:rsidP="004E12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Most numerical features are right-skewed, with notable outliers</w:t>
      </w:r>
    </w:p>
    <w:p w14:paraId="35F85FE9" w14:textId="77777777" w:rsidR="004E12E3" w:rsidRDefault="004E12E3" w:rsidP="00557535">
      <w:pPr>
        <w:pStyle w:val="Heading2"/>
        <w:rPr>
          <w:b/>
          <w:bCs/>
          <w:color w:val="385623" w:themeColor="accent6" w:themeShade="80"/>
        </w:rPr>
      </w:pPr>
      <w:r w:rsidRPr="00557535">
        <w:rPr>
          <w:b/>
          <w:bCs/>
          <w:color w:val="385623" w:themeColor="accent6" w:themeShade="80"/>
        </w:rPr>
        <w:lastRenderedPageBreak/>
        <w:t>Figures</w:t>
      </w:r>
    </w:p>
    <w:p w14:paraId="0D0AADAE" w14:textId="77777777" w:rsidR="00045DAC" w:rsidRDefault="00045DAC" w:rsidP="004E12E3">
      <w:pPr>
        <w:rPr>
          <w:rFonts w:ascii="Times New Roman" w:hAnsi="Times New Roman" w:cs="Times New Roman"/>
        </w:rPr>
      </w:pPr>
      <w:r w:rsidRPr="00045DAC">
        <w:drawing>
          <wp:inline distT="0" distB="0" distL="0" distR="0" wp14:anchorId="07B5B310" wp14:editId="29C2CEF9">
            <wp:extent cx="3448050" cy="2429986"/>
            <wp:effectExtent l="0" t="0" r="0" b="8890"/>
            <wp:docPr id="1203592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567" cy="245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4DDBB" w14:textId="402754AB" w:rsidR="00045DAC" w:rsidRDefault="004E12E3" w:rsidP="004E12E3">
      <w:p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Figure 1: Distribution of Loan Status</w:t>
      </w:r>
      <w:r w:rsidRPr="004E12E3">
        <w:rPr>
          <w:rFonts w:ascii="Times New Roman" w:hAnsi="Times New Roman" w:cs="Times New Roman"/>
        </w:rPr>
        <w:br/>
      </w:r>
      <w:r w:rsidR="00045DAC" w:rsidRPr="00045DAC">
        <w:drawing>
          <wp:inline distT="0" distB="0" distL="0" distR="0" wp14:anchorId="223D74EC" wp14:editId="21A3F38B">
            <wp:extent cx="3581400" cy="2612049"/>
            <wp:effectExtent l="0" t="0" r="0" b="0"/>
            <wp:docPr id="1203764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410" cy="262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58D9" w14:textId="697AB772" w:rsidR="00DE50D7" w:rsidRDefault="004E12E3" w:rsidP="004E12E3">
      <w:p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 xml:space="preserve">Figure </w:t>
      </w:r>
      <w:r w:rsidR="00045DAC">
        <w:rPr>
          <w:rFonts w:ascii="Times New Roman" w:hAnsi="Times New Roman" w:cs="Times New Roman"/>
        </w:rPr>
        <w:t>2</w:t>
      </w:r>
      <w:r w:rsidRPr="004E12E3">
        <w:rPr>
          <w:rFonts w:ascii="Times New Roman" w:hAnsi="Times New Roman" w:cs="Times New Roman"/>
        </w:rPr>
        <w:t>: Loan Percent of Income vs Loan S</w:t>
      </w:r>
      <w:r w:rsidR="00045DAC" w:rsidRPr="00045DAC">
        <w:rPr>
          <w:rFonts w:ascii="Times New Roman" w:hAnsi="Times New Roman" w:cs="Times New Roman"/>
        </w:rPr>
        <w:drawing>
          <wp:inline distT="0" distB="0" distL="0" distR="0" wp14:anchorId="0A524C77" wp14:editId="57F9B50F">
            <wp:extent cx="3600450" cy="2434871"/>
            <wp:effectExtent l="0" t="0" r="0" b="3810"/>
            <wp:docPr id="313429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600" cy="24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F8077" w14:textId="408AEDF3" w:rsidR="004E12E3" w:rsidRPr="004E12E3" w:rsidRDefault="004E12E3" w:rsidP="004E12E3">
      <w:pPr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 xml:space="preserve">Figure </w:t>
      </w:r>
      <w:r w:rsidR="00045DAC">
        <w:rPr>
          <w:rFonts w:ascii="Times New Roman" w:hAnsi="Times New Roman" w:cs="Times New Roman"/>
        </w:rPr>
        <w:t>3</w:t>
      </w:r>
      <w:r w:rsidRPr="004E12E3">
        <w:rPr>
          <w:rFonts w:ascii="Times New Roman" w:hAnsi="Times New Roman" w:cs="Times New Roman"/>
        </w:rPr>
        <w:t>: Person Income vs Loan Status</w:t>
      </w:r>
    </w:p>
    <w:p w14:paraId="40A011B3" w14:textId="77777777" w:rsidR="004E12E3" w:rsidRPr="00557535" w:rsidRDefault="004E12E3" w:rsidP="00DE50D7">
      <w:pPr>
        <w:pStyle w:val="Heading2"/>
        <w:spacing w:line="240" w:lineRule="auto"/>
        <w:rPr>
          <w:b/>
          <w:bCs/>
          <w:color w:val="385623" w:themeColor="accent6" w:themeShade="80"/>
        </w:rPr>
      </w:pPr>
      <w:r w:rsidRPr="00557535">
        <w:rPr>
          <w:b/>
          <w:bCs/>
          <w:color w:val="385623" w:themeColor="accent6" w:themeShade="80"/>
        </w:rPr>
        <w:lastRenderedPageBreak/>
        <w:t>Model Selection and Building</w:t>
      </w:r>
    </w:p>
    <w:p w14:paraId="57D3C9E8" w14:textId="77777777" w:rsidR="004E12E3" w:rsidRPr="004E12E3" w:rsidRDefault="004E12E3" w:rsidP="00DE50D7">
      <w:p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A Logistic Regression model was selected due to its interpretability and suitability for binary classification problems.</w:t>
      </w:r>
    </w:p>
    <w:p w14:paraId="72F5A6DD" w14:textId="77777777" w:rsidR="004E12E3" w:rsidRPr="004E12E3" w:rsidRDefault="004E12E3" w:rsidP="00DE50D7">
      <w:p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The modelling process included:</w:t>
      </w:r>
    </w:p>
    <w:p w14:paraId="550F6777" w14:textId="77777777" w:rsidR="004E12E3" w:rsidRPr="004E12E3" w:rsidRDefault="004E12E3" w:rsidP="00DE50D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Data cleaning (handling missing values and duplicates)</w:t>
      </w:r>
    </w:p>
    <w:p w14:paraId="4B0131BF" w14:textId="77777777" w:rsidR="004E12E3" w:rsidRPr="004E12E3" w:rsidRDefault="004E12E3" w:rsidP="00DE50D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Encoding categorical variables</w:t>
      </w:r>
    </w:p>
    <w:p w14:paraId="07DE4D59" w14:textId="77777777" w:rsidR="004E12E3" w:rsidRPr="004E12E3" w:rsidRDefault="004E12E3" w:rsidP="00DE50D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Standardising numerical features</w:t>
      </w:r>
    </w:p>
    <w:p w14:paraId="74C8568F" w14:textId="33EAF65A" w:rsidR="00DE50D7" w:rsidRPr="004E12E3" w:rsidRDefault="004E12E3" w:rsidP="00DE50D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Splitting data into training and testing sets (80/20 with stratification)</w:t>
      </w:r>
    </w:p>
    <w:p w14:paraId="7781ADFE" w14:textId="77777777" w:rsidR="004E12E3" w:rsidRPr="00557535" w:rsidRDefault="004E12E3" w:rsidP="00DE50D7">
      <w:pPr>
        <w:pStyle w:val="Heading2"/>
        <w:spacing w:line="240" w:lineRule="auto"/>
        <w:rPr>
          <w:b/>
          <w:bCs/>
          <w:color w:val="385623" w:themeColor="accent6" w:themeShade="80"/>
        </w:rPr>
      </w:pPr>
      <w:r w:rsidRPr="00557535">
        <w:rPr>
          <w:b/>
          <w:bCs/>
          <w:color w:val="385623" w:themeColor="accent6" w:themeShade="80"/>
        </w:rPr>
        <w:t>Model Evaluation</w:t>
      </w:r>
    </w:p>
    <w:p w14:paraId="44FCE61B" w14:textId="77777777" w:rsidR="004E12E3" w:rsidRPr="004E12E3" w:rsidRDefault="004E12E3" w:rsidP="00DE50D7">
      <w:p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The model was evaluated using classification metrics including precision, recall, F1-score, and confusion matrix.</w:t>
      </w:r>
    </w:p>
    <w:p w14:paraId="351464F6" w14:textId="77777777" w:rsidR="004E12E3" w:rsidRPr="004E12E3" w:rsidRDefault="004E12E3" w:rsidP="00DE50D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Baseline Model Accuracy: ~87%</w:t>
      </w:r>
    </w:p>
    <w:p w14:paraId="6A721252" w14:textId="77777777" w:rsidR="004E12E3" w:rsidRPr="004E12E3" w:rsidRDefault="004E12E3" w:rsidP="00DE50D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Strong performance in identifying non-default cases</w:t>
      </w:r>
    </w:p>
    <w:p w14:paraId="3535D5A4" w14:textId="77777777" w:rsidR="004E12E3" w:rsidRPr="004E12E3" w:rsidRDefault="004E12E3" w:rsidP="00DE50D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Initial recall for default detection: 0.57</w:t>
      </w:r>
    </w:p>
    <w:p w14:paraId="6D51C619" w14:textId="77777777" w:rsidR="004E12E3" w:rsidRPr="004E12E3" w:rsidRDefault="004E12E3" w:rsidP="00DE50D7">
      <w:p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To improve performance:</w:t>
      </w:r>
    </w:p>
    <w:p w14:paraId="75299EE5" w14:textId="77777777" w:rsidR="004E12E3" w:rsidRPr="004E12E3" w:rsidRDefault="004E12E3" w:rsidP="00DE50D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Class weighting was applied but showed no improvement</w:t>
      </w:r>
    </w:p>
    <w:p w14:paraId="58C1B418" w14:textId="77777777" w:rsidR="004E12E3" w:rsidRPr="004E12E3" w:rsidRDefault="004E12E3" w:rsidP="00DE50D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Threshold tuning (0.50 → 0.30) significantly improved results</w:t>
      </w:r>
    </w:p>
    <w:p w14:paraId="1A26F522" w14:textId="77777777" w:rsidR="004E12E3" w:rsidRPr="004E12E3" w:rsidRDefault="004E12E3" w:rsidP="00DE50D7">
      <w:p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After threshold adjustment:</w:t>
      </w:r>
    </w:p>
    <w:p w14:paraId="6396C8DB" w14:textId="77777777" w:rsidR="004E12E3" w:rsidRPr="004E12E3" w:rsidRDefault="004E12E3" w:rsidP="00DE50D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Recall for default cases improved to 0.72</w:t>
      </w:r>
    </w:p>
    <w:p w14:paraId="2AA4598B" w14:textId="77777777" w:rsidR="004E12E3" w:rsidRPr="004E12E3" w:rsidRDefault="004E12E3" w:rsidP="00DE50D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False negatives were reduced</w:t>
      </w:r>
    </w:p>
    <w:p w14:paraId="537EBF43" w14:textId="4D88EF8C" w:rsidR="00DE50D7" w:rsidRPr="004E12E3" w:rsidRDefault="004E12E3" w:rsidP="00DE50D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Slight decrease in overall accuracy and precision</w:t>
      </w:r>
    </w:p>
    <w:p w14:paraId="200E3D4C" w14:textId="77777777" w:rsidR="004E12E3" w:rsidRPr="00557535" w:rsidRDefault="004E12E3" w:rsidP="00DE50D7">
      <w:pPr>
        <w:pStyle w:val="Heading2"/>
        <w:spacing w:line="240" w:lineRule="auto"/>
        <w:rPr>
          <w:b/>
          <w:bCs/>
          <w:color w:val="385623" w:themeColor="accent6" w:themeShade="80"/>
        </w:rPr>
      </w:pPr>
      <w:r w:rsidRPr="00557535">
        <w:rPr>
          <w:b/>
          <w:bCs/>
          <w:color w:val="385623" w:themeColor="accent6" w:themeShade="80"/>
        </w:rPr>
        <w:t>Recommendations and Business Implications</w:t>
      </w:r>
    </w:p>
    <w:p w14:paraId="5D524B19" w14:textId="77777777" w:rsidR="004E12E3" w:rsidRPr="004E12E3" w:rsidRDefault="004E12E3" w:rsidP="00DE50D7">
      <w:p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The model provides valuable insights for credit risk management:</w:t>
      </w:r>
    </w:p>
    <w:p w14:paraId="3917EAA7" w14:textId="77777777" w:rsidR="004E12E3" w:rsidRPr="004E12E3" w:rsidRDefault="004E12E3" w:rsidP="00DE50D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  <w:b/>
          <w:bCs/>
        </w:rPr>
        <w:t>Focus on affordability:</w:t>
      </w:r>
      <w:r w:rsidRPr="004E12E3">
        <w:rPr>
          <w:rFonts w:ascii="Times New Roman" w:hAnsi="Times New Roman" w:cs="Times New Roman"/>
        </w:rPr>
        <w:t xml:space="preserve"> Loan-to-income ratio is a key risk driver</w:t>
      </w:r>
    </w:p>
    <w:p w14:paraId="6591EA13" w14:textId="77777777" w:rsidR="004E12E3" w:rsidRPr="004E12E3" w:rsidRDefault="004E12E3" w:rsidP="00DE50D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  <w:b/>
          <w:bCs/>
        </w:rPr>
        <w:t>Target high-risk segments:</w:t>
      </w:r>
      <w:r w:rsidRPr="004E12E3">
        <w:rPr>
          <w:rFonts w:ascii="Times New Roman" w:hAnsi="Times New Roman" w:cs="Times New Roman"/>
        </w:rPr>
        <w:t xml:space="preserve"> Renters and specific loan purposes</w:t>
      </w:r>
    </w:p>
    <w:p w14:paraId="29CDB9D7" w14:textId="77777777" w:rsidR="004E12E3" w:rsidRPr="004E12E3" w:rsidRDefault="004E12E3" w:rsidP="00DE50D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  <w:b/>
          <w:bCs/>
        </w:rPr>
        <w:t>Adjust decision thresholds:</w:t>
      </w:r>
      <w:r w:rsidRPr="004E12E3">
        <w:rPr>
          <w:rFonts w:ascii="Times New Roman" w:hAnsi="Times New Roman" w:cs="Times New Roman"/>
        </w:rPr>
        <w:t xml:space="preserve"> Improve detection of risky borrowers</w:t>
      </w:r>
    </w:p>
    <w:p w14:paraId="545F25E6" w14:textId="77777777" w:rsidR="004E12E3" w:rsidRDefault="004E12E3" w:rsidP="00DE50D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  <w:b/>
          <w:bCs/>
        </w:rPr>
        <w:t>Enhance risk strategies:</w:t>
      </w:r>
      <w:r w:rsidRPr="004E12E3">
        <w:rPr>
          <w:rFonts w:ascii="Times New Roman" w:hAnsi="Times New Roman" w:cs="Times New Roman"/>
        </w:rPr>
        <w:t xml:space="preserve"> Combine model predictions with policy rules</w:t>
      </w:r>
    </w:p>
    <w:p w14:paraId="613DDC9E" w14:textId="77777777" w:rsidR="004E12E3" w:rsidRPr="004E12E3" w:rsidRDefault="004E12E3" w:rsidP="00DE50D7">
      <w:p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Further improvements may include:</w:t>
      </w:r>
    </w:p>
    <w:p w14:paraId="1D45811A" w14:textId="77777777" w:rsidR="004E12E3" w:rsidRPr="004E12E3" w:rsidRDefault="004E12E3" w:rsidP="00DE50D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 xml:space="preserve">Advanced models such as </w:t>
      </w:r>
      <w:proofErr w:type="spellStart"/>
      <w:r w:rsidRPr="004E12E3">
        <w:rPr>
          <w:rFonts w:ascii="Times New Roman" w:hAnsi="Times New Roman" w:cs="Times New Roman"/>
        </w:rPr>
        <w:t>XGBoost</w:t>
      </w:r>
      <w:proofErr w:type="spellEnd"/>
      <w:r w:rsidRPr="004E12E3">
        <w:rPr>
          <w:rFonts w:ascii="Times New Roman" w:hAnsi="Times New Roman" w:cs="Times New Roman"/>
        </w:rPr>
        <w:t xml:space="preserve"> or Random Forest</w:t>
      </w:r>
    </w:p>
    <w:p w14:paraId="0E7684E9" w14:textId="77777777" w:rsidR="004E12E3" w:rsidRPr="004E12E3" w:rsidRDefault="004E12E3" w:rsidP="00DE50D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Additional feature engineering</w:t>
      </w:r>
    </w:p>
    <w:p w14:paraId="73D5968A" w14:textId="77777777" w:rsidR="004E12E3" w:rsidRPr="004E12E3" w:rsidRDefault="004E12E3" w:rsidP="00DE50D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4E12E3">
        <w:rPr>
          <w:rFonts w:ascii="Times New Roman" w:hAnsi="Times New Roman" w:cs="Times New Roman"/>
        </w:rPr>
        <w:t>Regular model retraining with updated data</w:t>
      </w:r>
    </w:p>
    <w:p w14:paraId="2588A421" w14:textId="77777777" w:rsidR="004E12E3" w:rsidRPr="004E12E3" w:rsidRDefault="004E12E3">
      <w:pPr>
        <w:rPr>
          <w:rFonts w:ascii="Times New Roman" w:hAnsi="Times New Roman" w:cs="Times New Roman"/>
        </w:rPr>
      </w:pPr>
    </w:p>
    <w:sectPr w:rsidR="004E12E3" w:rsidRPr="004E1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D6B"/>
    <w:multiLevelType w:val="multilevel"/>
    <w:tmpl w:val="9638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39FA"/>
    <w:multiLevelType w:val="multilevel"/>
    <w:tmpl w:val="CD9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C54D4"/>
    <w:multiLevelType w:val="multilevel"/>
    <w:tmpl w:val="112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81942"/>
    <w:multiLevelType w:val="multilevel"/>
    <w:tmpl w:val="43F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34855"/>
    <w:multiLevelType w:val="multilevel"/>
    <w:tmpl w:val="629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E586B"/>
    <w:multiLevelType w:val="multilevel"/>
    <w:tmpl w:val="7C3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E6237"/>
    <w:multiLevelType w:val="multilevel"/>
    <w:tmpl w:val="5658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E364D"/>
    <w:multiLevelType w:val="multilevel"/>
    <w:tmpl w:val="D38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317858">
    <w:abstractNumId w:val="6"/>
  </w:num>
  <w:num w:numId="2" w16cid:durableId="15348596">
    <w:abstractNumId w:val="3"/>
  </w:num>
  <w:num w:numId="3" w16cid:durableId="579407636">
    <w:abstractNumId w:val="2"/>
  </w:num>
  <w:num w:numId="4" w16cid:durableId="1266693525">
    <w:abstractNumId w:val="4"/>
  </w:num>
  <w:num w:numId="5" w16cid:durableId="178083812">
    <w:abstractNumId w:val="5"/>
  </w:num>
  <w:num w:numId="6" w16cid:durableId="840776560">
    <w:abstractNumId w:val="0"/>
  </w:num>
  <w:num w:numId="7" w16cid:durableId="917440939">
    <w:abstractNumId w:val="7"/>
  </w:num>
  <w:num w:numId="8" w16cid:durableId="458768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E3"/>
    <w:rsid w:val="00045DAC"/>
    <w:rsid w:val="004E12E3"/>
    <w:rsid w:val="00557535"/>
    <w:rsid w:val="007D0EA4"/>
    <w:rsid w:val="00DE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2A9B1"/>
  <w15:chartTrackingRefBased/>
  <w15:docId w15:val="{0B851408-34DE-463F-80A0-00A96E91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2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D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2026-03-20T11:56:00Z</dcterms:created>
  <dcterms:modified xsi:type="dcterms:W3CDTF">2026-03-20T13:15:00Z</dcterms:modified>
</cp:coreProperties>
</file>