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20"/>
        <w:jc w:val="center"/>
      </w:pPr>
      <w:r>
        <w:rPr>
          <w:rFonts w:ascii="Arial" w:cs="Arial" w:eastAsia="Arial" w:hAnsi="Arial"/>
          <w:b/>
          <w:bCs/>
          <w:caps/>
          <w:color w:val="64748B"/>
          <w:sz w:val="19"/>
          <w:szCs w:val="19"/>
        </w:rPr>
        <w:t xml:space="preserve">INDIA RAPE STATISTICS: NCRB DATASET 2013-2022</w:t>
      </w:r>
    </w:p>
    <w:p>
      <w:pPr>
        <w:spacing w:before="0" w:after="20"/>
        <w:jc w:val="center"/>
      </w:pPr>
      <w:r>
        <w:rPr>
          <w:rFonts w:ascii="Arial" w:cs="Arial" w:eastAsia="Arial" w:hAnsi="Arial"/>
          <w:b/>
          <w:bCs/>
          <w:color w:val="0F172A"/>
          <w:sz w:val="36"/>
          <w:szCs w:val="36"/>
        </w:rPr>
        <w:t xml:space="preserve">Structural Interventions Framework</w:t>
      </w:r>
    </w:p>
    <w:p>
      <w:pPr>
        <w:spacing w:before="0" w:after="20"/>
        <w:jc w:val="center"/>
      </w:pPr>
      <w:r>
        <w:rPr>
          <w:rFonts w:ascii="Arial" w:cs="Arial" w:eastAsia="Arial" w:hAnsi="Arial"/>
          <w:i/>
          <w:iCs/>
          <w:color w:val="64748B"/>
          <w:sz w:val="22"/>
          <w:szCs w:val="22"/>
        </w:rPr>
        <w:t xml:space="preserve">A Layered Analysis of Prevention, Accountability, and Technology Responses</w:t>
      </w:r>
    </w:p>
    <w:p>
      <w:pPr>
        <w:spacing w:before="0" w:after="40"/>
        <w:jc w:val="center"/>
      </w:pPr>
      <w:r>
        <w:rPr>
          <w:rFonts w:ascii="Arial" w:cs="Arial" w:eastAsia="Arial" w:hAnsi="Arial"/>
          <w:i/>
          <w:iCs/>
          <w:color w:val="7E22CE"/>
          <w:sz w:val="18"/>
          <w:szCs w:val="18"/>
        </w:rPr>
        <w:t xml:space="preserve">Projective measures only. Not a policy prescription.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AFC" w:val="clear"/>
            <w:tcMar>
              <w:top w:type="dxa" w:w="180"/>
              <w:left w:type="dxa" w:w="240"/>
              <w:bottom w:type="dxa" w:w="180"/>
              <w:right w:type="dxa" w:w="240"/>
            </w:tcMar>
          </w:tcPr>
          <w:p>
            <w:pPr>
              <w:spacing w:before="20" w:after="20"/>
            </w:pPr>
            <w:r>
              <w:rPr>
                <w:rFonts w:ascii="Arial" w:cs="Arial" w:eastAsia="Arial" w:hAnsi="Arial"/>
                <w:b/>
                <w:bCs/>
                <w:color w:val="0F172A"/>
                <w:sz w:val="20"/>
                <w:szCs w:val="20"/>
              </w:rPr>
              <w:t xml:space="preserve">How to read this document</w:t>
            </w:r>
          </w:p>
          <w:p>
            <w:pPr>
              <w:spacing w:before="0" w:after="140"/>
            </w:pPr>
            <w:r>
              <w:rPr>
                <w:rFonts w:ascii="Arial" w:cs="Arial" w:eastAsia="Arial" w:hAnsi="Arial"/>
                <w:b w:val="false"/>
                <w:bCs w:val="false"/>
                <w:i w:val="false"/>
                <w:iCs w:val="false"/>
                <w:color w:val="334155"/>
                <w:sz w:val="21"/>
                <w:szCs w:val="21"/>
              </w:rPr>
              <w:t xml:space="preserve">This document maps the structural gap between what the NCRB data shows and what interventions at each layer of society, government, and technology could address. It is framed in two registers: policy recommendations (what institutions could do) and research context (why these gaps matter for AI safety work). Nothing here is prescriptive or policy-ready. These are directional ideas grounded in the data.</w:t>
            </w:r>
          </w:p>
        </w:tc>
      </w:tr>
    </w:tbl>
    <w:p>
      <w:pPr>
        <w:spacing w:before="200" w:after="0"/>
      </w:pPr>
      <w:r>
        <w:t xml:space="preserve"/>
      </w:r>
    </w:p>
    <w:p>
      <w:pPr>
        <w:pStyle w:val="Heading1"/>
        <w:pBdr>
          <w:bottom w:val="single" w:color="1A56DB" w:sz="4" w:space="4"/>
        </w:pBdr>
        <w:spacing w:before="480" w:after="120"/>
      </w:pPr>
      <w:r>
        <w:rPr>
          <w:rFonts w:ascii="Arial" w:cs="Arial" w:eastAsia="Arial" w:hAnsi="Arial"/>
          <w:b/>
          <w:bCs/>
          <w:color w:val="0F172A"/>
          <w:sz w:val="30"/>
          <w:szCs w:val="30"/>
        </w:rPr>
        <w:t xml:space="preserve">1. What the Data Shows</w:t>
      </w:r>
    </w:p>
    <w:p>
      <w:pPr>
        <w:spacing w:before="0" w:after="140"/>
      </w:pPr>
      <w:r>
        <w:rPr>
          <w:rFonts w:ascii="Arial" w:cs="Arial" w:eastAsia="Arial" w:hAnsi="Arial"/>
          <w:b w:val="false"/>
          <w:bCs w:val="false"/>
          <w:i w:val="false"/>
          <w:iCs w:val="false"/>
          <w:color w:val="334155"/>
          <w:sz w:val="21"/>
          <w:szCs w:val="21"/>
        </w:rPr>
        <w:t xml:space="preserve">Before mapping interventions, the structural picture the NCRB data reveals: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none" w:color="FFFFFF" w:sz="0"/>
              <w:left w:val="none" w:color="FFFFFF" w:sz="0"/>
              <w:bottom w:val="none" w:color="FFFFFF" w:sz="0"/>
              <w:right w:val="none" w:color="FFFFFF" w:sz="0"/>
            </w:tcBorders>
            <w:shd w:fill="FEF2F2" w:val="clear"/>
            <w:tcMar>
              <w:top w:type="dxa" w:w="140"/>
              <w:left w:type="dxa" w:w="160"/>
              <w:bottom w:type="dxa" w:w="140"/>
              <w:right w:type="dxa" w:w="160"/>
            </w:tcMar>
          </w:tcPr>
          <w:p>
            <w:pPr>
              <w:spacing w:before="0" w:after="20"/>
              <w:jc w:val="center"/>
            </w:pPr>
            <w:r>
              <w:rPr>
                <w:rFonts w:ascii="Arial" w:cs="Arial" w:eastAsia="Arial" w:hAnsi="Arial"/>
                <w:b/>
                <w:bCs/>
                <w:color w:val="991B1B"/>
                <w:sz w:val="36"/>
                <w:szCs w:val="36"/>
              </w:rPr>
              <w:t xml:space="preserve">&lt;13%</w:t>
            </w:r>
          </w:p>
          <w:p>
            <w:pPr>
              <w:spacing w:before="0" w:after="10"/>
              <w:jc w:val="center"/>
            </w:pPr>
            <w:r>
              <w:rPr>
                <w:rFonts w:ascii="Arial" w:cs="Arial" w:eastAsia="Arial" w:hAnsi="Arial"/>
                <w:b/>
                <w:bCs/>
                <w:color w:val="0F172A"/>
                <w:sz w:val="17"/>
                <w:szCs w:val="17"/>
              </w:rPr>
              <w:t xml:space="preserve">Trial completion</w:t>
            </w:r>
          </w:p>
          <w:p>
            <w:pPr>
              <w:spacing w:before="0" w:after="0"/>
              <w:jc w:val="center"/>
            </w:pPr>
            <w:r>
              <w:rPr>
                <w:rFonts w:ascii="Arial" w:cs="Arial" w:eastAsia="Arial" w:hAnsi="Arial"/>
                <w:i/>
                <w:iCs/>
                <w:color w:val="64748B"/>
                <w:sz w:val="15"/>
                <w:szCs w:val="15"/>
              </w:rPr>
              <w:t xml:space="preserve">any year 2013-2022</w:t>
            </w:r>
          </w:p>
        </w:tc>
        <w:tc>
          <w:tcPr>
            <w:tcW w:type="dxa" w:w="2200"/>
            <w:tcBorders>
              <w:top w:val="none" w:color="FFFFFF" w:sz="0"/>
              <w:left w:val="none" w:color="FFFFFF" w:sz="0"/>
              <w:bottom w:val="none" w:color="FFFFFF" w:sz="0"/>
              <w:right w:val="none" w:color="FFFFFF" w:sz="0"/>
            </w:tcBorders>
            <w:shd w:fill="FFFBEB" w:val="clear"/>
            <w:tcMar>
              <w:top w:type="dxa" w:w="140"/>
              <w:left w:type="dxa" w:w="160"/>
              <w:bottom w:type="dxa" w:w="140"/>
              <w:right w:type="dxa" w:w="160"/>
            </w:tcMar>
          </w:tcPr>
          <w:p>
            <w:pPr>
              <w:spacing w:before="0" w:after="20"/>
              <w:jc w:val="center"/>
            </w:pPr>
            <w:r>
              <w:rPr>
                <w:rFonts w:ascii="Arial" w:cs="Arial" w:eastAsia="Arial" w:hAnsi="Arial"/>
                <w:b/>
                <w:bCs/>
                <w:color w:val="92400E"/>
                <w:sz w:val="36"/>
                <w:szCs w:val="36"/>
              </w:rPr>
              <w:t xml:space="preserve">+97%</w:t>
            </w:r>
          </w:p>
          <w:p>
            <w:pPr>
              <w:spacing w:before="0" w:after="10"/>
              <w:jc w:val="center"/>
            </w:pPr>
            <w:r>
              <w:rPr>
                <w:rFonts w:ascii="Arial" w:cs="Arial" w:eastAsia="Arial" w:hAnsi="Arial"/>
                <w:b/>
                <w:bCs/>
                <w:color w:val="0F172A"/>
                <w:sz w:val="17"/>
                <w:szCs w:val="17"/>
              </w:rPr>
              <w:t xml:space="preserve">Backlog growth</w:t>
            </w:r>
          </w:p>
          <w:p>
            <w:pPr>
              <w:spacing w:before="0" w:after="0"/>
              <w:jc w:val="center"/>
            </w:pPr>
            <w:r>
              <w:rPr>
                <w:rFonts w:ascii="Arial" w:cs="Arial" w:eastAsia="Arial" w:hAnsi="Arial"/>
                <w:i/>
                <w:iCs/>
                <w:color w:val="64748B"/>
                <w:sz w:val="15"/>
                <w:szCs w:val="15"/>
              </w:rPr>
              <w:t xml:space="preserve">pending trials 2013-2022</w:t>
            </w:r>
          </w:p>
        </w:tc>
        <w:tc>
          <w:tcPr>
            <w:tcW w:type="dxa" w:w="2200"/>
            <w:tcBorders>
              <w:top w:val="none" w:color="FFFFFF" w:sz="0"/>
              <w:left w:val="none" w:color="FFFFFF" w:sz="0"/>
              <w:bottom w:val="none" w:color="FFFFFF" w:sz="0"/>
              <w:right w:val="none" w:color="FFFFFF" w:sz="0"/>
            </w:tcBorders>
            <w:shd w:fill="FAF5FF" w:val="clear"/>
            <w:tcMar>
              <w:top w:type="dxa" w:w="140"/>
              <w:left w:type="dxa" w:w="160"/>
              <w:bottom w:type="dxa" w:w="140"/>
              <w:right w:type="dxa" w:w="160"/>
            </w:tcMar>
          </w:tcPr>
          <w:p>
            <w:pPr>
              <w:spacing w:before="0" w:after="20"/>
              <w:jc w:val="center"/>
            </w:pPr>
            <w:r>
              <w:rPr>
                <w:rFonts w:ascii="Arial" w:cs="Arial" w:eastAsia="Arial" w:hAnsi="Arial"/>
                <w:b/>
                <w:bCs/>
                <w:color w:val="7E22CE"/>
                <w:sz w:val="36"/>
                <w:szCs w:val="36"/>
              </w:rPr>
              <w:t xml:space="preserve">88.7%</w:t>
            </w:r>
          </w:p>
          <w:p>
            <w:pPr>
              <w:spacing w:before="0" w:after="10"/>
              <w:jc w:val="center"/>
            </w:pPr>
            <w:r>
              <w:rPr>
                <w:rFonts w:ascii="Arial" w:cs="Arial" w:eastAsia="Arial" w:hAnsi="Arial"/>
                <w:b/>
                <w:bCs/>
                <w:color w:val="0F172A"/>
                <w:sz w:val="17"/>
                <w:szCs w:val="17"/>
              </w:rPr>
              <w:t xml:space="preserve">Known offender</w:t>
            </w:r>
          </w:p>
          <w:p>
            <w:pPr>
              <w:spacing w:before="0" w:after="0"/>
              <w:jc w:val="center"/>
            </w:pPr>
            <w:r>
              <w:rPr>
                <w:rFonts w:ascii="Arial" w:cs="Arial" w:eastAsia="Arial" w:hAnsi="Arial"/>
                <w:i/>
                <w:iCs/>
                <w:color w:val="64748B"/>
                <w:sz w:val="15"/>
                <w:szCs w:val="15"/>
              </w:rPr>
              <w:t xml:space="preserve">of reported rapes (2021)</w:t>
            </w:r>
          </w:p>
        </w:tc>
        <w:tc>
          <w:tcPr>
            <w:tcW w:type="dxa" w:w="2200"/>
            <w:tcBorders>
              <w:top w:val="none" w:color="FFFFFF" w:sz="0"/>
              <w:left w:val="none" w:color="FFFFFF" w:sz="0"/>
              <w:bottom w:val="none" w:color="FFFFFF" w:sz="0"/>
              <w:right w:val="none" w:color="FFFFFF" w:sz="0"/>
            </w:tcBorders>
            <w:shd w:fill="EFF6FF" w:val="clear"/>
            <w:tcMar>
              <w:top w:type="dxa" w:w="140"/>
              <w:left w:type="dxa" w:w="160"/>
              <w:bottom w:type="dxa" w:w="140"/>
              <w:right w:type="dxa" w:w="160"/>
            </w:tcMar>
          </w:tcPr>
          <w:p>
            <w:pPr>
              <w:spacing w:before="0" w:after="20"/>
              <w:jc w:val="center"/>
            </w:pPr>
            <w:r>
              <w:rPr>
                <w:rFonts w:ascii="Arial" w:cs="Arial" w:eastAsia="Arial" w:hAnsi="Arial"/>
                <w:b/>
                <w:bCs/>
                <w:color w:val="1A56DB"/>
                <w:sz w:val="36"/>
                <w:szCs w:val="36"/>
              </w:rPr>
              <w:t xml:space="preserve">~87</w:t>
            </w:r>
          </w:p>
          <w:p>
            <w:pPr>
              <w:spacing w:before="0" w:after="10"/>
              <w:jc w:val="center"/>
            </w:pPr>
            <w:r>
              <w:rPr>
                <w:rFonts w:ascii="Arial" w:cs="Arial" w:eastAsia="Arial" w:hAnsi="Arial"/>
                <w:b/>
                <w:bCs/>
                <w:color w:val="0F172A"/>
                <w:sz w:val="17"/>
                <w:szCs w:val="17"/>
              </w:rPr>
              <w:t xml:space="preserve">Daily average</w:t>
            </w:r>
          </w:p>
          <w:p>
            <w:pPr>
              <w:spacing w:before="0" w:after="0"/>
              <w:jc w:val="center"/>
            </w:pPr>
            <w:r>
              <w:rPr>
                <w:rFonts w:ascii="Arial" w:cs="Arial" w:eastAsia="Arial" w:hAnsi="Arial"/>
                <w:i/>
                <w:iCs/>
                <w:color w:val="64748B"/>
                <w:sz w:val="15"/>
                <w:szCs w:val="15"/>
              </w:rPr>
              <w:t xml:space="preserve">cases reported per day (2021)</w:t>
            </w:r>
          </w:p>
        </w:tc>
      </w:tr>
    </w:tbl>
    <w:p>
      <w:pPr>
        <w:spacing w:before="120" w:after="0"/>
      </w:pPr>
      <w:r>
        <w:t xml:space="preserve"/>
      </w:r>
    </w:p>
    <w:p>
      <w:pPr>
        <w:spacing w:before="0" w:after="140"/>
      </w:pPr>
      <w:r>
        <w:rPr>
          <w:rFonts w:ascii="Arial" w:cs="Arial" w:eastAsia="Arial" w:hAnsi="Arial"/>
          <w:b w:val="false"/>
          <w:bCs w:val="false"/>
          <w:i w:val="false"/>
          <w:iCs w:val="false"/>
          <w:color w:val="334155"/>
          <w:sz w:val="21"/>
          <w:szCs w:val="21"/>
        </w:rPr>
        <w:t xml:space="preserve">These figures point to three compounding failures. First, a justice pipeline so clogged that impunity is effectively structurally guaranteed. Second, a pattern of intimate and domestic violence that policing and deterrence alone cannot address. Third, a reporting gap that means the 31,000+ annual figures are a floor, not a ceiling.</w:t>
      </w:r>
    </w:p>
    <w:p>
      <w:pPr>
        <w:spacing w:before="0" w:after="140"/>
      </w:pPr>
      <w:r>
        <w:rPr>
          <w:rFonts w:ascii="Arial" w:cs="Arial" w:eastAsia="Arial" w:hAnsi="Arial"/>
          <w:b w:val="false"/>
          <w:bCs w:val="false"/>
          <w:i w:val="false"/>
          <w:iCs w:val="false"/>
          <w:color w:val="334155"/>
          <w:sz w:val="21"/>
          <w:szCs w:val="21"/>
        </w:rPr>
        <w:t xml:space="preserve">Every intervention layer below maps to one or more of these failures.</w:t>
      </w:r>
    </w:p>
    <w:p>
      <w:pPr>
        <w:spacing w:before="200" w:after="0"/>
      </w:pPr>
      <w:r>
        <w:t xml:space="preserve"/>
      </w:r>
    </w:p>
    <w:p>
      <w:pPr>
        <w:pStyle w:val="Heading1"/>
        <w:pBdr>
          <w:bottom w:val="single" w:color="1A56DB" w:sz="4" w:space="4"/>
        </w:pBdr>
        <w:spacing w:before="480" w:after="120"/>
      </w:pPr>
      <w:r>
        <w:rPr>
          <w:rFonts w:ascii="Arial" w:cs="Arial" w:eastAsia="Arial" w:hAnsi="Arial"/>
          <w:b/>
          <w:bCs/>
          <w:color w:val="0F172A"/>
          <w:sz w:val="30"/>
          <w:szCs w:val="30"/>
        </w:rPr>
        <w:t xml:space="preserve">2. Intervention Layers</w:t>
      </w:r>
    </w:p>
    <w:p>
      <w:pPr>
        <w:spacing w:before="280" w:after="80"/>
      </w:pPr>
      <w:r>
        <w:rPr>
          <w:rFonts w:ascii="Arial" w:cs="Arial" w:eastAsia="Arial" w:hAnsi="Arial"/>
          <w:b/>
          <w:bCs/>
          <w:color w:val="1A56DB"/>
          <w:sz w:val="24"/>
          <w:szCs w:val="24"/>
        </w:rPr>
        <w:t xml:space="preserve">Layer 1: Awareness and Social Norm Change</w:t>
      </w:r>
    </w:p>
    <w:p>
      <w:pPr>
        <w:spacing w:before="0" w:after="140"/>
      </w:pPr>
      <w:r>
        <w:rPr>
          <w:rFonts w:ascii="Arial" w:cs="Arial" w:eastAsia="Arial" w:hAnsi="Arial"/>
          <w:b w:val="false"/>
          <w:bCs w:val="false"/>
          <w:i w:val="false"/>
          <w:iCs w:val="false"/>
          <w:color w:val="334155"/>
          <w:sz w:val="21"/>
          <w:szCs w:val="21"/>
        </w:rPr>
        <w:t xml:space="preserve">The 88.7% known-offender figure means most rapes are not stranger attacks. They are committed by family members, neighbours, employers, and acquaintances. Deterrence through law alone does not reach this population. Social norm change does.</w:t>
      </w:r>
    </w:p>
    <w:p>
      <w:pPr>
        <w:spacing w:before="80" w:after="0"/>
      </w:pPr>
      <w:r>
        <w:t xml:space="preserve"/>
      </w:r>
    </w:p>
    <w:p>
      <w:pPr>
        <w:spacing w:before="180" w:after="60"/>
      </w:pPr>
      <w:r>
        <w:rPr>
          <w:rFonts w:ascii="Arial" w:cs="Arial" w:eastAsia="Arial" w:hAnsi="Arial"/>
          <w:b/>
          <w:bCs/>
          <w:color w:val="334155"/>
          <w:sz w:val="22"/>
          <w:szCs w:val="22"/>
        </w:rPr>
        <w:t xml:space="preserve">Policy recommendations</w:t>
      </w:r>
    </w:p>
    <w:p>
      <w:pPr>
        <w:pStyle w:val="ListParagraph"/>
        <w:numPr>
          <w:ilvl w:val="0"/>
          <w:numId w:val="2"/>
        </w:numPr>
        <w:spacing w:before="40" w:after="40"/>
      </w:pPr>
      <w:r>
        <w:rPr>
          <w:rFonts w:ascii="Arial" w:cs="Arial" w:eastAsia="Arial" w:hAnsi="Arial"/>
          <w:color w:val="334155"/>
          <w:sz w:val="21"/>
          <w:szCs w:val="21"/>
        </w:rPr>
        <w:t xml:space="preserve">National awareness campaigns targeting boys and men, not just women's safety messaging. Current campaigns almost entirely address victim behaviour.</w:t>
      </w:r>
    </w:p>
    <w:p>
      <w:pPr>
        <w:pStyle w:val="ListParagraph"/>
        <w:numPr>
          <w:ilvl w:val="0"/>
          <w:numId w:val="2"/>
        </w:numPr>
        <w:spacing w:before="40" w:after="40"/>
      </w:pPr>
      <w:r>
        <w:rPr>
          <w:rFonts w:ascii="Arial" w:cs="Arial" w:eastAsia="Arial" w:hAnsi="Arial"/>
          <w:color w:val="334155"/>
          <w:sz w:val="21"/>
          <w:szCs w:val="21"/>
        </w:rPr>
        <w:t xml:space="preserve">School curriculum mandate on consent, bodily autonomy, and gender equality starting at class 5. Currently absent from most state curricula.</w:t>
      </w:r>
    </w:p>
    <w:p>
      <w:pPr>
        <w:pStyle w:val="ListParagraph"/>
        <w:numPr>
          <w:ilvl w:val="0"/>
          <w:numId w:val="2"/>
        </w:numPr>
        <w:spacing w:before="40" w:after="40"/>
      </w:pPr>
      <w:r>
        <w:rPr>
          <w:rFonts w:ascii="Arial" w:cs="Arial" w:eastAsia="Arial" w:hAnsi="Arial"/>
          <w:color w:val="334155"/>
          <w:sz w:val="21"/>
          <w:szCs w:val="21"/>
        </w:rPr>
        <w:t xml:space="preserve">Community-level programmes through Anganwadi workers and ASHA workers who already have trusted relationships in rural communities.</w:t>
      </w:r>
    </w:p>
    <w:p>
      <w:pPr>
        <w:pStyle w:val="ListParagraph"/>
        <w:numPr>
          <w:ilvl w:val="0"/>
          <w:numId w:val="2"/>
        </w:numPr>
        <w:spacing w:before="40" w:after="40"/>
      </w:pPr>
      <w:r>
        <w:rPr>
          <w:rFonts w:ascii="Arial" w:cs="Arial" w:eastAsia="Arial" w:hAnsi="Arial"/>
          <w:color w:val="334155"/>
          <w:sz w:val="21"/>
          <w:szCs w:val="21"/>
        </w:rPr>
        <w:t xml:space="preserve">Media guidelines on rape reporting that avoid sensationalising stranger cases while ignoring family and intimate partner violence.</w:t>
      </w:r>
    </w:p>
    <w:p>
      <w:pPr>
        <w:spacing w:before="80" w:after="0"/>
      </w:pPr>
      <w:r>
        <w:t xml:space="preserve"/>
      </w:r>
    </w:p>
    <w:p>
      <w:pPr>
        <w:spacing w:before="180" w:after="60"/>
      </w:pPr>
      <w:r>
        <w:rPr>
          <w:rFonts w:ascii="Arial" w:cs="Arial" w:eastAsia="Arial" w:hAnsi="Arial"/>
          <w:b/>
          <w:bCs/>
          <w:color w:val="334155"/>
          <w:sz w:val="22"/>
          <w:szCs w:val="22"/>
        </w:rPr>
        <w:t xml:space="preserve">Research context (AI safety link)</w:t>
      </w:r>
    </w:p>
    <w:p>
      <w:pPr>
        <w:spacing w:before="0" w:after="140"/>
      </w:pPr>
      <w:r>
        <w:rPr>
          <w:rFonts w:ascii="Arial" w:cs="Arial" w:eastAsia="Arial" w:hAnsi="Arial"/>
          <w:b w:val="false"/>
          <w:bCs w:val="false"/>
          <w:i/>
          <w:iCs/>
          <w:color w:val="334155"/>
          <w:sz w:val="21"/>
          <w:szCs w:val="21"/>
        </w:rPr>
        <w:t xml:space="preserve">Awareness interventions change what survivors believe they can report and to whom. Higher reporting rates mean better training data for detection models. A real-time threat detection system trained only on current reported data inherits the underreporting bias of the existing system.</w:t>
      </w:r>
    </w:p>
    <w:p>
      <w:pPr>
        <w:spacing w:before="200" w:after="0"/>
      </w:pPr>
      <w:r>
        <w:t xml:space="preserve"/>
      </w:r>
    </w:p>
    <w:p>
      <w:pPr>
        <w:spacing w:before="280" w:after="80"/>
      </w:pPr>
      <w:r>
        <w:rPr>
          <w:rFonts w:ascii="Arial" w:cs="Arial" w:eastAsia="Arial" w:hAnsi="Arial"/>
          <w:b/>
          <w:bCs/>
          <w:color w:val="166534"/>
          <w:sz w:val="24"/>
          <w:szCs w:val="24"/>
        </w:rPr>
        <w:t xml:space="preserve">Layer 2: Education and Literacy</w:t>
      </w:r>
    </w:p>
    <w:p>
      <w:pPr>
        <w:spacing w:before="0" w:after="140"/>
      </w:pPr>
      <w:r>
        <w:rPr>
          <w:rFonts w:ascii="Arial" w:cs="Arial" w:eastAsia="Arial" w:hAnsi="Arial"/>
          <w:b w:val="false"/>
          <w:bCs w:val="false"/>
          <w:i w:val="false"/>
          <w:iCs w:val="false"/>
          <w:color w:val="334155"/>
          <w:sz w:val="21"/>
          <w:szCs w:val="21"/>
        </w:rPr>
        <w:t xml:space="preserve">Rajasthan and Uttar Pradesh together account for more than 24% of national cases. Both states have below-average female literacy and high school dropout rates for girls. The correlation between low female education attainment and high sexual violence incidence is well-documented.</w:t>
      </w:r>
    </w:p>
    <w:p>
      <w:pPr>
        <w:spacing w:before="80" w:after="0"/>
      </w:pPr>
      <w:r>
        <w:t xml:space="preserve"/>
      </w:r>
    </w:p>
    <w:p>
      <w:pPr>
        <w:spacing w:before="180" w:after="60"/>
      </w:pPr>
      <w:r>
        <w:rPr>
          <w:rFonts w:ascii="Arial" w:cs="Arial" w:eastAsia="Arial" w:hAnsi="Arial"/>
          <w:b/>
          <w:bCs/>
          <w:color w:val="334155"/>
          <w:sz w:val="22"/>
          <w:szCs w:val="22"/>
        </w:rPr>
        <w:t xml:space="preserve">Policy recommendations</w:t>
      </w:r>
    </w:p>
    <w:p>
      <w:pPr>
        <w:pStyle w:val="ListParagraph"/>
        <w:numPr>
          <w:ilvl w:val="0"/>
          <w:numId w:val="2"/>
        </w:numPr>
        <w:spacing w:before="40" w:after="40"/>
      </w:pPr>
      <w:r>
        <w:rPr>
          <w:rFonts w:ascii="Arial" w:cs="Arial" w:eastAsia="Arial" w:hAnsi="Arial"/>
          <w:color w:val="334155"/>
          <w:sz w:val="21"/>
          <w:szCs w:val="21"/>
        </w:rPr>
        <w:t xml:space="preserve">Conditional cash transfer programmes tied to secondary school completion for girls in high-incidence districts, specifically the top 50 identified in CHRI Part 3.</w:t>
      </w:r>
    </w:p>
    <w:p>
      <w:pPr>
        <w:pStyle w:val="ListParagraph"/>
        <w:numPr>
          <w:ilvl w:val="0"/>
          <w:numId w:val="2"/>
        </w:numPr>
        <w:spacing w:before="40" w:after="40"/>
      </w:pPr>
      <w:r>
        <w:rPr>
          <w:rFonts w:ascii="Arial" w:cs="Arial" w:eastAsia="Arial" w:hAnsi="Arial"/>
          <w:color w:val="334155"/>
          <w:sz w:val="21"/>
          <w:szCs w:val="21"/>
        </w:rPr>
        <w:t xml:space="preserve">Fast-track construction of girls' toilets in schools as a concrete retention measure. Documented dropout driver in rural UP and Rajasthan.</w:t>
      </w:r>
    </w:p>
    <w:p>
      <w:pPr>
        <w:pStyle w:val="ListParagraph"/>
        <w:numPr>
          <w:ilvl w:val="0"/>
          <w:numId w:val="2"/>
        </w:numPr>
        <w:spacing w:before="40" w:after="40"/>
      </w:pPr>
      <w:r>
        <w:rPr>
          <w:rFonts w:ascii="Arial" w:cs="Arial" w:eastAsia="Arial" w:hAnsi="Arial"/>
          <w:color w:val="334155"/>
          <w:sz w:val="21"/>
          <w:szCs w:val="21"/>
        </w:rPr>
        <w:t xml:space="preserve">Literacy drives targeting adult women in rural high-incidence areas to reduce economic dependence that traps women in abusive households.</w:t>
      </w:r>
    </w:p>
    <w:p>
      <w:pPr>
        <w:pStyle w:val="ListParagraph"/>
        <w:numPr>
          <w:ilvl w:val="0"/>
          <w:numId w:val="2"/>
        </w:numPr>
        <w:spacing w:before="40" w:after="40"/>
      </w:pPr>
      <w:r>
        <w:rPr>
          <w:rFonts w:ascii="Arial" w:cs="Arial" w:eastAsia="Arial" w:hAnsi="Arial"/>
          <w:color w:val="334155"/>
          <w:sz w:val="21"/>
          <w:szCs w:val="21"/>
        </w:rPr>
        <w:t xml:space="preserve">Legal literacy specifically: what constitutes rape under the amended IPC, how to file an FIR, what rights survivors have under the 2013 amendments.</w:t>
      </w:r>
    </w:p>
    <w:p>
      <w:pPr>
        <w:spacing w:before="80" w:after="0"/>
      </w:pPr>
      <w:r>
        <w:t xml:space="preserve"/>
      </w:r>
    </w:p>
    <w:p>
      <w:pPr>
        <w:spacing w:before="180" w:after="60"/>
      </w:pPr>
      <w:r>
        <w:rPr>
          <w:rFonts w:ascii="Arial" w:cs="Arial" w:eastAsia="Arial" w:hAnsi="Arial"/>
          <w:b/>
          <w:bCs/>
          <w:color w:val="334155"/>
          <w:sz w:val="22"/>
          <w:szCs w:val="22"/>
        </w:rPr>
        <w:t xml:space="preserve">Research context (AI safety link)</w:t>
      </w:r>
    </w:p>
    <w:p>
      <w:pPr>
        <w:spacing w:before="0" w:after="140"/>
      </w:pPr>
      <w:r>
        <w:rPr>
          <w:rFonts w:ascii="Arial" w:cs="Arial" w:eastAsia="Arial" w:hAnsi="Arial"/>
          <w:b w:val="false"/>
          <w:bCs w:val="false"/>
          <w:i/>
          <w:iCs/>
          <w:color w:val="334155"/>
          <w:sz w:val="21"/>
          <w:szCs w:val="21"/>
        </w:rPr>
        <w:t xml:space="preserve">Low literacy populations are underserved by text-based safety tools. Any AI system designed for survivor support must have a voice-first or pictographic interface to be functional in low-literacy, high-incidence districts. This is a direct design constraint for the research agenda.</w:t>
      </w:r>
    </w:p>
    <w:p>
      <w:pPr>
        <w:spacing w:before="200" w:after="0"/>
      </w:pPr>
      <w:r>
        <w:t xml:space="preserve"/>
      </w:r>
    </w:p>
    <w:p>
      <w:pPr>
        <w:spacing w:before="280" w:after="80"/>
      </w:pPr>
      <w:r>
        <w:rPr>
          <w:rFonts w:ascii="Arial" w:cs="Arial" w:eastAsia="Arial" w:hAnsi="Arial"/>
          <w:b/>
          <w:bCs/>
          <w:color w:val="92400E"/>
          <w:sz w:val="24"/>
          <w:szCs w:val="24"/>
        </w:rPr>
        <w:t xml:space="preserve">Layer 3: Economic Independence and Societal Upliftment</w:t>
      </w:r>
    </w:p>
    <w:p>
      <w:pPr>
        <w:spacing w:before="0" w:after="140"/>
      </w:pPr>
      <w:r>
        <w:rPr>
          <w:rFonts w:ascii="Arial" w:cs="Arial" w:eastAsia="Arial" w:hAnsi="Arial"/>
          <w:b w:val="false"/>
          <w:bCs w:val="false"/>
          <w:i w:val="false"/>
          <w:iCs w:val="false"/>
          <w:color w:val="334155"/>
          <w:sz w:val="21"/>
          <w:szCs w:val="21"/>
        </w:rPr>
        <w:t xml:space="preserve">Economic dependence is one of the most consistent predictors of non-reporting. Women who cannot financially leave an abusive household do not report to police. Government welfare infrastructure that builds economic independence reduces this trap.</w:t>
      </w:r>
    </w:p>
    <w:p>
      <w:pPr>
        <w:spacing w:before="80" w:after="0"/>
      </w:pPr>
      <w:r>
        <w:t xml:space="preserve"/>
      </w:r>
    </w:p>
    <w:p>
      <w:pPr>
        <w:spacing w:before="180" w:after="60"/>
      </w:pPr>
      <w:r>
        <w:rPr>
          <w:rFonts w:ascii="Arial" w:cs="Arial" w:eastAsia="Arial" w:hAnsi="Arial"/>
          <w:b/>
          <w:bCs/>
          <w:color w:val="334155"/>
          <w:sz w:val="22"/>
          <w:szCs w:val="22"/>
        </w:rPr>
        <w:t xml:space="preserve">Policy recommendations</w:t>
      </w:r>
    </w:p>
    <w:p>
      <w:pPr>
        <w:pStyle w:val="ListParagraph"/>
        <w:numPr>
          <w:ilvl w:val="0"/>
          <w:numId w:val="2"/>
        </w:numPr>
        <w:spacing w:before="40" w:after="40"/>
      </w:pPr>
      <w:r>
        <w:rPr>
          <w:rFonts w:ascii="Arial" w:cs="Arial" w:eastAsia="Arial" w:hAnsi="Arial"/>
          <w:color w:val="334155"/>
          <w:sz w:val="21"/>
          <w:szCs w:val="21"/>
        </w:rPr>
        <w:t xml:space="preserve">Expansion of Self-Help Group (SHG) programmes with specific targeting of women in high-incidence districts. SHGs have demonstrated impact on domestic violence reporting in Andhra Pradesh and Telangana.</w:t>
      </w:r>
    </w:p>
    <w:p>
      <w:pPr>
        <w:pStyle w:val="ListParagraph"/>
        <w:numPr>
          <w:ilvl w:val="0"/>
          <w:numId w:val="2"/>
        </w:numPr>
        <w:spacing w:before="40" w:after="40"/>
      </w:pPr>
      <w:r>
        <w:rPr>
          <w:rFonts w:ascii="Arial" w:cs="Arial" w:eastAsia="Arial" w:hAnsi="Arial"/>
          <w:color w:val="334155"/>
          <w:sz w:val="21"/>
          <w:szCs w:val="21"/>
        </w:rPr>
        <w:t xml:space="preserve">MGNREGS work allocation prioritising women in high-incidence areas as a direct economic independence lever.</w:t>
      </w:r>
    </w:p>
    <w:p>
      <w:pPr>
        <w:pStyle w:val="ListParagraph"/>
        <w:numPr>
          <w:ilvl w:val="0"/>
          <w:numId w:val="2"/>
        </w:numPr>
        <w:spacing w:before="40" w:after="40"/>
      </w:pPr>
      <w:r>
        <w:rPr>
          <w:rFonts w:ascii="Arial" w:cs="Arial" w:eastAsia="Arial" w:hAnsi="Arial"/>
          <w:color w:val="334155"/>
          <w:sz w:val="21"/>
          <w:szCs w:val="21"/>
        </w:rPr>
        <w:t xml:space="preserve">One Stop Centres under the Nirbhaya Fund to be audited for functionality. Many exist on paper but are non-operational or inaccessible.</w:t>
      </w:r>
    </w:p>
    <w:p>
      <w:pPr>
        <w:pStyle w:val="ListParagraph"/>
        <w:numPr>
          <w:ilvl w:val="0"/>
          <w:numId w:val="2"/>
        </w:numPr>
        <w:spacing w:before="40" w:after="40"/>
      </w:pPr>
      <w:r>
        <w:rPr>
          <w:rFonts w:ascii="Arial" w:cs="Arial" w:eastAsia="Arial" w:hAnsi="Arial"/>
          <w:color w:val="334155"/>
          <w:sz w:val="21"/>
          <w:szCs w:val="21"/>
        </w:rPr>
        <w:t xml:space="preserve">Government-backed safe housing for survivors who leave abusive situations. Currently almost entirely NGO-dependent and underfunded.</w:t>
      </w:r>
    </w:p>
    <w:p>
      <w:pPr>
        <w:spacing w:before="80" w:after="0"/>
      </w:pPr>
      <w:r>
        <w:t xml:space="preserve"/>
      </w:r>
    </w:p>
    <w:p>
      <w:pPr>
        <w:spacing w:before="180" w:after="60"/>
      </w:pPr>
      <w:r>
        <w:rPr>
          <w:rFonts w:ascii="Arial" w:cs="Arial" w:eastAsia="Arial" w:hAnsi="Arial"/>
          <w:b/>
          <w:bCs/>
          <w:color w:val="334155"/>
          <w:sz w:val="22"/>
          <w:szCs w:val="22"/>
        </w:rPr>
        <w:t xml:space="preserve">Research context (AI safety link)</w:t>
      </w:r>
    </w:p>
    <w:p>
      <w:pPr>
        <w:spacing w:before="0" w:after="140"/>
      </w:pPr>
      <w:r>
        <w:rPr>
          <w:rFonts w:ascii="Arial" w:cs="Arial" w:eastAsia="Arial" w:hAnsi="Arial"/>
          <w:b w:val="false"/>
          <w:bCs w:val="false"/>
          <w:i/>
          <w:iCs/>
          <w:color w:val="334155"/>
          <w:sz w:val="21"/>
          <w:szCs w:val="21"/>
        </w:rPr>
        <w:t xml:space="preserve">Economic independence changes the threshold at which a survivor will accept external intervention. A real-time detection system that triggers a welfare alert rather than only a police response would be more usable by survivors in economically dependent situations. This is a product design constraint with direct implications for the threat model.</w:t>
      </w:r>
    </w:p>
    <w:p>
      <w:pPr>
        <w:spacing w:before="200" w:after="0"/>
      </w:pPr>
      <w:r>
        <w:t xml:space="preserve"/>
      </w:r>
    </w:p>
    <w:p>
      <w:pPr>
        <w:spacing w:before="280" w:after="80"/>
      </w:pPr>
      <w:r>
        <w:rPr>
          <w:rFonts w:ascii="Arial" w:cs="Arial" w:eastAsia="Arial" w:hAnsi="Arial"/>
          <w:b/>
          <w:bCs/>
          <w:color w:val="991B1B"/>
          <w:sz w:val="24"/>
          <w:szCs w:val="24"/>
        </w:rPr>
        <w:t xml:space="preserve">Layer 4: Justice System Reform and Deterrence</w:t>
      </w:r>
    </w:p>
    <w:p>
      <w:pPr>
        <w:spacing w:before="0" w:after="140"/>
      </w:pPr>
      <w:r>
        <w:rPr>
          <w:rFonts w:ascii="Arial" w:cs="Arial" w:eastAsia="Arial" w:hAnsi="Arial"/>
          <w:b w:val="false"/>
          <w:bCs w:val="false"/>
          <w:i w:val="false"/>
          <w:iCs w:val="false"/>
          <w:color w:val="334155"/>
          <w:sz w:val="21"/>
          <w:szCs w:val="21"/>
        </w:rPr>
        <w:t xml:space="preserve">The trial backlog reaching 198,285 cases by end of 2022 with a completion rate never exceeding 13% is not a resource problem alone. It is a structural design problem. Fast-track courts were created after Nirbhaya but were never funded or staffed to absorb the case volume.</w:t>
      </w:r>
    </w:p>
    <w:p>
      <w:pPr>
        <w:spacing w:before="80" w:after="0"/>
      </w:pPr>
      <w:r>
        <w:t xml:space="preserve"/>
      </w:r>
    </w:p>
    <w:p>
      <w:pPr>
        <w:spacing w:before="180" w:after="60"/>
      </w:pPr>
      <w:r>
        <w:rPr>
          <w:rFonts w:ascii="Arial" w:cs="Arial" w:eastAsia="Arial" w:hAnsi="Arial"/>
          <w:b/>
          <w:bCs/>
          <w:color w:val="334155"/>
          <w:sz w:val="22"/>
          <w:szCs w:val="22"/>
        </w:rPr>
        <w:t xml:space="preserve">Policy recommendations</w:t>
      </w:r>
    </w:p>
    <w:p>
      <w:pPr>
        <w:pStyle w:val="ListParagraph"/>
        <w:numPr>
          <w:ilvl w:val="0"/>
          <w:numId w:val="2"/>
        </w:numPr>
        <w:spacing w:before="40" w:after="40"/>
      </w:pPr>
      <w:r>
        <w:rPr>
          <w:rFonts w:ascii="Arial" w:cs="Arial" w:eastAsia="Arial" w:hAnsi="Arial"/>
          <w:color w:val="334155"/>
          <w:sz w:val="21"/>
          <w:szCs w:val="21"/>
        </w:rPr>
        <w:t xml:space="preserve">Dedicated fast-track courts for POCSO and rape cases in every district with more than 100 annual cases. Currently exists in fewer than 40% of such districts.</w:t>
      </w:r>
    </w:p>
    <w:p>
      <w:pPr>
        <w:pStyle w:val="ListParagraph"/>
        <w:numPr>
          <w:ilvl w:val="0"/>
          <w:numId w:val="2"/>
        </w:numPr>
        <w:spacing w:before="40" w:after="40"/>
      </w:pPr>
      <w:r>
        <w:rPr>
          <w:rFonts w:ascii="Arial" w:cs="Arial" w:eastAsia="Arial" w:hAnsi="Arial"/>
          <w:color w:val="334155"/>
          <w:sz w:val="21"/>
          <w:szCs w:val="21"/>
        </w:rPr>
        <w:t xml:space="preserve">Mandatory timeline enforcement: Supreme Court-directed 2-year trial completion has no enforcement mechanism. Legislative backing needed.</w:t>
      </w:r>
    </w:p>
    <w:p>
      <w:pPr>
        <w:pStyle w:val="ListParagraph"/>
        <w:numPr>
          <w:ilvl w:val="0"/>
          <w:numId w:val="2"/>
        </w:numPr>
        <w:spacing w:before="40" w:after="40"/>
      </w:pPr>
      <w:r>
        <w:rPr>
          <w:rFonts w:ascii="Arial" w:cs="Arial" w:eastAsia="Arial" w:hAnsi="Arial"/>
          <w:color w:val="334155"/>
          <w:sz w:val="21"/>
          <w:szCs w:val="21"/>
        </w:rPr>
        <w:t xml:space="preserve">Police training on FIR registration. Burking (refusal to register) remains undocumented and unpunished. Mandatory FIR registration with audit trails is the 2013 amendment intent that is not being enforced.</w:t>
      </w:r>
    </w:p>
    <w:p>
      <w:pPr>
        <w:pStyle w:val="ListParagraph"/>
        <w:numPr>
          <w:ilvl w:val="0"/>
          <w:numId w:val="2"/>
        </w:numPr>
        <w:spacing w:before="40" w:after="40"/>
      </w:pPr>
      <w:r>
        <w:rPr>
          <w:rFonts w:ascii="Arial" w:cs="Arial" w:eastAsia="Arial" w:hAnsi="Arial"/>
          <w:color w:val="334155"/>
          <w:sz w:val="21"/>
          <w:szCs w:val="21"/>
        </w:rPr>
        <w:t xml:space="preserve">Survivor support during trial: legal aid, psychological support, witness protection. Currently a near-complete gap. High dropout rates in trials are partly explained by survivors withdrawing due to lack of support.</w:t>
      </w:r>
    </w:p>
    <w:p>
      <w:pPr>
        <w:spacing w:before="80" w:after="0"/>
      </w:pPr>
      <w:r>
        <w:t xml:space="preserve"/>
      </w:r>
    </w:p>
    <w:p>
      <w:pPr>
        <w:spacing w:before="180" w:after="60"/>
      </w:pPr>
      <w:r>
        <w:rPr>
          <w:rFonts w:ascii="Arial" w:cs="Arial" w:eastAsia="Arial" w:hAnsi="Arial"/>
          <w:b/>
          <w:bCs/>
          <w:color w:val="334155"/>
          <w:sz w:val="22"/>
          <w:szCs w:val="22"/>
        </w:rPr>
        <w:t xml:space="preserve">On capital punishment</w:t>
      </w:r>
    </w:p>
    <w:p>
      <w:pPr>
        <w:spacing w:before="0" w:after="140"/>
      </w:pPr>
      <w:r>
        <w:rPr>
          <w:rFonts w:ascii="Arial" w:cs="Arial" w:eastAsia="Arial" w:hAnsi="Arial"/>
          <w:b w:val="false"/>
          <w:bCs w:val="false"/>
          <w:i w:val="false"/>
          <w:iCs w:val="false"/>
          <w:color w:val="334155"/>
          <w:sz w:val="21"/>
          <w:szCs w:val="21"/>
        </w:rPr>
        <w:t xml:space="preserve">India introduced the death penalty for rape of children under 12 via the 2018 Criminal Law Amendment. The deterrence evidence for capital punishment in sexual violence cases is mixed at best. Several studies suggest it may reduce reporting because juries and judges are unwilling to convict if the penalty is seen as disproportionate.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2F2" w:val="clear"/>
            <w:tcMar>
              <w:top w:type="dxa" w:w="180"/>
              <w:left w:type="dxa" w:w="240"/>
              <w:bottom w:type="dxa" w:w="180"/>
              <w:right w:type="dxa" w:w="240"/>
            </w:tcMar>
          </w:tcPr>
          <w:p>
            <w:pPr>
              <w:spacing w:before="0" w:after="140"/>
            </w:pPr>
            <w:r>
              <w:rPr>
                <w:rFonts w:ascii="Arial" w:cs="Arial" w:eastAsia="Arial" w:hAnsi="Arial"/>
                <w:b w:val="false"/>
                <w:bCs w:val="false"/>
                <w:i w:val="false"/>
                <w:iCs w:val="false"/>
                <w:color w:val="334155"/>
                <w:sz w:val="21"/>
                <w:szCs w:val="21"/>
              </w:rPr>
              <w:t xml:space="preserve">The more credible deterrence lever is certainty of conviction, not severity of sentence. The NCRB data supports this: conviction rates averaged 27.6% across 2013-2022. A perpetrator calculating risk faces a 72.4% chance of acquittal. Increasing that risk is structurally more powerful than increasing the sentence for the 27.6% who are convicted.</w:t>
            </w:r>
          </w:p>
        </w:tc>
      </w:tr>
    </w:tbl>
    <w:p>
      <w:pPr>
        <w:spacing w:before="200" w:after="0"/>
      </w:pPr>
      <w:r>
        <w:t xml:space="preserve"/>
      </w:r>
    </w:p>
    <w:p>
      <w:pPr>
        <w:spacing w:before="280" w:after="80"/>
      </w:pPr>
      <w:r>
        <w:rPr>
          <w:rFonts w:ascii="Arial" w:cs="Arial" w:eastAsia="Arial" w:hAnsi="Arial"/>
          <w:b/>
          <w:bCs/>
          <w:color w:val="7E22CE"/>
          <w:sz w:val="24"/>
          <w:szCs w:val="24"/>
        </w:rPr>
        <w:t xml:space="preserve">Layer 5: Technology and AI Safety Interventions</w:t>
      </w:r>
    </w:p>
    <w:p>
      <w:pPr>
        <w:spacing w:before="0" w:after="140"/>
      </w:pPr>
      <w:r>
        <w:rPr>
          <w:rFonts w:ascii="Arial" w:cs="Arial" w:eastAsia="Arial" w:hAnsi="Arial"/>
          <w:b w:val="false"/>
          <w:bCs w:val="false"/>
          <w:i w:val="false"/>
          <w:iCs w:val="false"/>
          <w:color w:val="334155"/>
          <w:sz w:val="21"/>
          <w:szCs w:val="21"/>
        </w:rPr>
        <w:t xml:space="preserve">This is where the research agenda sits. The structural gaps above create both the need for and the constraints on AI-based tools. Each layer above generates a design requirement for any real-time safety system.</w:t>
      </w:r>
    </w:p>
    <w:p>
      <w:pPr>
        <w:spacing w:before="80" w:after="0"/>
      </w:pPr>
      <w:r>
        <w:t xml:space="preserve"/>
      </w:r>
    </w:p>
    <w:p>
      <w:pPr>
        <w:spacing w:before="180" w:after="60"/>
      </w:pPr>
      <w:r>
        <w:rPr>
          <w:rFonts w:ascii="Arial" w:cs="Arial" w:eastAsia="Arial" w:hAnsi="Arial"/>
          <w:b/>
          <w:bCs/>
          <w:color w:val="334155"/>
          <w:sz w:val="22"/>
          <w:szCs w:val="22"/>
        </w:rPr>
        <w:t xml:space="preserve">Projective AI interventions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2E8F0" w:sz="1"/>
              <w:left w:val="single" w:color="E2E8F0" w:sz="1"/>
              <w:bottom w:val="single" w:color="E2E8F0" w:sz="1"/>
              <w:right w:val="single" w:color="E2E8F0" w:sz="1"/>
            </w:tcBorders>
            <w:shd w:fill="FAF5FF" w:val="clear"/>
            <w:tcMar>
              <w:top w:type="dxa" w:w="120"/>
              <w:left w:type="dxa" w:w="160"/>
              <w:bottom w:type="dxa" w:w="120"/>
              <w:right w:type="dxa" w:w="160"/>
            </w:tcMar>
            <w:vAlign w:val="center"/>
          </w:tcPr>
          <w:p>
            <w:pPr>
              <w:jc w:val="center"/>
            </w:pPr>
            <w:r>
              <w:rPr>
                <w:rFonts w:ascii="Arial" w:cs="Arial" w:eastAsia="Arial" w:hAnsi="Arial"/>
                <w:b/>
                <w:bCs/>
                <w:color w:val="7E22CE"/>
                <w:sz w:val="19"/>
                <w:szCs w:val="19"/>
              </w:rPr>
              <w:t xml:space="preserve">Real-time detection</w:t>
            </w:r>
          </w:p>
        </w:tc>
        <w:tc>
          <w:tcPr>
            <w:tcW w:type="dxa" w:w="7160"/>
            <w:tcBorders>
              <w:top w:val="single" w:color="E2E8F0" w:sz="1"/>
              <w:left w:val="single" w:color="E2E8F0" w:sz="1"/>
              <w:bottom w:val="single" w:color="E2E8F0" w:sz="1"/>
              <w:right w:val="single" w:color="E2E8F0" w:sz="1"/>
            </w:tcBorders>
            <w:shd w:fill="FFFFFF" w:val="clear"/>
            <w:tcMar>
              <w:top w:type="dxa" w:w="120"/>
              <w:left w:type="dxa" w:w="200"/>
              <w:bottom w:type="dxa" w:w="120"/>
              <w:right w:type="dxa" w:w="160"/>
            </w:tcMar>
          </w:tcPr>
          <w:p>
            <w:r>
              <w:rPr>
                <w:rFonts w:ascii="Arial" w:cs="Arial" w:eastAsia="Arial" w:hAnsi="Arial"/>
                <w:color w:val="334155"/>
                <w:sz w:val="20"/>
                <w:szCs w:val="20"/>
              </w:rPr>
              <w:t xml:space="preserve">Identifying when a person is in immediate physical danger via audio, movement, or physiological signals without requiring conscious activation. The research problem at the centre of the Fellows application.</w:t>
            </w:r>
          </w:p>
        </w:tc>
      </w:tr>
      <w:tr>
        <w:tc>
          <w:tcPr>
            <w:tcW w:type="dxa" w:w="2200"/>
            <w:tcBorders>
              <w:top w:val="single" w:color="E2E8F0" w:sz="1"/>
              <w:left w:val="single" w:color="E2E8F0" w:sz="1"/>
              <w:bottom w:val="single" w:color="E2E8F0" w:sz="1"/>
              <w:right w:val="single" w:color="E2E8F0" w:sz="1"/>
            </w:tcBorders>
            <w:shd w:fill="EFF6FF" w:val="clear"/>
            <w:tcMar>
              <w:top w:type="dxa" w:w="120"/>
              <w:left w:type="dxa" w:w="160"/>
              <w:bottom w:type="dxa" w:w="120"/>
              <w:right w:type="dxa" w:w="160"/>
            </w:tcMar>
            <w:vAlign w:val="center"/>
          </w:tcPr>
          <w:p>
            <w:pPr>
              <w:jc w:val="center"/>
            </w:pPr>
            <w:r>
              <w:rPr>
                <w:rFonts w:ascii="Arial" w:cs="Arial" w:eastAsia="Arial" w:hAnsi="Arial"/>
                <w:b/>
                <w:bCs/>
                <w:color w:val="1A56DB"/>
                <w:sz w:val="19"/>
                <w:szCs w:val="19"/>
              </w:rPr>
              <w:t xml:space="preserve">Emergency alert routing</w:t>
            </w:r>
          </w:p>
        </w:tc>
        <w:tc>
          <w:tcPr>
            <w:tcW w:type="dxa" w:w="7160"/>
            <w:tcBorders>
              <w:top w:val="single" w:color="E2E8F0" w:sz="1"/>
              <w:left w:val="single" w:color="E2E8F0" w:sz="1"/>
              <w:bottom w:val="single" w:color="E2E8F0" w:sz="1"/>
              <w:right w:val="single" w:color="E2E8F0" w:sz="1"/>
            </w:tcBorders>
            <w:shd w:fill="FFFFFF" w:val="clear"/>
            <w:tcMar>
              <w:top w:type="dxa" w:w="120"/>
              <w:left w:type="dxa" w:w="200"/>
              <w:bottom w:type="dxa" w:w="120"/>
              <w:right w:type="dxa" w:w="160"/>
            </w:tcMar>
          </w:tcPr>
          <w:p>
            <w:r>
              <w:rPr>
                <w:rFonts w:ascii="Arial" w:cs="Arial" w:eastAsia="Arial" w:hAnsi="Arial"/>
                <w:color w:val="334155"/>
                <w:sz w:val="20"/>
                <w:szCs w:val="20"/>
              </w:rPr>
              <w:t xml:space="preserve">Automatically routing distress signals to the right resource: police, One Stop Centre, trusted contact, or NGO depending on the survivor's profile and location. Current systems are all manual.</w:t>
            </w:r>
          </w:p>
        </w:tc>
      </w:tr>
      <w:tr>
        <w:tc>
          <w:tcPr>
            <w:tcW w:type="dxa" w:w="2200"/>
            <w:tcBorders>
              <w:top w:val="single" w:color="E2E8F0" w:sz="1"/>
              <w:left w:val="single" w:color="E2E8F0" w:sz="1"/>
              <w:bottom w:val="single" w:color="E2E8F0" w:sz="1"/>
              <w:right w:val="single" w:color="E2E8F0" w:sz="1"/>
            </w:tcBorders>
            <w:shd w:fill="F0FDF4" w:val="clear"/>
            <w:tcMar>
              <w:top w:type="dxa" w:w="120"/>
              <w:left w:type="dxa" w:w="160"/>
              <w:bottom w:type="dxa" w:w="120"/>
              <w:right w:type="dxa" w:w="160"/>
            </w:tcMar>
            <w:vAlign w:val="center"/>
          </w:tcPr>
          <w:p>
            <w:pPr>
              <w:jc w:val="center"/>
            </w:pPr>
            <w:r>
              <w:rPr>
                <w:rFonts w:ascii="Arial" w:cs="Arial" w:eastAsia="Arial" w:hAnsi="Arial"/>
                <w:b/>
                <w:bCs/>
                <w:color w:val="166534"/>
                <w:sz w:val="19"/>
                <w:szCs w:val="19"/>
              </w:rPr>
              <w:t xml:space="preserve">FIR filing support</w:t>
            </w:r>
          </w:p>
        </w:tc>
        <w:tc>
          <w:tcPr>
            <w:tcW w:type="dxa" w:w="7160"/>
            <w:tcBorders>
              <w:top w:val="single" w:color="E2E8F0" w:sz="1"/>
              <w:left w:val="single" w:color="E2E8F0" w:sz="1"/>
              <w:bottom w:val="single" w:color="E2E8F0" w:sz="1"/>
              <w:right w:val="single" w:color="E2E8F0" w:sz="1"/>
            </w:tcBorders>
            <w:shd w:fill="FFFFFF" w:val="clear"/>
            <w:tcMar>
              <w:top w:type="dxa" w:w="120"/>
              <w:left w:type="dxa" w:w="200"/>
              <w:bottom w:type="dxa" w:w="120"/>
              <w:right w:type="dxa" w:w="160"/>
            </w:tcMar>
          </w:tcPr>
          <w:p>
            <w:r>
              <w:rPr>
                <w:rFonts w:ascii="Arial" w:cs="Arial" w:eastAsia="Arial" w:hAnsi="Arial"/>
                <w:color w:val="334155"/>
                <w:sz w:val="20"/>
                <w:szCs w:val="20"/>
              </w:rPr>
              <w:t xml:space="preserve">AI-assisted FIR drafting that helps survivors document incidents in legally-correct language. Addresses the legal literacy gap and the intimidation that keeps survivors from filing.</w:t>
            </w:r>
          </w:p>
        </w:tc>
      </w:tr>
      <w:tr>
        <w:tc>
          <w:tcPr>
            <w:tcW w:type="dxa" w:w="2200"/>
            <w:tcBorders>
              <w:top w:val="single" w:color="E2E8F0" w:sz="1"/>
              <w:left w:val="single" w:color="E2E8F0" w:sz="1"/>
              <w:bottom w:val="single" w:color="E2E8F0" w:sz="1"/>
              <w:right w:val="single" w:color="E2E8F0" w:sz="1"/>
            </w:tcBorders>
            <w:shd w:fill="FFFBEB" w:val="clear"/>
            <w:tcMar>
              <w:top w:type="dxa" w:w="120"/>
              <w:left w:type="dxa" w:w="160"/>
              <w:bottom w:type="dxa" w:w="120"/>
              <w:right w:type="dxa" w:w="160"/>
            </w:tcMar>
            <w:vAlign w:val="center"/>
          </w:tcPr>
          <w:p>
            <w:pPr>
              <w:jc w:val="center"/>
            </w:pPr>
            <w:r>
              <w:rPr>
                <w:rFonts w:ascii="Arial" w:cs="Arial" w:eastAsia="Arial" w:hAnsi="Arial"/>
                <w:b/>
                <w:bCs/>
                <w:color w:val="92400E"/>
                <w:sz w:val="19"/>
                <w:szCs w:val="19"/>
              </w:rPr>
              <w:t xml:space="preserve">Backlog prediction</w:t>
            </w:r>
          </w:p>
        </w:tc>
        <w:tc>
          <w:tcPr>
            <w:tcW w:type="dxa" w:w="7160"/>
            <w:tcBorders>
              <w:top w:val="single" w:color="E2E8F0" w:sz="1"/>
              <w:left w:val="single" w:color="E2E8F0" w:sz="1"/>
              <w:bottom w:val="single" w:color="E2E8F0" w:sz="1"/>
              <w:right w:val="single" w:color="E2E8F0" w:sz="1"/>
            </w:tcBorders>
            <w:shd w:fill="FFFFFF" w:val="clear"/>
            <w:tcMar>
              <w:top w:type="dxa" w:w="120"/>
              <w:left w:type="dxa" w:w="200"/>
              <w:bottom w:type="dxa" w:w="120"/>
              <w:right w:type="dxa" w:w="160"/>
            </w:tcMar>
          </w:tcPr>
          <w:p>
            <w:r>
              <w:rPr>
                <w:rFonts w:ascii="Arial" w:cs="Arial" w:eastAsia="Arial" w:hAnsi="Arial"/>
                <w:color w:val="334155"/>
                <w:sz w:val="20"/>
                <w:szCs w:val="20"/>
              </w:rPr>
              <w:t xml:space="preserve">Predicting which cases are at highest risk of being stuck in the trial backlog and flagging them for legal aid intervention. A tractable NLP problem on case records.</w:t>
            </w:r>
          </w:p>
        </w:tc>
      </w:tr>
      <w:tr>
        <w:tc>
          <w:tcPr>
            <w:tcW w:type="dxa" w:w="2200"/>
            <w:tcBorders>
              <w:top w:val="single" w:color="E2E8F0" w:sz="1"/>
              <w:left w:val="single" w:color="E2E8F0" w:sz="1"/>
              <w:bottom w:val="single" w:color="E2E8F0" w:sz="1"/>
              <w:right w:val="single" w:color="E2E8F0" w:sz="1"/>
            </w:tcBorders>
            <w:shd w:fill="FEF2F2" w:val="clear"/>
            <w:tcMar>
              <w:top w:type="dxa" w:w="120"/>
              <w:left w:type="dxa" w:w="160"/>
              <w:bottom w:type="dxa" w:w="120"/>
              <w:right w:type="dxa" w:w="160"/>
            </w:tcMar>
            <w:vAlign w:val="center"/>
          </w:tcPr>
          <w:p>
            <w:pPr>
              <w:jc w:val="center"/>
            </w:pPr>
            <w:r>
              <w:rPr>
                <w:rFonts w:ascii="Arial" w:cs="Arial" w:eastAsia="Arial" w:hAnsi="Arial"/>
                <w:b/>
                <w:bCs/>
                <w:color w:val="991B1B"/>
                <w:sz w:val="19"/>
                <w:szCs w:val="19"/>
              </w:rPr>
              <w:t xml:space="preserve">Underreporting estimation</w:t>
            </w:r>
          </w:p>
        </w:tc>
        <w:tc>
          <w:tcPr>
            <w:tcW w:type="dxa" w:w="7160"/>
            <w:tcBorders>
              <w:top w:val="single" w:color="E2E8F0" w:sz="1"/>
              <w:left w:val="single" w:color="E2E8F0" w:sz="1"/>
              <w:bottom w:val="single" w:color="E2E8F0" w:sz="1"/>
              <w:right w:val="single" w:color="E2E8F0" w:sz="1"/>
            </w:tcBorders>
            <w:shd w:fill="FFFFFF" w:val="clear"/>
            <w:tcMar>
              <w:top w:type="dxa" w:w="120"/>
              <w:left w:type="dxa" w:w="200"/>
              <w:bottom w:type="dxa" w:w="120"/>
              <w:right w:type="dxa" w:w="160"/>
            </w:tcMar>
          </w:tcPr>
          <w:p>
            <w:r>
              <w:rPr>
                <w:rFonts w:ascii="Arial" w:cs="Arial" w:eastAsia="Arial" w:hAnsi="Arial"/>
                <w:color w:val="334155"/>
                <w:sz w:val="20"/>
                <w:szCs w:val="20"/>
              </w:rPr>
              <w:t xml:space="preserve">Using indirect signals (hospital records, NCW complaints, media reports) to model the true incidence rate above the 31,000 reported floor. Prerequisite for building representative training data.</w:t>
            </w:r>
          </w:p>
        </w:tc>
      </w:tr>
    </w:tbl>
    <w:p>
      <w:pPr>
        <w:spacing w:before="120" w:after="0"/>
      </w:pPr>
      <w:r>
        <w:t xml:space="preserve"/>
      </w:r>
    </w:p>
    <w:p>
      <w:pPr>
        <w:spacing w:before="180" w:after="60"/>
      </w:pPr>
      <w:r>
        <w:rPr>
          <w:rFonts w:ascii="Arial" w:cs="Arial" w:eastAsia="Arial" w:hAnsi="Arial"/>
          <w:b/>
          <w:bCs/>
          <w:color w:val="334155"/>
          <w:sz w:val="22"/>
          <w:szCs w:val="22"/>
        </w:rPr>
        <w:t xml:space="preserve">Critical AI safety constraints from this data</w:t>
      </w:r>
    </w:p>
    <w:p>
      <w:pPr>
        <w:pStyle w:val="ListParagraph"/>
        <w:numPr>
          <w:ilvl w:val="0"/>
          <w:numId w:val="2"/>
        </w:numPr>
        <w:spacing w:before="40" w:after="40"/>
      </w:pPr>
      <w:r>
        <w:rPr>
          <w:rFonts w:ascii="Arial" w:cs="Arial" w:eastAsia="Arial" w:hAnsi="Arial"/>
          <w:color w:val="334155"/>
          <w:sz w:val="21"/>
          <w:szCs w:val="21"/>
        </w:rPr>
        <w:t xml:space="preserve">Any detection system must operate under the assumption that the perpetrator may be in the same physical space as the device. Covert activation is not optional, it is a baseline safety requirement.</w:t>
      </w:r>
    </w:p>
    <w:p>
      <w:pPr>
        <w:pStyle w:val="ListParagraph"/>
        <w:numPr>
          <w:ilvl w:val="0"/>
          <w:numId w:val="2"/>
        </w:numPr>
        <w:spacing w:before="40" w:after="40"/>
      </w:pPr>
      <w:r>
        <w:rPr>
          <w:rFonts w:ascii="Arial" w:cs="Arial" w:eastAsia="Arial" w:hAnsi="Arial"/>
          <w:color w:val="334155"/>
          <w:sz w:val="21"/>
          <w:szCs w:val="21"/>
        </w:rPr>
        <w:t xml:space="preserve">False positives cannot route to police as the default response in high-incidence intimate-partner-violence contexts. Police response can escalate danger. Alert routing must be configurable and context-aware.</w:t>
      </w:r>
    </w:p>
    <w:p>
      <w:pPr>
        <w:pStyle w:val="ListParagraph"/>
        <w:numPr>
          <w:ilvl w:val="0"/>
          <w:numId w:val="2"/>
        </w:numPr>
        <w:spacing w:before="40" w:after="40"/>
      </w:pPr>
      <w:r>
        <w:rPr>
          <w:rFonts w:ascii="Arial" w:cs="Arial" w:eastAsia="Arial" w:hAnsi="Arial"/>
          <w:color w:val="334155"/>
          <w:sz w:val="21"/>
          <w:szCs w:val="21"/>
        </w:rPr>
        <w:t xml:space="preserve">Training data for distress detection in Indian languages, dialects, and environmental contexts does not currently exist at the scale needed for robust models. This is a data gap that has to be solved before model development is meaningful.</w:t>
      </w:r>
    </w:p>
    <w:p>
      <w:pPr>
        <w:pStyle w:val="ListParagraph"/>
        <w:numPr>
          <w:ilvl w:val="0"/>
          <w:numId w:val="2"/>
        </w:numPr>
        <w:spacing w:before="40" w:after="40"/>
      </w:pPr>
      <w:r>
        <w:rPr>
          <w:rFonts w:ascii="Arial" w:cs="Arial" w:eastAsia="Arial" w:hAnsi="Arial"/>
          <w:color w:val="334155"/>
          <w:sz w:val="21"/>
          <w:szCs w:val="21"/>
        </w:rPr>
        <w:t xml:space="preserve">Any tool that requires smartphone access excludes the highest-incidence populations. Rural UP and Rajasthan have significantly lower smartphone penetration among women than national averages.</w:t>
      </w:r>
    </w:p>
    <w:p>
      <w:pPr>
        <w:spacing w:before="200" w:after="0"/>
      </w:pPr>
      <w:r>
        <w:t xml:space="preserve"/>
      </w:r>
    </w:p>
    <w:p>
      <w:pPr>
        <w:pStyle w:val="Heading1"/>
        <w:pBdr>
          <w:bottom w:val="single" w:color="1A56DB" w:sz="4" w:space="4"/>
        </w:pBdr>
        <w:spacing w:before="480" w:after="120"/>
      </w:pPr>
      <w:r>
        <w:rPr>
          <w:rFonts w:ascii="Arial" w:cs="Arial" w:eastAsia="Arial" w:hAnsi="Arial"/>
          <w:b/>
          <w:bCs/>
          <w:color w:val="0F172A"/>
          <w:sz w:val="30"/>
          <w:szCs w:val="30"/>
        </w:rPr>
        <w:t xml:space="preserve">3. Intervention Layer Summary</w:t>
      </w:r>
    </w:p>
    <w:p>
      <w:pPr>
        <w:spacing w:before="0" w:after="140"/>
      </w:pPr>
      <w:r>
        <w:rPr>
          <w:rFonts w:ascii="Arial" w:cs="Arial" w:eastAsia="Arial" w:hAnsi="Arial"/>
          <w:b w:val="false"/>
          <w:bCs w:val="false"/>
          <w:i w:val="false"/>
          <w:iCs w:val="false"/>
          <w:color w:val="334155"/>
          <w:sz w:val="21"/>
          <w:szCs w:val="21"/>
        </w:rPr>
        <w:t xml:space="preserve">Each row maps a structural gap identified in the NCRB data to an intervention layer and its connection to the AI safety research agenda.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18"/>
                <w:szCs w:val="18"/>
              </w:rPr>
              <w:t xml:space="preserve">Layer</w:t>
            </w:r>
          </w:p>
        </w:tc>
        <w:tc>
          <w:tcPr>
            <w:tcW w:type="dxa" w:w="24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18"/>
                <w:szCs w:val="18"/>
              </w:rPr>
              <w:t xml:space="preserve">Data gap it addresses</w:t>
            </w:r>
          </w:p>
        </w:tc>
        <w:tc>
          <w:tcPr>
            <w:tcW w:type="dxa" w:w="24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18"/>
                <w:szCs w:val="18"/>
              </w:rPr>
              <w:t xml:space="preserve">Type</w:t>
            </w:r>
          </w:p>
        </w:tc>
        <w:tc>
          <w:tcPr>
            <w:tcW w:type="dxa" w:w="27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18"/>
                <w:szCs w:val="18"/>
              </w:rPr>
              <w:t xml:space="preserve">AI safety link</w:t>
            </w:r>
          </w:p>
        </w:tc>
      </w:tr>
      <w:tr>
        <w:tc>
          <w:tcPr>
            <w:tcW w:type="dxa" w:w="1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bCs/>
                <w:color w:val="1A56DB"/>
                <w:sz w:val="19"/>
                <w:szCs w:val="19"/>
              </w:rPr>
              <w:t xml:space="preserve">Awareness</w:t>
            </w:r>
          </w:p>
        </w:tc>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334155"/>
                <w:sz w:val="18"/>
                <w:szCs w:val="18"/>
              </w:rPr>
              <w:t xml:space="preserve">88.7% known-offender pattern; norm-driven impunity</w:t>
            </w:r>
          </w:p>
        </w:tc>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334155"/>
                <w:sz w:val="18"/>
                <w:szCs w:val="18"/>
              </w:rPr>
              <w:t xml:space="preserve">Social</w:t>
            </w:r>
          </w:p>
        </w:tc>
        <w:tc>
          <w:tcPr>
            <w:tcW w:type="dxa" w:w="27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i/>
                <w:iCs/>
                <w:color w:val="7E22CE"/>
                <w:sz w:val="18"/>
                <w:szCs w:val="18"/>
              </w:rPr>
              <w:t xml:space="preserve">Training data bias; reporting rate</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A56DB"/>
                <w:sz w:val="19"/>
                <w:szCs w:val="19"/>
              </w:rPr>
              <w:t xml:space="preserve">Education</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34155"/>
                <w:sz w:val="18"/>
                <w:szCs w:val="18"/>
              </w:rPr>
              <w:t xml:space="preserve">High incidence in low-literacy states; dropout-linked vulnerability</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34155"/>
                <w:sz w:val="18"/>
                <w:szCs w:val="18"/>
              </w:rPr>
              <w:t xml:space="preserve">Institutional</w:t>
            </w:r>
          </w:p>
        </w:tc>
        <w:tc>
          <w:tcPr>
            <w:tcW w:type="dxa" w:w="2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i/>
                <w:iCs/>
                <w:color w:val="7E22CE"/>
                <w:sz w:val="18"/>
                <w:szCs w:val="18"/>
              </w:rPr>
              <w:t xml:space="preserve">Interface design for low-literacy users</w:t>
            </w:r>
          </w:p>
        </w:tc>
      </w:tr>
      <w:tr>
        <w:tc>
          <w:tcPr>
            <w:tcW w:type="dxa" w:w="1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bCs/>
                <w:color w:val="1A56DB"/>
                <w:sz w:val="19"/>
                <w:szCs w:val="19"/>
              </w:rPr>
              <w:t xml:space="preserve">Economic uplift</w:t>
            </w:r>
          </w:p>
        </w:tc>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334155"/>
                <w:sz w:val="18"/>
                <w:szCs w:val="18"/>
              </w:rPr>
              <w:t xml:space="preserve">Economic dependence suppressing reporting and exit</w:t>
            </w:r>
          </w:p>
        </w:tc>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334155"/>
                <w:sz w:val="18"/>
                <w:szCs w:val="18"/>
              </w:rPr>
              <w:t xml:space="preserve">Welfare</w:t>
            </w:r>
          </w:p>
        </w:tc>
        <w:tc>
          <w:tcPr>
            <w:tcW w:type="dxa" w:w="27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i/>
                <w:iCs/>
                <w:color w:val="7E22CE"/>
                <w:sz w:val="18"/>
                <w:szCs w:val="18"/>
              </w:rPr>
              <w:t xml:space="preserve">Alert routing design; survivor agency model</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A56DB"/>
                <w:sz w:val="19"/>
                <w:szCs w:val="19"/>
              </w:rPr>
              <w:t xml:space="preserve">Justice reform</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34155"/>
                <w:sz w:val="18"/>
                <w:szCs w:val="18"/>
              </w:rPr>
              <w:t xml:space="preserve">12% trial completion; 72% acquittal; backlog of 198K</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34155"/>
                <w:sz w:val="18"/>
                <w:szCs w:val="18"/>
              </w:rPr>
              <w:t xml:space="preserve">Structural</w:t>
            </w:r>
          </w:p>
        </w:tc>
        <w:tc>
          <w:tcPr>
            <w:tcW w:type="dxa" w:w="2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i/>
                <w:iCs/>
                <w:color w:val="7E22CE"/>
                <w:sz w:val="18"/>
                <w:szCs w:val="18"/>
              </w:rPr>
              <w:t xml:space="preserve">Certainty-of-conviction as deterrence; case triage ML</w:t>
            </w:r>
          </w:p>
        </w:tc>
      </w:tr>
      <w:tr>
        <w:tc>
          <w:tcPr>
            <w:tcW w:type="dxa" w:w="1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bCs/>
                <w:color w:val="1A56DB"/>
                <w:sz w:val="19"/>
                <w:szCs w:val="19"/>
              </w:rPr>
              <w:t xml:space="preserve">AI and tech</w:t>
            </w:r>
          </w:p>
        </w:tc>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334155"/>
                <w:sz w:val="18"/>
                <w:szCs w:val="18"/>
              </w:rPr>
              <w:t xml:space="preserve">All of the above; real-time gap when threat is occurring</w:t>
            </w:r>
          </w:p>
        </w:tc>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334155"/>
                <w:sz w:val="18"/>
                <w:szCs w:val="18"/>
              </w:rPr>
              <w:t xml:space="preserve">Technical</w:t>
            </w:r>
          </w:p>
        </w:tc>
        <w:tc>
          <w:tcPr>
            <w:tcW w:type="dxa" w:w="27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i/>
                <w:iCs/>
                <w:color w:val="7E22CE"/>
                <w:sz w:val="18"/>
                <w:szCs w:val="18"/>
              </w:rPr>
              <w:t xml:space="preserve">Core research focus: detection, routing, privacy</w:t>
            </w:r>
          </w:p>
        </w:tc>
      </w:tr>
    </w:tbl>
    <w:p>
      <w:pPr>
        <w:spacing w:before="200" w:after="0"/>
      </w:pPr>
      <w:r>
        <w:t xml:space="preserve"/>
      </w:r>
    </w:p>
    <w:p>
      <w:pPr>
        <w:pBdr>
          <w:top w:val="single" w:color="E2E8F0" w:sz="2" w:space="8"/>
        </w:pBdr>
        <w:spacing w:before="80" w:after="0"/>
        <w:jc w:val="center"/>
      </w:pPr>
      <w:r>
        <w:rPr>
          <w:rFonts w:ascii="Arial" w:cs="Arial" w:eastAsia="Arial" w:hAnsi="Arial"/>
          <w:i/>
          <w:iCs/>
          <w:color w:val="64748B"/>
          <w:sz w:val="16"/>
          <w:szCs w:val="16"/>
        </w:rPr>
        <w:t xml:space="preserve">Projective measures only. Not a policy prescription. All figures sourced from NCRB CII annual reports 2013-2022 and CHRI independent analysis, October 2024.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300"/>
      </w:pPr>
    </w:lvl>
  </w:abstractNum>
  <w:abstractNum w:abstractNumId="3"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2026-03-13T01:13:48.806Z</dcterms:created>
  <dcterms:modified xsi:type="dcterms:W3CDTF">2026-03-13T01:13:48.807Z</dcterms:modified>
</cp:coreProperties>
</file>

<file path=docProps/custom.xml><?xml version="1.0" encoding="utf-8"?>
<Properties xmlns="http://schemas.openxmlformats.org/officeDocument/2006/custom-properties" xmlns:vt="http://schemas.openxmlformats.org/officeDocument/2006/docPropsVTypes"/>
</file>