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8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72"/>
          <w:szCs w:val="72"/>
          <w:rtl w:val="0"/>
        </w:rPr>
        <w:t xml:space="preserve">CMS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32"/>
          <w:szCs w:val="32"/>
          <w:rtl w:val="0"/>
        </w:rPr>
        <w:t xml:space="preserve">Disciplined Entrepreneurship · All 24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26"/>
          <w:szCs w:val="26"/>
          <w:rtl w:val="0"/>
        </w:rPr>
        <w:t xml:space="preserve">Headless CMS with Native Content Portability for Media Publishers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Anastasiia Sukhorukova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Membrana Innovation Lab · EIR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7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825"/>
                <w:sz w:val="24"/>
                <w:szCs w:val="24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CMS opportunity addresses a structural market failure: incumbent CMS vendors (WordPress VIP, Arc XP) offer import to attract customers but block export to retain them. This creates vendor lock-in that costs mid-market publishers €150K–300K to escape. We propose a headless CMS with </w:t>
            </w:r>
            <w:r w:rsidDel="00000000" w:rsidR="00000000" w:rsidRPr="00000000">
              <w:rPr>
                <w:rtl w:val="0"/>
              </w:rPr>
              <w:t xml:space="preserve">a GraphQL API in which bidirectional content portability (import + export) is a core feature, not an add-on, with export meaning both the freedom to leave and the ability to publish one story across web, app, newsletter, and social simultaneously through a single API call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. Beachhead: mid-market EU publishers (50–500 staff). Beachhead TAM: €6M ARR. Follow-on TAM: $100M+. Unit economics: LTV/COCA ratio of 55x.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MARKET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Segmented the publisher market along three axes: company size, CMS pain urgency, and content type. Source: publisher feedback dataset (25 interviews, WAN-IFRA network).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2360"/>
        <w:gridCol w:w="1400"/>
        <w:tblGridChange w:id="0">
          <w:tblGrid>
            <w:gridCol w:w="3000"/>
            <w:gridCol w:w="2600"/>
            <w:gridCol w:w="236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CMS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Enterprise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Axel Springer, Condé Nast, Hearst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2009-era CMS blocking AI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Mid-Market Operational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Mediahuis, Future plc, The Athletic 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Workflow inefficiency + multi-platform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3–4/5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SMB /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Regional News Ireland, Business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CMS migration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2–3/5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Selected segment: Mid-Market Operational — fastest sales cycle, most homogeneous pain, clear domino path to Enterprise.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BEACHHEAD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7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Regional and niche digital publishers in the EU, 50–500 staff, currently on WordPress or a custom CMS older than 3–5 years, seeking AI capabilities but blocked by technical debt. They have a VP Engineering or VP Product who has already attempted to justify migration to the 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~1,500–2,000 mid-market publishers in the 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EU (GDPR jurisdiction, EU AI Act applicability)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Economic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CTO or CEO — has budget and strategic mandate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VP Engineering / VP Product — owns the pain 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Domino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Mid-market EU → Enterprise EU → US mid-market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END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primary end user is the VP Engineering / Head of Engineering — the person who lives inside the CMS infrastructure daily, not the journalist who publishes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VP Engineering / Head of Engineering / VP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Company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Mid-market publisher, 50–500 staff, 2–15 digital brands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KPIs </w:t>
            </w:r>
            <w:r w:rsidDel="00000000" w:rsidR="00000000" w:rsidRPr="00000000">
              <w:rPr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are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 measured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Time-to-deploy new editorial features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uptime and reliability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 debt reduction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maintenance cost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Daily reality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Receives 3 requests/week from editorial: 'add this feature', 'fix mobile'. Each takes 2 weeks due to legacy CMS. Team of 12 spends 60% on maintenance, 40% on new features. Wants the opposite.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Core fear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Migrating to a new vendor only to be locked in again. Another 18-month project that fails.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Verbatim (FB-015, Burda Media)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2"/>
                <w:szCs w:val="22"/>
                <w:rtl w:val="0"/>
              </w:rPr>
              <w:t xml:space="preserve">"Our tech stack looks like a bowl of spaghetti. Every new tool needs three engineers to integrate and maintain."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TAM — BEACHHEAD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Formula: TAM = N × ACV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360"/>
        <w:tblGridChange w:id="0">
          <w:tblGrid>
            <w:gridCol w:w="3200"/>
            <w:gridCol w:w="28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 (mid-market EU publishers)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~1,500–2,000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WAN-IFRA European Publishers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Current CMS spend (benchmark)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€50K–150K/yr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WordPress VIP from $25K, Woodwing ~€60K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Our ACV (Growth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Competitive undercut with higher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Penetration target (3–5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10% = 150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Conservative beachhead 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Beachhead 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€5.4M–€10.8M 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Bottom-up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MARCUS WEBER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20"/>
                <w:szCs w:val="20"/>
                <w:rtl w:val="0"/>
              </w:rPr>
              <w:t xml:space="preserve">VP Engineering, Burda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Age: 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Munich,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TU Munich, CS + MBA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€110K–135K/yr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 CMS (2011), WordPress for some brands, Woodwing, 15+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new tool requires 3 engineers to integrate and maintain indefinitely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Cannot export content from current CMS — migration = 18 months of work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Board demands AI strategy but legacy CMS supports no AI features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team spends 60% on maintenance, 40% on product</w:t>
            </w:r>
          </w:p>
          <w:p w:rsidR="00000000" w:rsidDel="00000000" w:rsidP="00000000" w:rsidRDefault="00000000" w:rsidRPr="00000000" w14:paraId="0000007A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What success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One platform instead of 15. The freedom to switch vendors without pain. Walking into the CEO meeting saying: 'We are ready for AI.'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FB-015, Burda Media, publisher feedback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FULL LIFE CYCLE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Unlike AIRadar (one-time audit with no recurring trigger), the CMS lifecycle closes naturally — exiting means a new migration, which creates structural retention without artificial lock-in.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00"/>
        <w:gridCol w:w="1560"/>
        <w:gridCol w:w="2400"/>
        <w:tblGridChange w:id="0">
          <w:tblGrid>
            <w:gridCol w:w="1600"/>
            <w:gridCol w:w="3800"/>
            <w:gridCol w:w="1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 encounters the product via Membrana publisher network or WAN-IFRA Tech Track. Or receives a wake-up question: 'Did you know your vendor blocks your export?'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Membrana network = unfair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2.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Reviews technical docs, GraphQL API spec, asks for a reference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Need 1 reference 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3.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 (Champion) builds internal business case → presents to CTO/CEO (Economic Buyer).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 provide ROI deck for Marcus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4. First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Week 1: full archive imported in days. First Export button clicked. Editorial team publishes without engineering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Three wow-moments in 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5. Ongoing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CMS becomes the daily operating system of the newsroom. Engineers freed from maintenance → building AI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Daily stickiness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6.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Automatic — leaving means another migration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Natural lock-in via switching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7. Advocacy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 tells a peer at WAN-IFRA: 'First CMS with real import AND export.' That peer is the next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Peer referral = lowest COCA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8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Lifecycle verdict: CLOSED ✓  —  This is the fundamental difference from AIRadar. The CMS becomes an operational dependency, creating recurring revenue without predatory lock-in.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HIGH-LEVEL PRODUCT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7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A headless CMS with GraphQL API built for media publishers, where bidirectional content portability (import + export) is a standard feature — not a paid add-on.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20"/>
                <w:szCs w:val="20"/>
                <w:rtl w:val="0"/>
              </w:rPr>
              <w:t xml:space="preserve">Core Features — v1 (MVBP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Import — from WordPress, Drupal, custom CMS via RSS, JSON, XML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Export — full archive in standard formats at any time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GraphQL API — single query returns exactly the fields needed per channel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Editorial Workflow — basic UI for editors without engineering involvement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AI-ready structure — content stored as structured data, not HTML blobs</w:t>
            </w:r>
          </w:p>
          <w:p w:rsidR="00000000" w:rsidDel="00000000" w:rsidP="00000000" w:rsidRDefault="00000000" w:rsidRPr="00000000" w14:paraId="000000B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20"/>
                <w:szCs w:val="20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SaaS, cloud-hosted, EU datacenters (GDPR compliant)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20"/>
                <w:szCs w:val="20"/>
                <w:rtl w:val="0"/>
              </w:rPr>
              <w:t xml:space="preserve">NOT in v1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Paywall / subscription management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Analytics dashboard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 management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app builder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Newsletter module</w:t>
            </w:r>
          </w:p>
          <w:p w:rsidR="00000000" w:rsidDel="00000000" w:rsidP="00000000" w:rsidRDefault="00000000" w:rsidRPr="00000000" w14:paraId="000000B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8888"/>
                <w:sz w:val="20"/>
                <w:szCs w:val="20"/>
                <w:rtl w:val="0"/>
              </w:rPr>
              <w:t xml:space="preserve">Why GraphQL over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Headless publishers serve one story in 6+ formats simultaneously. GraphQL allows each channel to request exactly the fields it needs in a single query — critical for Mediahuis-type multi-platform pain.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Quantified value for Marcus (Growth tier, €36K/yr ACV):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2560"/>
        <w:tblGridChange w:id="0">
          <w:tblGrid>
            <w:gridCol w:w="3600"/>
            <w:gridCol w:w="3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Annual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Engineers redirected from maintenance →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 engineers × €8K/mo × 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€288K in new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Migration project avoided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€200K mid-point, one-time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€200K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Vendor consolidation (5 tools →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€80K current stack → €40K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€40K direct saving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~€528K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Our ACV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€36K/yr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ROI for Marcus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~8x in year one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Key framing: this is not about firing engineers. It is about redirecting them from legacy maintenance to AI product development — the strategic shift the CEO is already demanding.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09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NEXT 10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All candidates sourced from the publisher feedback dataset. Prioritised by WTP, technical role, and CMS-adjacent pain.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2000"/>
        <w:gridCol w:w="1560"/>
        <w:gridCol w:w="3000"/>
        <w:tblGridChange w:id="0">
          <w:tblGrid>
            <w:gridCol w:w="400"/>
            <w:gridCol w:w="2400"/>
            <w:gridCol w:w="2000"/>
            <w:gridCol w:w="1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Contact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Burda Media (Marcus)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VP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Our persona. 15+ vendors, WTP 4/5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Mediahuis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VP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BeNeLux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Multi-platform pain, 6 manual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Axel Springer Digital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Legacy CMS 2009, WTP 5/5 — hottest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 Athletic 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Editor-in-Chief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Reporters spend half day on CMS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Irish Times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Ireland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Infrastructure pain + Membrana IE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Business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Digital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Ireland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Newsletter pain, Membrana IE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Politico 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Technical product leader, EU niche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Valnet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Page speed + bloated 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Condé Nast International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SVP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WTP 5/5 — aspirational enterprise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Immediate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Head of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WTP 5/5, AI pain = needs modern CMS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DEFINE YOUR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Our defensible core operates across three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 Competitors Cannot Copy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Headless CMS with bidirectional import/export in media-native formats (NewsML, IPTC, RSS)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Generic headless tools (Contentful, Sanity) don't understand news formats or editorial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Monetisation without lock-in — clients can leave, but won't because the value is 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WordPress VIP and Arc XP cannot offer export without destroying their own retention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Market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Membrana publisher network provides direct access to VP Engineering contacts across EU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Any new entrant faces 12–18 months of cold outreach to build the same trust and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The third layer — Membrana network access — is the strongest moat for the first 18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COMPETITIVE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Two axes that reflect what Marcus actually evaluates when choosing a CMS: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X-axis: Content Portability (Closed / Lock-in → Open / Portable)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Y-axis: Media-specific Editorial Workflow (Generic → Publisher-native)</w:t>
      </w:r>
    </w:p>
    <w:p w:rsidR="00000000" w:rsidDel="00000000" w:rsidP="00000000" w:rsidRDefault="00000000" w:rsidRPr="00000000" w14:paraId="000001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Content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Editorial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Our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WordPress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 — export blocked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 — WordPress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 win on both axes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Arc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 — vendor lock-in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— built for newsrooms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 match editorial, win on portability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Contentful / Sanity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— open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 — generic, not media-native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 match portability, win on editorial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Our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— export is a core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— publisher-native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Upper-right quadrant, uncontested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DECISION MAKING UNIT (DMU)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760"/>
        <w:gridCol w:w="3000"/>
        <w:tblGridChange w:id="0">
          <w:tblGrid>
            <w:gridCol w:w="1600"/>
            <w:gridCol w:w="200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Their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How We Address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Marcus, VP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Will this CMS lock us in again?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Export button + open API = proof of portability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Economic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CTO or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ROI and strategic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8x ROI deck + AI-readiness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Editors and journalists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Is this easier than what we have?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Editorial UI built for non-technical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Influencer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Chief Digital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Does this support our digital strategy?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Multi-platform publish from one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Is this budget justified?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Replace 5 vendors = net saving even with our ACV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Key insight: Marcus needs a ready-made internal pitch deck — ROI calculation, security/compliance docs, and a reference customer. We provide this as part of the sales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SALES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000"/>
        <w:gridCol w:w="1960"/>
        <w:gridCol w:w="3000"/>
        <w:tblGridChange w:id="0">
          <w:tblGrid>
            <w:gridCol w:w="400"/>
            <w:gridCol w:w="4000"/>
            <w:gridCol w:w="19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Our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Discovery call with Marcus (via Membrana intro)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Technical demo + sandbox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 builds internal pitch to CTO/CEO (we provide ROI deck)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3–4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POC — pilot migration of one brand from 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4–6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€2,000–3,000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Legal review, GDPR compliance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2–3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Standard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Contract 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Total sales cycle: 3–4 months.  Total cost per deal: ~€5,000–8,000.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FOLLOW-ON 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3000"/>
        <w:tblGridChange w:id="0">
          <w:tblGrid>
            <w:gridCol w:w="1800"/>
            <w:gridCol w:w="4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TAM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Beachhead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Mid-market EU publishers (50–500 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€6M–10M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Enterprise EU: Axel Springer, Condé Nast, Ringier — after 3–5 reference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~€20M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 mid-market publishers — same pain, larger market, higher ACV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~€50M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Domino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Content portability API platform — other verticals with CMS lock-in (e-commerce, education)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€100M+ ARR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Tiered SaaS subscription — fixed price per tier with limits on brands and content volume. Provides budget predictability for Marcus's finance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000"/>
        <w:gridCol w:w="1400"/>
        <w:gridCol w:w="1200"/>
        <w:gridCol w:w="1200"/>
        <w:gridCol w:w="3360"/>
        <w:tblGridChange w:id="0">
          <w:tblGrid>
            <w:gridCol w:w="1200"/>
            <w:gridCol w:w="1000"/>
            <w:gridCol w:w="1400"/>
            <w:gridCol w:w="1200"/>
            <w:gridCol w:w="1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Articles/mo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Price/mo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ACV/yr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 to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Single-brand niche publishers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Growth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 to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 to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Mid-market — our Marcus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 to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 to 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€72K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Mediahuis, Burda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€100K+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Axel Springer, Condé Nast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PRICING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Pricing approach: value-based, not cost-plus.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tier (€36K/yr): delivers ~€528K value to Marcus → ROI = 8x → pricing is defensible and even conservative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undercut: WordPress VIP starts at $25K/yr with inferior portability → we price at €36K with 10x more value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Rule: price should be ~10–20% of the value delivered. At €36K vs €528K value → we are at 7% → room to increase later</w:t>
      </w:r>
    </w:p>
    <w:p w:rsidR="00000000" w:rsidDel="00000000" w:rsidP="00000000" w:rsidRDefault="00000000" w:rsidRPr="00000000" w14:paraId="000001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Price increases become natural as we add v2 features (multi-brand AI, NewsML export). Anchor Growth tier now, upsell to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LIFETIME VALUE (LTV)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CMS products have structurally low churn — switching means another migration. Comparable benchmarks: WordPress VIP clients stay 5–10 years; Salesforce annual churn ~8%.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Formula: LTV = ACV ÷ Churn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2200"/>
        <w:gridCol w:w="1800"/>
        <w:gridCol w:w="2160"/>
        <w:tblGridChange w:id="0">
          <w:tblGrid>
            <w:gridCol w:w="1800"/>
            <w:gridCol w:w="1400"/>
            <w:gridCol w:w="22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Churn (conservative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LTV at 5% churn (yr 3+)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Growth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€720K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€72K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€720K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€1.44M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18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SALES PROCESS DESIGN + COCA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—  Steps 18 &amp;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COCA = Total Sales &amp; Marketing spend ÷ New customers acquired per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Annual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Sales (0.5 FTE)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Marketing — WAN-IFRA conference,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Technical POC support per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€65,000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At 10 customers/year: COCA = €6,500 per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8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LTV / COCA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Growth tier: €360,000 ÷ €6,500 = 55x  ✓✓✓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22"/>
                <w:szCs w:val="22"/>
                <w:rtl w:val="0"/>
              </w:rPr>
              <w:t xml:space="preserve">Minimum viable benchmark: 3x. We are at 55x — exceptional unit economics.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20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KEY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000"/>
        <w:gridCol w:w="1200"/>
        <w:gridCol w:w="2960"/>
        <w:gridCol w:w="1800"/>
        <w:tblGridChange w:id="0">
          <w:tblGrid>
            <w:gridCol w:w="400"/>
            <w:gridCol w:w="3000"/>
            <w:gridCol w:w="1200"/>
            <w:gridCol w:w="29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How to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 is actively searching for a new CMS (not passive)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🔴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 discovery calls in 2 weeks — does he respond and engage?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Publishers will pay €36K/yr for an unknown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🔴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Signed LOI from 2–3 companies before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Week 3–6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WordPress import is technically feasible in weeks, not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🔴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Technical POC on a real WordPress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Membrana network provides direct VP Engineering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First warm intro within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Week 1–4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CTO/CEO approves budget after Marcus's internal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Track Champion → Buyer conversion in first 3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3–5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Annual churn ≤ 10% after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Measure at 12-month mark with first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21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TEST KEY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Test the two most critical assumptions in parallel, within 4 weeks: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Success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#1 — Marcus is actively searching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 discovery calls with companies from Next 10 list (Mediahuis, Irish Times, Axel Springer). Ask: 'If a CMS with full import/export existed at €3K/mo — would you consider switching?'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 of 3 say yes and agree to a follow-up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#2 — WTP at €36K/yr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After demo, send LOI template. Ask for signature before building anything.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signed LOI within 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#3 — Technical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Run a real WordPress-to-new-CMS import POC. Measure: time to import, data integrity, missing elements.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Full import completed in &lt; 5 business days with &lt; 5% data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22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MVBP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7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MVBP ≠ MVP.  The MVBP is the minimum set of features for which Marcus will sign a contract and continue using the product month after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MVBP feature set (buildable in 60–90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 It's in MVBP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Without It...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Import from 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Most common CMS in our Next 10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onboarding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Export in JSON / RSS /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 core differentiator — Marcus must see this on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differentiation from any other CMS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GraphQL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Enables any front-end to connect — proves headless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Can't serve multi-platform publishers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Basic editorial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Editors must publish without involving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Marcus's team still stuck in maintenance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EU hosting + GDPR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Legal requirement for EU customer to 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Contract blocked at legal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Explicitly NOT in MVBP: AI features, multi-brand support, analytics, newsletter, mobile app builder.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23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SHOW THAT DOGS EAT THE DOG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Proof milestones — from weakest to strongest: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000"/>
        <w:gridCol w:w="2960"/>
        <w:tblGridChange w:id="0">
          <w:tblGrid>
            <w:gridCol w:w="1400"/>
            <w:gridCol w:w="5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Target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signed LOI from a company in our Next 10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paid pilot (€3,000–5,000) — Mediahuis or Irish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 paying customers on Starter or Growth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Investor-ready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 renewal after 12 months + 1 customer 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Given the Membrana publisher network, a signed LOI within 30–60 days is realistic without building a single line of product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bbf52"/>
          <w:sz w:val="18"/>
          <w:szCs w:val="18"/>
          <w:rtl w:val="0"/>
        </w:rPr>
        <w:t xml:space="preserve">STEP 24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825"/>
          <w:sz w:val="28"/>
          <w:szCs w:val="28"/>
          <w:rtl w:val="0"/>
        </w:rPr>
        <w:t xml:space="preserve">PRODUCT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2560"/>
        <w:gridCol w:w="1600"/>
        <w:tblGridChange w:id="0">
          <w:tblGrid>
            <w:gridCol w:w="1600"/>
            <w:gridCol w:w="36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We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Market Unlocked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182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 — MVBP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WordPress import, full export, GraphQL API, basic editorial UI, EU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First 3 mid-market EU clients (Starter/Growth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0–3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 — Beachhead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Multi-brand support, AI-ready structured content, NewsML/IPTC formats, advanced editorial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Mediahuis / Burda scale tier — 15+ brand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6–12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v3 — Follow-on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Enterprise tier, US market entry, Content Portability API for third-party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Axel Springer / Condé Nast level + US mid-market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Month 12–24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7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825"/>
                <w:sz w:val="22"/>
                <w:szCs w:val="22"/>
                <w:rtl w:val="0"/>
              </w:rPr>
              <w:t xml:space="preserve">Principle (Bill Aulet, Step 24):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Each new version must either open a new customer segment or meaningfully increase value for the existing one. v1 → v2 opens Scale tier. v2 → v3 opens Enterprise and US market.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1e8449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e8449"/>
          <w:sz w:val="28"/>
          <w:szCs w:val="28"/>
          <w:rtl w:val="0"/>
        </w:rPr>
        <w:t xml:space="preserve">ALL 24 STEPS COMPLETED ✓</w:t>
      </w:r>
    </w:p>
    <w:p w:rsidR="00000000" w:rsidDel="00000000" w:rsidP="00000000" w:rsidRDefault="00000000" w:rsidRPr="00000000" w14:paraId="0000027D">
      <w:pPr>
        <w:spacing w:after="60" w:before="60" w:lineRule="auto"/>
        <w:jc w:val="center"/>
        <w:rPr>
          <w:b w:val="1"/>
          <w:bCs w:val="1"/>
          <w:color w:val="1e844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60" w:lineRule="auto"/>
        <w:jc w:val="center"/>
        <w:rPr>
          <w:b w:val="1"/>
          <w:bCs w:val="1"/>
          <w:color w:val="1e844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The CMS Opportunity passes every DE framework test: lifecycle closes, unit economics are exceptional (LTV/COCA = 55x), core is defensible, and the Membrana publisher network provides a structural go-to-market advantage that no new entrant can replicate quickly.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pBdr>
        <w:top w:color="dddddd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Membrana Innovation Lab · Confidential ·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pBdr>
        <w:bottom w:color="ebbf52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CMS Opportunity · Disciplined Entrepreneurship · All 24 Steps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