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44"/>
          <w:szCs w:val="44"/>
        </w:rPr>
        <w:t xml:space="preserve">Parasolv Website — Site Copy</w:t>
      </w:r>
    </w:p>
    <w:p>
      <w:pPr>
        <w:spacing w:after="120"/>
        <w:jc w:val="center"/>
      </w:pPr>
      <w:r>
        <w:rPr>
          <w:i/>
          <w:iCs/>
          <w:color w:val="666666"/>
          <w:sz w:val="22"/>
          <w:szCs w:val="22"/>
        </w:rPr>
        <w:t xml:space="preserve">All text from the current mockup, organized by page.</w:t>
      </w:r>
    </w:p>
    <w:p>
      <w:pPr>
        <w:spacing w:after="2400"/>
        <w:jc w:val="center"/>
      </w:pPr>
      <w:r>
        <w:rPr>
          <w:i/>
          <w:iCs/>
          <w:color w:val="666666"/>
          <w:sz w:val="22"/>
          <w:szCs w:val="22"/>
        </w:rPr>
        <w:t xml:space="preserve">Edit directly in this document, then paste the updated version back.</w:t>
      </w:r>
    </w:p>
    <w:p>
      <w:pPr>
        <w:jc w:val="center"/>
      </w:pPr>
      <w:r>
        <w:rPr>
          <w:color w:val="999999"/>
          <w:sz w:val="18"/>
          <w:szCs w:val="18"/>
        </w:rPr>
        <w:t xml:space="preserve">Generated 2026-04-21</w:t>
      </w:r>
    </w:p>
    <w:p>
      <w:pPr>
        <w:pageBreakBefore/>
      </w:pPr>
      <w:r>
        <w:t xml:space="preserve"/>
      </w:r>
    </w:p>
    <w:p>
      <w:pPr>
        <w:pStyle w:val="Heading1"/>
      </w:pPr>
      <w:r>
        <w:rPr>
          <w:b/>
          <w:bCs/>
        </w:rPr>
        <w:t xml:space="preserve">Global elements</w:t>
      </w:r>
    </w:p>
    <w:p>
      <w:pPr>
        <w:spacing w:after="120"/>
      </w:pPr>
      <w:r>
        <w:rPr>
          <w:i/>
          <w:iCs/>
          <w:color w:val="666666"/>
          <w:sz w:val="18"/>
          <w:szCs w:val="18"/>
        </w:rPr>
        <w:t xml:space="preserve">Text that appears on every page.</w:t>
      </w:r>
    </w:p>
    <w:p>
      <w:pPr>
        <w:spacing w:after="60" w:before="160"/>
      </w:pPr>
      <w:r>
        <w:rPr>
          <w:b/>
          <w:bCs/>
          <w:color w:val="0078D4"/>
          <w:sz w:val="18"/>
          <w:szCs w:val="18"/>
        </w:rPr>
        <w:t xml:space="preserve">Brand wordmark</w:t>
      </w:r>
    </w:p>
    <w:p>
      <w:pPr>
        <w:spacing w:after="120"/>
      </w:pPr>
      <w:r>
        <w:t xml:space="preserve">parasolv</w:t>
      </w:r>
    </w:p>
    <w:p>
      <w:pPr>
        <w:spacing w:after="60" w:before="160"/>
      </w:pPr>
      <w:r>
        <w:rPr>
          <w:b/>
          <w:bCs/>
          <w:color w:val="0078D4"/>
          <w:sz w:val="18"/>
          <w:szCs w:val="18"/>
        </w:rPr>
        <w:t xml:space="preserve">Header navigation</w:t>
      </w:r>
    </w:p>
    <w:p>
      <w:pPr>
        <w:pStyle w:val="ListParagraph"/>
        <w:numPr>
          <w:ilvl w:val="0"/>
          <w:numId w:val="2"/>
        </w:numPr>
      </w:pPr>
      <w:r>
        <w:t xml:space="preserve">Home</w:t>
      </w:r>
    </w:p>
    <w:p>
      <w:pPr>
        <w:pStyle w:val="ListParagraph"/>
        <w:numPr>
          <w:ilvl w:val="0"/>
          <w:numId w:val="2"/>
        </w:numPr>
      </w:pPr>
      <w:r>
        <w:t xml:space="preserve">Features</w:t>
      </w:r>
    </w:p>
    <w:p>
      <w:pPr>
        <w:pStyle w:val="ListParagraph"/>
        <w:numPr>
          <w:ilvl w:val="0"/>
          <w:numId w:val="2"/>
        </w:numPr>
      </w:pPr>
      <w:r>
        <w:t xml:space="preserve">Pricing</w:t>
      </w:r>
    </w:p>
    <w:p>
      <w:pPr>
        <w:pStyle w:val="ListParagraph"/>
        <w:numPr>
          <w:ilvl w:val="0"/>
          <w:numId w:val="2"/>
        </w:numPr>
      </w:pPr>
      <w:r>
        <w:t xml:space="preserve">Quickstart</w:t>
      </w:r>
    </w:p>
    <w:p>
      <w:pPr>
        <w:pStyle w:val="ListParagraph"/>
        <w:numPr>
          <w:ilvl w:val="0"/>
          <w:numId w:val="2"/>
        </w:numPr>
      </w:pPr>
      <w:r>
        <w:t xml:space="preserve">Docs</w:t>
      </w:r>
    </w:p>
    <w:p>
      <w:pPr>
        <w:pStyle w:val="ListParagraph"/>
        <w:numPr>
          <w:ilvl w:val="0"/>
          <w:numId w:val="2"/>
        </w:numPr>
      </w:pPr>
      <w:r>
        <w:t xml:space="preserve">CTA button: Start free trial</w:t>
      </w:r>
    </w:p>
    <w:p>
      <w:pPr>
        <w:spacing w:after="60" w:before="160"/>
      </w:pPr>
      <w:r>
        <w:rPr>
          <w:b/>
          <w:bCs/>
          <w:color w:val="0078D4"/>
          <w:sz w:val="18"/>
          <w:szCs w:val="18"/>
        </w:rPr>
        <w:t xml:space="preserve">Footer — tagline under logo</w:t>
      </w:r>
    </w:p>
    <w:p>
      <w:pPr>
        <w:spacing w:after="120"/>
      </w:pPr>
      <w:r>
        <w:t xml:space="preserve">Shadow analysis, solar studies, and design envelopes for SketchUp — made by designers, for designers.</w:t>
      </w:r>
    </w:p>
    <w:p>
      <w:pPr>
        <w:spacing w:after="60" w:before="160"/>
      </w:pPr>
      <w:r>
        <w:rPr>
          <w:b/>
          <w:bCs/>
          <w:color w:val="0078D4"/>
          <w:sz w:val="18"/>
          <w:szCs w:val="18"/>
        </w:rPr>
        <w:t xml:space="preserve">Footer — column: Product</w:t>
      </w:r>
    </w:p>
    <w:p>
      <w:pPr>
        <w:pStyle w:val="ListParagraph"/>
        <w:numPr>
          <w:ilvl w:val="0"/>
          <w:numId w:val="2"/>
        </w:numPr>
      </w:pPr>
      <w:r>
        <w:t xml:space="preserve">Features</w:t>
      </w:r>
    </w:p>
    <w:p>
      <w:pPr>
        <w:pStyle w:val="ListParagraph"/>
        <w:numPr>
          <w:ilvl w:val="0"/>
          <w:numId w:val="2"/>
        </w:numPr>
      </w:pPr>
      <w:r>
        <w:t xml:space="preserve">Pricing</w:t>
      </w:r>
    </w:p>
    <w:p>
      <w:pPr>
        <w:pStyle w:val="ListParagraph"/>
        <w:numPr>
          <w:ilvl w:val="0"/>
          <w:numId w:val="2"/>
        </w:numPr>
      </w:pPr>
      <w:r>
        <w:t xml:space="preserve">Quickstart</w:t>
      </w:r>
    </w:p>
    <w:p>
      <w:pPr>
        <w:pStyle w:val="ListParagraph"/>
        <w:numPr>
          <w:ilvl w:val="0"/>
          <w:numId w:val="2"/>
        </w:numPr>
      </w:pPr>
      <w:r>
        <w:t xml:space="preserve">Documentation</w:t>
      </w:r>
    </w:p>
    <w:p>
      <w:pPr>
        <w:spacing w:after="60" w:before="160"/>
      </w:pPr>
      <w:r>
        <w:rPr>
          <w:b/>
          <w:bCs/>
          <w:color w:val="0078D4"/>
          <w:sz w:val="18"/>
          <w:szCs w:val="18"/>
        </w:rPr>
        <w:t xml:space="preserve">Footer — column: Company</w:t>
      </w:r>
    </w:p>
    <w:p>
      <w:pPr>
        <w:pStyle w:val="ListParagraph"/>
        <w:numPr>
          <w:ilvl w:val="0"/>
          <w:numId w:val="2"/>
        </w:numPr>
      </w:pPr>
      <w:r>
        <w:t xml:space="preserve">About</w:t>
      </w:r>
    </w:p>
    <w:p>
      <w:pPr>
        <w:pStyle w:val="ListParagraph"/>
        <w:numPr>
          <w:ilvl w:val="0"/>
          <w:numId w:val="2"/>
        </w:numPr>
      </w:pPr>
      <w:r>
        <w:t xml:space="preserve">Contact</w:t>
      </w:r>
    </w:p>
    <w:p>
      <w:pPr>
        <w:pStyle w:val="ListParagraph"/>
        <w:numPr>
          <w:ilvl w:val="0"/>
          <w:numId w:val="2"/>
        </w:numPr>
      </w:pPr>
      <w:r>
        <w:t xml:space="preserve">Blog</w:t>
      </w:r>
    </w:p>
    <w:p>
      <w:pPr>
        <w:spacing w:after="60" w:before="160"/>
      </w:pPr>
      <w:r>
        <w:rPr>
          <w:b/>
          <w:bCs/>
          <w:color w:val="0078D4"/>
          <w:sz w:val="18"/>
          <w:szCs w:val="18"/>
        </w:rPr>
        <w:t xml:space="preserve">Footer — column: Legal</w:t>
      </w:r>
    </w:p>
    <w:p>
      <w:pPr>
        <w:pStyle w:val="ListParagraph"/>
        <w:numPr>
          <w:ilvl w:val="0"/>
          <w:numId w:val="2"/>
        </w:numPr>
      </w:pPr>
      <w:r>
        <w:t xml:space="preserve">Terms</w:t>
      </w:r>
    </w:p>
    <w:p>
      <w:pPr>
        <w:pStyle w:val="ListParagraph"/>
        <w:numPr>
          <w:ilvl w:val="0"/>
          <w:numId w:val="2"/>
        </w:numPr>
      </w:pPr>
      <w:r>
        <w:t xml:space="preserve">Privacy</w:t>
      </w:r>
    </w:p>
    <w:p>
      <w:pPr>
        <w:pStyle w:val="ListParagraph"/>
        <w:numPr>
          <w:ilvl w:val="0"/>
          <w:numId w:val="2"/>
        </w:numPr>
      </w:pPr>
      <w:r>
        <w:t xml:space="preserve">EULA</w:t>
      </w:r>
    </w:p>
    <w:p>
      <w:pPr>
        <w:spacing w:after="60" w:before="160"/>
      </w:pPr>
      <w:r>
        <w:rPr>
          <w:b/>
          <w:bCs/>
          <w:color w:val="0078D4"/>
          <w:sz w:val="18"/>
          <w:szCs w:val="18"/>
        </w:rPr>
        <w:t xml:space="preserve">Footer — bottom row</w:t>
      </w:r>
    </w:p>
    <w:p>
      <w:pPr>
        <w:spacing w:after="120"/>
      </w:pPr>
      <w:r>
        <w:t xml:space="preserve">© 2026 Parasolv. All rights reserved.</w:t>
      </w:r>
    </w:p>
    <w:p>
      <w:pPr>
        <w:spacing w:after="120"/>
      </w:pPr>
      <w:r>
        <w:t xml:space="preserve">Payments by Lemon Squeezy.</w:t>
      </w:r>
    </w:p>
    <w:p>
      <w:pPr>
        <w:pBdr>
          <w:bottom w:val="single" w:color="CCCCCC" w:sz="6" w:space="1"/>
        </w:pBdr>
        <w:spacing w:after="240" w:before="240"/>
      </w:pPr>
      <w:r>
        <w:t xml:space="preserve"/>
      </w:r>
    </w:p>
    <w:p>
      <w:pPr>
        <w:pageBreakBefore/>
      </w:pPr>
      <w:r>
        <w:t xml:space="preserve"/>
      </w:r>
    </w:p>
    <w:p>
      <w:pPr>
        <w:pStyle w:val="Heading1"/>
      </w:pPr>
      <w:r>
        <w:rPr>
          <w:b/>
          <w:bCs/>
        </w:rPr>
        <w:t xml:space="preserve">Page: Landing (index.html)</w:t>
      </w:r>
    </w:p>
    <w:p>
      <w:pPr>
        <w:pStyle w:val="Heading2"/>
      </w:pPr>
      <w:r>
        <w:rPr>
          <w:b/>
          <w:bCs/>
        </w:rPr>
        <w:t xml:space="preserve">Hero</w:t>
      </w:r>
    </w:p>
    <w:p>
      <w:pPr>
        <w:spacing w:after="60" w:before="160"/>
      </w:pPr>
      <w:r>
        <w:rPr>
          <w:b/>
          <w:bCs/>
          <w:color w:val="0078D4"/>
          <w:sz w:val="18"/>
          <w:szCs w:val="18"/>
        </w:rPr>
        <w:t xml:space="preserve">Eyebrow tag</w:t>
      </w:r>
    </w:p>
    <w:p>
      <w:pPr>
        <w:spacing w:after="120"/>
      </w:pPr>
      <w:r>
        <w:t xml:space="preserve">Windows + MacOS</w:t>
      </w:r>
    </w:p>
    <w:p>
      <w:pPr>
        <w:spacing w:after="60" w:before="160"/>
      </w:pPr>
      <w:r>
        <w:rPr>
          <w:b/>
          <w:bCs/>
          <w:color w:val="0078D4"/>
          <w:sz w:val="18"/>
          <w:szCs w:val="18"/>
        </w:rPr>
        <w:t xml:space="preserve">Headline</w:t>
      </w:r>
    </w:p>
    <w:p>
      <w:pPr>
        <w:spacing w:after="120"/>
      </w:pPr>
      <w:r>
        <w:t xml:space="preserve">Powerful shadow analysis toolbox for SketchUp.</w:t>
      </w:r>
    </w:p>
    <w:p>
      <w:pPr>
        <w:spacing w:after="60" w:before="160"/>
      </w:pPr>
      <w:r>
        <w:rPr>
          <w:b/>
          <w:bCs/>
          <w:color w:val="0078D4"/>
          <w:sz w:val="18"/>
          <w:szCs w:val="18"/>
        </w:rPr>
        <w:t xml:space="preserve">Lede</w:t>
      </w:r>
    </w:p>
    <w:p>
      <w:pPr>
        <w:spacing w:after="120"/>
      </w:pPr>
      <w:r>
        <w:t xml:space="preserve">Parasolv is a full suite of tools to generate fast, accurate, an visually compelling shadow studies, all without ever leaving SketchUp. Built for professionals, but with a simple interface anyone can use.</w:t>
      </w:r>
    </w:p>
    <w:p>
      <w:pPr>
        <w:spacing w:after="60" w:before="160"/>
      </w:pPr>
      <w:r>
        <w:rPr>
          <w:b/>
          <w:bCs/>
          <w:color w:val="0078D4"/>
          <w:sz w:val="18"/>
          <w:szCs w:val="18"/>
        </w:rPr>
        <w:t xml:space="preserve">CTA buttons</w:t>
      </w:r>
    </w:p>
    <w:p>
      <w:pPr>
        <w:pStyle w:val="ListParagraph"/>
        <w:numPr>
          <w:ilvl w:val="0"/>
          <w:numId w:val="2"/>
        </w:numPr>
      </w:pPr>
      <w:r>
        <w:t xml:space="preserve">Primary: Start free trial</w:t>
      </w:r>
    </w:p>
    <w:p>
      <w:pPr>
        <w:pStyle w:val="ListParagraph"/>
        <w:numPr>
          <w:ilvl w:val="0"/>
          <w:numId w:val="2"/>
        </w:numPr>
      </w:pPr>
      <w:r>
        <w:t xml:space="preserve">Secondary: See features</w:t>
      </w:r>
    </w:p>
    <w:p>
      <w:pPr>
        <w:spacing w:after="60" w:before="160"/>
      </w:pPr>
      <w:r>
        <w:rPr>
          <w:b/>
          <w:bCs/>
          <w:color w:val="0078D4"/>
          <w:sz w:val="18"/>
          <w:szCs w:val="18"/>
        </w:rPr>
        <w:t xml:space="preserve">Credibility sub-line (under CTA)</w:t>
      </w:r>
    </w:p>
    <w:p>
      <w:pPr>
        <w:spacing w:after="120"/>
      </w:pPr>
      <w:r>
        <w:t xml:space="preserve">Built on a decade of in-house use — outputs relied on by municipal planning agencies and private practice.</w:t>
      </w:r>
    </w:p>
    <w:p>
      <w:pPr>
        <w:spacing w:after="60" w:before="160"/>
      </w:pPr>
      <w:r>
        <w:rPr>
          <w:b/>
          <w:bCs/>
          <w:color w:val="0078D4"/>
          <w:sz w:val="18"/>
          <w:szCs w:val="18"/>
        </w:rPr>
        <w:t xml:space="preserve">Hero image caption</w:t>
      </w:r>
    </w:p>
    <w:p>
      <w:pPr>
        <w:spacing w:after="120"/>
      </w:pPr>
      <w:r>
        <w:rPr>
          <w:i/>
          <w:iCs/>
          <w:color w:val="666666"/>
          <w:sz w:val="18"/>
          <w:szCs w:val="18"/>
        </w:rPr>
        <w:t xml:space="preserve">Screenshot: Parasolv Advanced Mode with shadow-fan overlay on a mid-rise massing</w:t>
      </w:r>
    </w:p>
    <w:p>
      <w:pPr>
        <w:pStyle w:val="Heading2"/>
      </w:pPr>
      <w:r>
        <w:rPr>
          <w:b/>
          <w:bCs/>
        </w:rPr>
        <w:t xml:space="preserve">Social-proof strip — “In practice”</w:t>
      </w:r>
    </w:p>
    <w:p>
      <w:pPr>
        <w:spacing w:after="60" w:before="160"/>
      </w:pPr>
      <w:r>
        <w:rPr>
          <w:b/>
          <w:bCs/>
          <w:color w:val="0078D4"/>
          <w:sz w:val="18"/>
          <w:szCs w:val="18"/>
        </w:rPr>
        <w:t xml:space="preserve">Eyebrow</w:t>
      </w:r>
    </w:p>
    <w:p>
      <w:pPr>
        <w:spacing w:after="120"/>
      </w:pPr>
      <w:r>
        <w:t xml:space="preserve">In practice</w:t>
      </w:r>
    </w:p>
    <w:p>
      <w:pPr>
        <w:spacing w:after="60" w:before="160"/>
      </w:pPr>
      <w:r>
        <w:rPr>
          <w:b/>
          <w:bCs/>
          <w:color w:val="0078D4"/>
          <w:sz w:val="18"/>
          <w:szCs w:val="18"/>
        </w:rPr>
        <w:t xml:space="preserve">Firm names (replace with real names)</w:t>
      </w:r>
    </w:p>
    <w:p>
      <w:pPr>
        <w:pStyle w:val="ListParagraph"/>
        <w:numPr>
          <w:ilvl w:val="0"/>
          <w:numId w:val="2"/>
        </w:numPr>
      </w:pPr>
      <w:r>
        <w:t xml:space="preserve">[Firm name 1]</w:t>
      </w:r>
    </w:p>
    <w:p>
      <w:pPr>
        <w:pStyle w:val="ListParagraph"/>
        <w:numPr>
          <w:ilvl w:val="0"/>
          <w:numId w:val="2"/>
        </w:numPr>
      </w:pPr>
      <w:r>
        <w:t xml:space="preserve">[Firm name 2]</w:t>
      </w:r>
    </w:p>
    <w:p>
      <w:pPr>
        <w:spacing w:after="60" w:before="160"/>
      </w:pPr>
      <w:r>
        <w:rPr>
          <w:b/>
          <w:bCs/>
          <w:color w:val="0078D4"/>
          <w:sz w:val="18"/>
          <w:szCs w:val="18"/>
        </w:rPr>
        <w:t xml:space="preserve">Agency line (replace bracketed names with real agencies)</w:t>
      </w:r>
    </w:p>
    <w:p>
      <w:pPr>
        <w:spacing w:after="120"/>
      </w:pPr>
      <w:r>
        <w:t xml:space="preserve">Outputs from Parasolv have supported planning reviews at [City agency 1], [City agency 2], and [City agency 3] — based on the same analysis engine used in-house for over a decade.</w:t>
      </w:r>
    </w:p>
    <w:p>
      <w:pPr>
        <w:pStyle w:val="Heading2"/>
      </w:pPr>
      <w:r>
        <w:rPr>
          <w:b/>
          <w:bCs/>
        </w:rPr>
        <w:t xml:space="preserve">Feature grid — “What you get”</w:t>
      </w:r>
    </w:p>
    <w:p>
      <w:pPr>
        <w:spacing w:after="60" w:before="160"/>
      </w:pPr>
      <w:r>
        <w:rPr>
          <w:b/>
          <w:bCs/>
          <w:color w:val="0078D4"/>
          <w:sz w:val="18"/>
          <w:szCs w:val="18"/>
        </w:rPr>
        <w:t xml:space="preserve">Section eyebrow / heading</w:t>
      </w:r>
    </w:p>
    <w:p>
      <w:pPr>
        <w:spacing w:after="120"/>
      </w:pPr>
      <w:r>
        <w:t xml:space="preserve">What you get</w:t>
      </w:r>
    </w:p>
    <w:p>
      <w:pPr>
        <w:spacing w:after="120"/>
      </w:pPr>
      <w:r>
        <w:t xml:space="preserve">Every tool a shadow study needs, right inside SketchUp.</w:t>
      </w:r>
    </w:p>
    <w:p>
      <w:pPr>
        <w:spacing w:after="60" w:before="160"/>
      </w:pPr>
      <w:r>
        <w:rPr>
          <w:b/>
          <w:bCs/>
          <w:color w:val="0078D4"/>
          <w:sz w:val="18"/>
          <w:szCs w:val="18"/>
        </w:rPr>
        <w:t xml:space="preserve">Card 1 — Shadow Fan</w:t>
      </w:r>
    </w:p>
    <w:p>
      <w:pPr>
        <w:spacing w:after="120"/>
      </w:pPr>
      <w:r>
        <w:t xml:space="preserve">Sweep the sun’s path and visualize shadow envelopes across any day, season, or full year — directly on the model.</w:t>
      </w:r>
    </w:p>
    <w:p>
      <w:pPr>
        <w:spacing w:after="60" w:before="160"/>
      </w:pPr>
      <w:r>
        <w:rPr>
          <w:b/>
          <w:bCs/>
          <w:color w:val="0078D4"/>
          <w:sz w:val="18"/>
          <w:szCs w:val="18"/>
        </w:rPr>
        <w:t xml:space="preserve">Card 2 — Receptor Analysis</w:t>
      </w:r>
    </w:p>
    <w:p>
      <w:pPr>
        <w:spacing w:after="120"/>
      </w:pPr>
      <w:r>
        <w:t xml:space="preserve">Classify entities as sources or receptors and measure exposure with quantifiable outputs, not eyeballed screenshots.</w:t>
      </w:r>
    </w:p>
    <w:p>
      <w:pPr>
        <w:spacing w:after="60" w:before="160"/>
      </w:pPr>
      <w:r>
        <w:rPr>
          <w:b/>
          <w:bCs/>
          <w:color w:val="0078D4"/>
          <w:sz w:val="18"/>
          <w:szCs w:val="18"/>
        </w:rPr>
        <w:t xml:space="preserve">Card 3 — PV Assessment</w:t>
      </w:r>
    </w:p>
    <w:p>
      <w:pPr>
        <w:spacing w:after="120"/>
      </w:pPr>
      <w:r>
        <w:t xml:space="preserve">Evaluate photovoltaic potential on any surface using the same solar model as your shadow studies.</w:t>
      </w:r>
    </w:p>
    <w:p>
      <w:pPr>
        <w:spacing w:after="60" w:before="160"/>
      </w:pPr>
      <w:r>
        <w:rPr>
          <w:b/>
          <w:bCs/>
          <w:color w:val="0078D4"/>
          <w:sz w:val="18"/>
          <w:szCs w:val="18"/>
        </w:rPr>
        <w:t xml:space="preserve">Card 4 — Batch Processing</w:t>
      </w:r>
    </w:p>
    <w:p>
      <w:pPr>
        <w:spacing w:after="120"/>
      </w:pPr>
      <w:r>
        <w:t xml:space="preserve">Run iterative studies overnight. Compare dozens of massing options without babysitting the tool.</w:t>
      </w:r>
    </w:p>
    <w:p>
      <w:pPr>
        <w:spacing w:after="60" w:before="160"/>
      </w:pPr>
      <w:r>
        <w:rPr>
          <w:b/>
          <w:bCs/>
          <w:color w:val="0078D4"/>
          <w:sz w:val="18"/>
          <w:szCs w:val="18"/>
        </w:rPr>
        <w:t xml:space="preserve">Card 5 — Design Envelopes</w:t>
      </w:r>
    </w:p>
    <w:p>
      <w:pPr>
        <w:spacing w:after="120"/>
      </w:pPr>
      <w:r>
        <w:t xml:space="preserve">Generate maximum-buildable volumes that respect shadow constraints on neighboring sites.</w:t>
      </w:r>
    </w:p>
    <w:p>
      <w:pPr>
        <w:spacing w:after="60" w:before="160"/>
      </w:pPr>
      <w:r>
        <w:rPr>
          <w:b/>
          <w:bCs/>
          <w:color w:val="0078D4"/>
          <w:sz w:val="18"/>
          <w:szCs w:val="18"/>
        </w:rPr>
        <w:t xml:space="preserve">Card 6 — Scenario Compare</w:t>
      </w:r>
    </w:p>
    <w:p>
      <w:pPr>
        <w:spacing w:after="120"/>
      </w:pPr>
      <w:r>
        <w:t xml:space="preserve">Layer baseline against variants. Export to CSV for reports, planning submissions, and client reviews.</w:t>
      </w:r>
    </w:p>
    <w:p>
      <w:pPr>
        <w:pStyle w:val="Heading2"/>
      </w:pPr>
      <w:r>
        <w:rPr>
          <w:b/>
          <w:bCs/>
        </w:rPr>
        <w:t xml:space="preserve">Storytelling row 1 — Shadow Fan</w:t>
      </w:r>
    </w:p>
    <w:p>
      <w:pPr>
        <w:spacing w:after="60" w:before="160"/>
      </w:pPr>
      <w:r>
        <w:rPr>
          <w:b/>
          <w:bCs/>
          <w:color w:val="0078D4"/>
          <w:sz w:val="18"/>
          <w:szCs w:val="18"/>
        </w:rPr>
        <w:t xml:space="preserve">Eyebrow</w:t>
      </w:r>
    </w:p>
    <w:p>
      <w:pPr>
        <w:spacing w:after="120"/>
      </w:pPr>
      <w:r>
        <w:t xml:space="preserve">Shadow Fan</w:t>
      </w:r>
    </w:p>
    <w:p>
      <w:pPr>
        <w:spacing w:after="60" w:before="160"/>
      </w:pPr>
      <w:r>
        <w:rPr>
          <w:b/>
          <w:bCs/>
          <w:color w:val="0078D4"/>
          <w:sz w:val="18"/>
          <w:szCs w:val="18"/>
        </w:rPr>
        <w:t xml:space="preserve">Heading</w:t>
      </w:r>
    </w:p>
    <w:p>
      <w:pPr>
        <w:spacing w:after="120"/>
      </w:pPr>
      <w:r>
        <w:t xml:space="preserve">See the whole day in one glance.</w:t>
      </w:r>
    </w:p>
    <w:p>
      <w:pPr>
        <w:spacing w:after="60" w:before="160"/>
      </w:pPr>
      <w:r>
        <w:rPr>
          <w:b/>
          <w:bCs/>
          <w:color w:val="0078D4"/>
          <w:sz w:val="18"/>
          <w:szCs w:val="18"/>
        </w:rPr>
        <w:t xml:space="preserve">Body</w:t>
      </w:r>
    </w:p>
    <w:p>
      <w:pPr>
        <w:spacing w:after="120"/>
      </w:pPr>
      <w:r>
        <w:t xml:space="preserve">The Shadow Fan visualization overlays shadow positions across a chosen time range onto your model. Check solar access on a public space, sun-hour compliance on a neighboring window, or seasonal exposure on a PV array — without rendering a single frame.</w:t>
      </w:r>
    </w:p>
    <w:p>
      <w:pPr>
        <w:spacing w:after="60" w:before="160"/>
      </w:pPr>
      <w:r>
        <w:rPr>
          <w:b/>
          <w:bCs/>
          <w:color w:val="0078D4"/>
          <w:sz w:val="18"/>
          <w:szCs w:val="18"/>
        </w:rPr>
        <w:t xml:space="preserve">CTA</w:t>
      </w:r>
    </w:p>
    <w:p>
      <w:pPr>
        <w:spacing w:after="120"/>
      </w:pPr>
      <w:r>
        <w:t xml:space="preserve">Explore Shadow Fan</w:t>
      </w:r>
    </w:p>
    <w:p>
      <w:pPr>
        <w:spacing w:after="60" w:before="160"/>
      </w:pPr>
      <w:r>
        <w:rPr>
          <w:b/>
          <w:bCs/>
          <w:color w:val="0078D4"/>
          <w:sz w:val="18"/>
          <w:szCs w:val="18"/>
        </w:rPr>
        <w:t xml:space="preserve">Image caption</w:t>
      </w:r>
    </w:p>
    <w:p>
      <w:pPr>
        <w:spacing w:after="120"/>
      </w:pPr>
      <w:r>
        <w:rPr>
          <w:i/>
          <w:iCs/>
          <w:color w:val="666666"/>
          <w:sz w:val="18"/>
          <w:szCs w:val="18"/>
        </w:rPr>
        <w:t xml:space="preserve">Screenshot: Shadow Fan across Dec 21 showing hourly envelope bands</w:t>
      </w:r>
    </w:p>
    <w:p>
      <w:pPr>
        <w:pStyle w:val="Heading2"/>
      </w:pPr>
      <w:r>
        <w:rPr>
          <w:b/>
          <w:bCs/>
        </w:rPr>
        <w:t xml:space="preserve">Storytelling row 2 — Receptors &amp; Results</w:t>
      </w:r>
    </w:p>
    <w:p>
      <w:pPr>
        <w:spacing w:after="60" w:before="160"/>
      </w:pPr>
      <w:r>
        <w:rPr>
          <w:b/>
          <w:bCs/>
          <w:color w:val="0078D4"/>
          <w:sz w:val="18"/>
          <w:szCs w:val="18"/>
        </w:rPr>
        <w:t xml:space="preserve">Eyebrow</w:t>
      </w:r>
    </w:p>
    <w:p>
      <w:pPr>
        <w:spacing w:after="120"/>
      </w:pPr>
      <w:r>
        <w:t xml:space="preserve">Receptors &amp; Results</w:t>
      </w:r>
    </w:p>
    <w:p>
      <w:pPr>
        <w:spacing w:after="60" w:before="160"/>
      </w:pPr>
      <w:r>
        <w:rPr>
          <w:b/>
          <w:bCs/>
          <w:color w:val="0078D4"/>
          <w:sz w:val="18"/>
          <w:szCs w:val="18"/>
        </w:rPr>
        <w:t xml:space="preserve">Heading</w:t>
      </w:r>
    </w:p>
    <w:p>
      <w:pPr>
        <w:spacing w:after="120"/>
      </w:pPr>
      <w:r>
        <w:t xml:space="preserve">Data you can put in a report.</w:t>
      </w:r>
    </w:p>
    <w:p>
      <w:pPr>
        <w:spacing w:after="60" w:before="160"/>
      </w:pPr>
      <w:r>
        <w:rPr>
          <w:b/>
          <w:bCs/>
          <w:color w:val="0078D4"/>
          <w:sz w:val="18"/>
          <w:szCs w:val="18"/>
        </w:rPr>
        <w:t xml:space="preserve">Body</w:t>
      </w:r>
    </w:p>
    <w:p>
      <w:pPr>
        <w:spacing w:after="120"/>
      </w:pPr>
      <w:r>
        <w:t xml:space="preserve">Tag neighboring buildings, open space, or individual facades as receptors. Parasolv computes sun-hours, shadow-hours, and overshadowing metrics — then exports clean CSVs for planning submissions.</w:t>
      </w:r>
    </w:p>
    <w:p>
      <w:pPr>
        <w:spacing w:after="60" w:before="160"/>
      </w:pPr>
      <w:r>
        <w:rPr>
          <w:b/>
          <w:bCs/>
          <w:color w:val="0078D4"/>
          <w:sz w:val="18"/>
          <w:szCs w:val="18"/>
        </w:rPr>
        <w:t xml:space="preserve">CTA</w:t>
      </w:r>
    </w:p>
    <w:p>
      <w:pPr>
        <w:spacing w:after="120"/>
      </w:pPr>
      <w:r>
        <w:t xml:space="preserve">See result outputs</w:t>
      </w:r>
    </w:p>
    <w:p>
      <w:pPr>
        <w:spacing w:after="60" w:before="160"/>
      </w:pPr>
      <w:r>
        <w:rPr>
          <w:b/>
          <w:bCs/>
          <w:color w:val="0078D4"/>
          <w:sz w:val="18"/>
          <w:szCs w:val="18"/>
        </w:rPr>
        <w:t xml:space="preserve">Image caption</w:t>
      </w:r>
    </w:p>
    <w:p>
      <w:pPr>
        <w:spacing w:after="120"/>
      </w:pPr>
      <w:r>
        <w:rPr>
          <w:i/>
          <w:iCs/>
          <w:color w:val="666666"/>
          <w:sz w:val="18"/>
          <w:szCs w:val="18"/>
        </w:rPr>
        <w:t xml:space="preserve">Screenshot: Receptor panel with per-receptor sun-hour breakdown + gradient overlay</w:t>
      </w:r>
    </w:p>
    <w:p>
      <w:pPr>
        <w:pStyle w:val="Heading2"/>
      </w:pPr>
      <w:r>
        <w:rPr>
          <w:b/>
          <w:bCs/>
        </w:rPr>
        <w:t xml:space="preserve">Storytelling row 3 — Batch &amp; Envelope</w:t>
      </w:r>
    </w:p>
    <w:p>
      <w:pPr>
        <w:spacing w:after="60" w:before="160"/>
      </w:pPr>
      <w:r>
        <w:rPr>
          <w:b/>
          <w:bCs/>
          <w:color w:val="0078D4"/>
          <w:sz w:val="18"/>
          <w:szCs w:val="18"/>
        </w:rPr>
        <w:t xml:space="preserve">Eyebrow</w:t>
      </w:r>
    </w:p>
    <w:p>
      <w:pPr>
        <w:spacing w:after="120"/>
      </w:pPr>
      <w:r>
        <w:t xml:space="preserve">Batch &amp; Envelope</w:t>
      </w:r>
    </w:p>
    <w:p>
      <w:pPr>
        <w:spacing w:after="60" w:before="160"/>
      </w:pPr>
      <w:r>
        <w:rPr>
          <w:b/>
          <w:bCs/>
          <w:color w:val="0078D4"/>
          <w:sz w:val="18"/>
          <w:szCs w:val="18"/>
        </w:rPr>
        <w:t xml:space="preserve">Heading</w:t>
      </w:r>
    </w:p>
    <w:p>
      <w:pPr>
        <w:spacing w:after="120"/>
      </w:pPr>
      <w:r>
        <w:t xml:space="preserve">For when one study isn’t enough.</w:t>
      </w:r>
    </w:p>
    <w:p>
      <w:pPr>
        <w:spacing w:after="60" w:before="160"/>
      </w:pPr>
      <w:r>
        <w:rPr>
          <w:b/>
          <w:bCs/>
          <w:color w:val="0078D4"/>
          <w:sz w:val="18"/>
          <w:szCs w:val="18"/>
        </w:rPr>
        <w:t xml:space="preserve">Body</w:t>
      </w:r>
    </w:p>
    <w:p>
      <w:pPr>
        <w:spacing w:after="120"/>
      </w:pPr>
      <w:r>
        <w:t xml:space="preserve">The Studio tier adds batch processing and design-envelope generation — so you can explore dozens of massing options, or back-solve the largest building the site can support without overshadowing its neighbors.</w:t>
      </w:r>
    </w:p>
    <w:p>
      <w:pPr>
        <w:spacing w:after="60" w:before="160"/>
      </w:pPr>
      <w:r>
        <w:rPr>
          <w:b/>
          <w:bCs/>
          <w:color w:val="0078D4"/>
          <w:sz w:val="18"/>
          <w:szCs w:val="18"/>
        </w:rPr>
        <w:t xml:space="preserve">CTA</w:t>
      </w:r>
    </w:p>
    <w:p>
      <w:pPr>
        <w:spacing w:after="120"/>
      </w:pPr>
      <w:r>
        <w:t xml:space="preserve">Studio workflows</w:t>
      </w:r>
    </w:p>
    <w:p>
      <w:pPr>
        <w:spacing w:after="60" w:before="160"/>
      </w:pPr>
      <w:r>
        <w:rPr>
          <w:b/>
          <w:bCs/>
          <w:color w:val="0078D4"/>
          <w:sz w:val="18"/>
          <w:szCs w:val="18"/>
        </w:rPr>
        <w:t xml:space="preserve">Image caption</w:t>
      </w:r>
    </w:p>
    <w:p>
      <w:pPr>
        <w:spacing w:after="120"/>
      </w:pPr>
      <w:r>
        <w:rPr>
          <w:i/>
          <w:iCs/>
          <w:color w:val="666666"/>
          <w:sz w:val="18"/>
          <w:szCs w:val="18"/>
        </w:rPr>
        <w:t xml:space="preserve">Screenshot: Design envelope solid generated from shadow constraints</w:t>
      </w:r>
    </w:p>
    <w:p>
      <w:pPr>
        <w:pStyle w:val="Heading2"/>
      </w:pPr>
      <w:r>
        <w:rPr>
          <w:b/>
          <w:bCs/>
        </w:rPr>
        <w:t xml:space="preserve">Closing CTA</w:t>
      </w:r>
    </w:p>
    <w:p>
      <w:pPr>
        <w:spacing w:after="60" w:before="160"/>
      </w:pPr>
      <w:r>
        <w:rPr>
          <w:b/>
          <w:bCs/>
          <w:color w:val="0078D4"/>
          <w:sz w:val="18"/>
          <w:szCs w:val="18"/>
        </w:rPr>
        <w:t xml:space="preserve">Heading</w:t>
      </w:r>
    </w:p>
    <w:p>
      <w:pPr>
        <w:spacing w:after="120"/>
      </w:pPr>
      <w:r>
        <w:t xml:space="preserve">Ready to try it?</w:t>
      </w:r>
    </w:p>
    <w:p>
      <w:pPr>
        <w:spacing w:after="60" w:before="160"/>
      </w:pPr>
      <w:r>
        <w:rPr>
          <w:b/>
          <w:bCs/>
          <w:color w:val="0078D4"/>
          <w:sz w:val="18"/>
          <w:szCs w:val="18"/>
        </w:rPr>
        <w:t xml:space="preserve">Body</w:t>
      </w:r>
    </w:p>
    <w:p>
      <w:pPr>
        <w:spacing w:after="120"/>
      </w:pPr>
      <w:r>
        <w:t xml:space="preserve">Download the plugin, run a shadow study on your own model, and decide from there. No card required for the free Lite tier.</w:t>
      </w:r>
    </w:p>
    <w:p>
      <w:pPr>
        <w:spacing w:after="60" w:before="160"/>
      </w:pPr>
      <w:r>
        <w:rPr>
          <w:b/>
          <w:bCs/>
          <w:color w:val="0078D4"/>
          <w:sz w:val="18"/>
          <w:szCs w:val="18"/>
        </w:rPr>
        <w:t xml:space="preserve">Buttons</w:t>
      </w:r>
    </w:p>
    <w:p>
      <w:pPr>
        <w:pStyle w:val="ListParagraph"/>
        <w:numPr>
          <w:ilvl w:val="0"/>
          <w:numId w:val="2"/>
        </w:numPr>
      </w:pPr>
      <w:r>
        <w:t xml:space="preserve">Primary: See pricing</w:t>
      </w:r>
    </w:p>
    <w:p>
      <w:pPr>
        <w:pStyle w:val="ListParagraph"/>
        <w:numPr>
          <w:ilvl w:val="0"/>
          <w:numId w:val="2"/>
        </w:numPr>
      </w:pPr>
      <w:r>
        <w:t xml:space="preserve">Secondary: Quickstart guide</w:t>
      </w:r>
    </w:p>
    <w:p>
      <w:pPr>
        <w:pBdr>
          <w:bottom w:val="single" w:color="CCCCCC" w:sz="6" w:space="1"/>
        </w:pBdr>
        <w:spacing w:after="240" w:before="240"/>
      </w:pPr>
      <w:r>
        <w:t xml:space="preserve"/>
      </w:r>
    </w:p>
    <w:p>
      <w:pPr>
        <w:pageBreakBefore/>
      </w:pPr>
      <w:r>
        <w:t xml:space="preserve"/>
      </w:r>
    </w:p>
    <w:p>
      <w:pPr>
        <w:pStyle w:val="Heading1"/>
      </w:pPr>
      <w:r>
        <w:rPr>
          <w:b/>
          <w:bCs/>
        </w:rPr>
        <w:t xml:space="preserve">Page: Features (features.html)</w:t>
      </w:r>
    </w:p>
    <w:p>
      <w:pPr>
        <w:pStyle w:val="Heading2"/>
      </w:pPr>
      <w:r>
        <w:rPr>
          <w:b/>
          <w:bCs/>
        </w:rPr>
        <w:t xml:space="preserve">Page header</w:t>
      </w:r>
    </w:p>
    <w:p>
      <w:pPr>
        <w:spacing w:after="60" w:before="160"/>
      </w:pPr>
      <w:r>
        <w:rPr>
          <w:b/>
          <w:bCs/>
          <w:color w:val="0078D4"/>
          <w:sz w:val="18"/>
          <w:szCs w:val="18"/>
        </w:rPr>
        <w:t xml:space="preserve">Eyebrow</w:t>
      </w:r>
    </w:p>
    <w:p>
      <w:pPr>
        <w:spacing w:after="120"/>
      </w:pPr>
      <w:r>
        <w:t xml:space="preserve">Features</w:t>
      </w:r>
    </w:p>
    <w:p>
      <w:pPr>
        <w:spacing w:after="60" w:before="160"/>
      </w:pPr>
      <w:r>
        <w:rPr>
          <w:b/>
          <w:bCs/>
          <w:color w:val="0078D4"/>
          <w:sz w:val="18"/>
          <w:szCs w:val="18"/>
        </w:rPr>
        <w:t xml:space="preserve">Headline</w:t>
      </w:r>
    </w:p>
    <w:p>
      <w:pPr>
        <w:spacing w:after="120"/>
      </w:pPr>
      <w:r>
        <w:t xml:space="preserve">Everything Parasolv does.</w:t>
      </w:r>
    </w:p>
    <w:p>
      <w:pPr>
        <w:spacing w:after="60" w:before="160"/>
      </w:pPr>
      <w:r>
        <w:rPr>
          <w:b/>
          <w:bCs/>
          <w:color w:val="0078D4"/>
          <w:sz w:val="18"/>
          <w:szCs w:val="18"/>
        </w:rPr>
        <w:t xml:space="preserve">Lede</w:t>
      </w:r>
    </w:p>
    <w:p>
      <w:pPr>
        <w:spacing w:after="120"/>
      </w:pPr>
      <w:r>
        <w:t xml:space="preserve">Each module below corresponds to a panel in the plugin. Tier badges show where each capability lives.</w:t>
      </w:r>
    </w:p>
    <w:p>
      <w:pPr>
        <w:pStyle w:val="Heading2"/>
      </w:pPr>
      <w:r>
        <w:rPr>
          <w:b/>
          <w:bCs/>
        </w:rPr>
        <w:t xml:space="preserve">Module 1 — Classifier &amp; Analysis Settings</w:t>
      </w:r>
    </w:p>
    <w:p>
      <w:pPr>
        <w:spacing w:after="60" w:before="160"/>
      </w:pPr>
      <w:r>
        <w:rPr>
          <w:b/>
          <w:bCs/>
          <w:color w:val="0078D4"/>
          <w:sz w:val="18"/>
          <w:szCs w:val="18"/>
        </w:rPr>
        <w:t xml:space="preserve">Eyebrow</w:t>
      </w:r>
    </w:p>
    <w:p>
      <w:pPr>
        <w:spacing w:after="120"/>
      </w:pPr>
      <w:r>
        <w:t xml:space="preserve">Setup</w:t>
      </w:r>
    </w:p>
    <w:p>
      <w:pPr>
        <w:spacing w:after="60" w:before="160"/>
      </w:pPr>
      <w:r>
        <w:rPr>
          <w:b/>
          <w:bCs/>
          <w:color w:val="0078D4"/>
          <w:sz w:val="18"/>
          <w:szCs w:val="18"/>
        </w:rPr>
        <w:t xml:space="preserve">Heading</w:t>
      </w:r>
    </w:p>
    <w:p>
      <w:pPr>
        <w:spacing w:after="120"/>
      </w:pPr>
      <w:r>
        <w:t xml:space="preserve">Classifier &amp; Analysis Settings</w:t>
      </w:r>
    </w:p>
    <w:p>
      <w:pPr>
        <w:spacing w:after="60" w:before="160"/>
      </w:pPr>
      <w:r>
        <w:rPr>
          <w:b/>
          <w:bCs/>
          <w:color w:val="0078D4"/>
          <w:sz w:val="18"/>
          <w:szCs w:val="18"/>
        </w:rPr>
        <w:t xml:space="preserve">Body</w:t>
      </w:r>
    </w:p>
    <w:p>
      <w:pPr>
        <w:spacing w:after="120"/>
      </w:pPr>
      <w:r>
        <w:t xml:space="preserve">Tag model entities as sources (shadow casters) or receptors (the surfaces you care about). Configure location, date ranges, and grid resolution once — Parasolv remembers it for the rest of your study.</w:t>
      </w:r>
    </w:p>
    <w:p>
      <w:pPr>
        <w:spacing w:after="60" w:before="160"/>
      </w:pPr>
      <w:r>
        <w:rPr>
          <w:b/>
          <w:bCs/>
          <w:color w:val="0078D4"/>
          <w:sz w:val="18"/>
          <w:szCs w:val="18"/>
        </w:rPr>
        <w:t xml:space="preserve">Tier badges</w:t>
      </w:r>
    </w:p>
    <w:p>
      <w:pPr>
        <w:spacing w:after="120"/>
      </w:pPr>
      <w:r>
        <w:t xml:space="preserve">Lite · Pro · Studio</w:t>
      </w:r>
    </w:p>
    <w:p>
      <w:pPr>
        <w:pStyle w:val="Heading2"/>
      </w:pPr>
      <w:r>
        <w:rPr>
          <w:b/>
          <w:bCs/>
        </w:rPr>
        <w:t xml:space="preserve">Module 2 — Shadow Fan &amp; Graphics</w:t>
      </w:r>
    </w:p>
    <w:p>
      <w:pPr>
        <w:spacing w:after="60" w:before="160"/>
      </w:pPr>
      <w:r>
        <w:rPr>
          <w:b/>
          <w:bCs/>
          <w:color w:val="0078D4"/>
          <w:sz w:val="18"/>
          <w:szCs w:val="18"/>
        </w:rPr>
        <w:t xml:space="preserve">Eyebrow</w:t>
      </w:r>
    </w:p>
    <w:p>
      <w:pPr>
        <w:spacing w:after="120"/>
      </w:pPr>
      <w:r>
        <w:t xml:space="preserve">Shadow Analysis</w:t>
      </w:r>
    </w:p>
    <w:p>
      <w:pPr>
        <w:spacing w:after="60" w:before="160"/>
      </w:pPr>
      <w:r>
        <w:rPr>
          <w:b/>
          <w:bCs/>
          <w:color w:val="0078D4"/>
          <w:sz w:val="18"/>
          <w:szCs w:val="18"/>
        </w:rPr>
        <w:t xml:space="preserve">Heading</w:t>
      </w:r>
    </w:p>
    <w:p>
      <w:pPr>
        <w:spacing w:after="120"/>
      </w:pPr>
      <w:r>
        <w:t xml:space="preserve">Shadow Fan &amp; Graphics</w:t>
      </w:r>
    </w:p>
    <w:p>
      <w:pPr>
        <w:spacing w:after="60" w:before="160"/>
      </w:pPr>
      <w:r>
        <w:rPr>
          <w:b/>
          <w:bCs/>
          <w:color w:val="0078D4"/>
          <w:sz w:val="18"/>
          <w:szCs w:val="18"/>
        </w:rPr>
        <w:t xml:space="preserve">Body</w:t>
      </w:r>
    </w:p>
    <w:p>
      <w:pPr>
        <w:spacing w:after="120"/>
      </w:pPr>
      <w:r>
        <w:t xml:space="preserve">The core of the plugin. Sweep the sun across any day or season and see the shadow envelope live on your model. Tune gradient, opacity, and banding from the Graphics panel without leaving the workflow.</w:t>
      </w:r>
    </w:p>
    <w:p>
      <w:pPr>
        <w:spacing w:after="60" w:before="160"/>
      </w:pPr>
      <w:r>
        <w:rPr>
          <w:b/>
          <w:bCs/>
          <w:color w:val="0078D4"/>
          <w:sz w:val="18"/>
          <w:szCs w:val="18"/>
        </w:rPr>
        <w:t xml:space="preserve">Tier badges</w:t>
      </w:r>
    </w:p>
    <w:p>
      <w:pPr>
        <w:spacing w:after="120"/>
      </w:pPr>
      <w:r>
        <w:t xml:space="preserve">Pro · Studio</w:t>
      </w:r>
    </w:p>
    <w:p>
      <w:pPr>
        <w:pStyle w:val="Heading2"/>
      </w:pPr>
      <w:r>
        <w:rPr>
          <w:b/>
          <w:bCs/>
        </w:rPr>
        <w:t xml:space="preserve">Module 3 — PV Assessment</w:t>
      </w:r>
    </w:p>
    <w:p>
      <w:pPr>
        <w:spacing w:after="60" w:before="160"/>
      </w:pPr>
      <w:r>
        <w:rPr>
          <w:b/>
          <w:bCs/>
          <w:color w:val="0078D4"/>
          <w:sz w:val="18"/>
          <w:szCs w:val="18"/>
        </w:rPr>
        <w:t xml:space="preserve">Eyebrow</w:t>
      </w:r>
    </w:p>
    <w:p>
      <w:pPr>
        <w:spacing w:after="120"/>
      </w:pPr>
      <w:r>
        <w:t xml:space="preserve">Solar Impact</w:t>
      </w:r>
    </w:p>
    <w:p>
      <w:pPr>
        <w:spacing w:after="60" w:before="160"/>
      </w:pPr>
      <w:r>
        <w:rPr>
          <w:b/>
          <w:bCs/>
          <w:color w:val="0078D4"/>
          <w:sz w:val="18"/>
          <w:szCs w:val="18"/>
        </w:rPr>
        <w:t xml:space="preserve">Heading</w:t>
      </w:r>
    </w:p>
    <w:p>
      <w:pPr>
        <w:spacing w:after="120"/>
      </w:pPr>
      <w:r>
        <w:t xml:space="preserve">PV Assessment</w:t>
      </w:r>
    </w:p>
    <w:p>
      <w:pPr>
        <w:spacing w:after="60" w:before="160"/>
      </w:pPr>
      <w:r>
        <w:rPr>
          <w:b/>
          <w:bCs/>
          <w:color w:val="0078D4"/>
          <w:sz w:val="18"/>
          <w:szCs w:val="18"/>
        </w:rPr>
        <w:t xml:space="preserve">Body</w:t>
      </w:r>
    </w:p>
    <w:p>
      <w:pPr>
        <w:spacing w:after="120"/>
      </w:pPr>
      <w:r>
        <w:t xml:space="preserve">Evaluate photovoltaic potential on any face using the same solar model as your shadow studies. Great for early-stage feasibility on roofs, facades, and canopies.</w:t>
      </w:r>
    </w:p>
    <w:p>
      <w:pPr>
        <w:spacing w:after="60" w:before="160"/>
      </w:pPr>
      <w:r>
        <w:rPr>
          <w:b/>
          <w:bCs/>
          <w:color w:val="0078D4"/>
          <w:sz w:val="18"/>
          <w:szCs w:val="18"/>
        </w:rPr>
        <w:t xml:space="preserve">Tier badges</w:t>
      </w:r>
    </w:p>
    <w:p>
      <w:pPr>
        <w:spacing w:after="120"/>
      </w:pPr>
      <w:r>
        <w:t xml:space="preserve">Pro · Studio</w:t>
      </w:r>
    </w:p>
    <w:p>
      <w:pPr>
        <w:pStyle w:val="Heading2"/>
      </w:pPr>
      <w:r>
        <w:rPr>
          <w:b/>
          <w:bCs/>
        </w:rPr>
        <w:t xml:space="preserve">Module 4 — Batch &amp; Mask Mode</w:t>
      </w:r>
    </w:p>
    <w:p>
      <w:pPr>
        <w:spacing w:after="60" w:before="160"/>
      </w:pPr>
      <w:r>
        <w:rPr>
          <w:b/>
          <w:bCs/>
          <w:color w:val="0078D4"/>
          <w:sz w:val="18"/>
          <w:szCs w:val="18"/>
        </w:rPr>
        <w:t xml:space="preserve">Eyebrow</w:t>
      </w:r>
    </w:p>
    <w:p>
      <w:pPr>
        <w:spacing w:after="120"/>
      </w:pPr>
      <w:r>
        <w:t xml:space="preserve">Processing</w:t>
      </w:r>
    </w:p>
    <w:p>
      <w:pPr>
        <w:spacing w:after="60" w:before="160"/>
      </w:pPr>
      <w:r>
        <w:rPr>
          <w:b/>
          <w:bCs/>
          <w:color w:val="0078D4"/>
          <w:sz w:val="18"/>
          <w:szCs w:val="18"/>
        </w:rPr>
        <w:t xml:space="preserve">Heading</w:t>
      </w:r>
    </w:p>
    <w:p>
      <w:pPr>
        <w:spacing w:after="120"/>
      </w:pPr>
      <w:r>
        <w:t xml:space="preserve">Batch &amp; Mask Mode</w:t>
      </w:r>
    </w:p>
    <w:p>
      <w:pPr>
        <w:spacing w:after="60" w:before="160"/>
      </w:pPr>
      <w:r>
        <w:rPr>
          <w:b/>
          <w:bCs/>
          <w:color w:val="0078D4"/>
          <w:sz w:val="18"/>
          <w:szCs w:val="18"/>
        </w:rPr>
        <w:t xml:space="preserve">Body</w:t>
      </w:r>
    </w:p>
    <w:p>
      <w:pPr>
        <w:spacing w:after="120"/>
      </w:pPr>
      <w:r>
        <w:t xml:space="preserve">Batch runs a queue of configurations end-to-end. Mask Mode hides non-essential geometry during analysis to speed up heavy models. Studio users can schedule batches to run overnight.</w:t>
      </w:r>
    </w:p>
    <w:p>
      <w:pPr>
        <w:spacing w:after="60" w:before="160"/>
      </w:pPr>
      <w:r>
        <w:rPr>
          <w:b/>
          <w:bCs/>
          <w:color w:val="0078D4"/>
          <w:sz w:val="18"/>
          <w:szCs w:val="18"/>
        </w:rPr>
        <w:t xml:space="preserve">Tier badges</w:t>
      </w:r>
    </w:p>
    <w:p>
      <w:pPr>
        <w:spacing w:after="120"/>
      </w:pPr>
      <w:r>
        <w:t xml:space="preserve">Pro (Mask only) · Studio (full Batch)</w:t>
      </w:r>
    </w:p>
    <w:p>
      <w:pPr>
        <w:pStyle w:val="Heading2"/>
      </w:pPr>
      <w:r>
        <w:rPr>
          <w:b/>
          <w:bCs/>
        </w:rPr>
        <w:t xml:space="preserve">Module 5 — Design Envelope Generation</w:t>
      </w:r>
    </w:p>
    <w:p>
      <w:pPr>
        <w:spacing w:after="60" w:before="160"/>
      </w:pPr>
      <w:r>
        <w:rPr>
          <w:b/>
          <w:bCs/>
          <w:color w:val="0078D4"/>
          <w:sz w:val="18"/>
          <w:szCs w:val="18"/>
        </w:rPr>
        <w:t xml:space="preserve">Eyebrow</w:t>
      </w:r>
    </w:p>
    <w:p>
      <w:pPr>
        <w:spacing w:after="120"/>
      </w:pPr>
      <w:r>
        <w:t xml:space="preserve">Design Tools</w:t>
      </w:r>
    </w:p>
    <w:p>
      <w:pPr>
        <w:spacing w:after="60" w:before="160"/>
      </w:pPr>
      <w:r>
        <w:rPr>
          <w:b/>
          <w:bCs/>
          <w:color w:val="0078D4"/>
          <w:sz w:val="18"/>
          <w:szCs w:val="18"/>
        </w:rPr>
        <w:t xml:space="preserve">Heading</w:t>
      </w:r>
    </w:p>
    <w:p>
      <w:pPr>
        <w:spacing w:after="120"/>
      </w:pPr>
      <w:r>
        <w:t xml:space="preserve">Design Envelope Generation</w:t>
      </w:r>
    </w:p>
    <w:p>
      <w:pPr>
        <w:spacing w:after="60" w:before="160"/>
      </w:pPr>
      <w:r>
        <w:rPr>
          <w:b/>
          <w:bCs/>
          <w:color w:val="0078D4"/>
          <w:sz w:val="18"/>
          <w:szCs w:val="18"/>
        </w:rPr>
        <w:t xml:space="preserve">Body</w:t>
      </w:r>
    </w:p>
    <w:p>
      <w:pPr>
        <w:spacing w:after="120"/>
      </w:pPr>
      <w:r>
        <w:t xml:space="preserve">Back-solve the largest volume a site can support without overshadowing defined receptors. Export the envelope as a SketchUp group for massing studies and feasibility reports.</w:t>
      </w:r>
    </w:p>
    <w:p>
      <w:pPr>
        <w:spacing w:after="60" w:before="160"/>
      </w:pPr>
      <w:r>
        <w:rPr>
          <w:b/>
          <w:bCs/>
          <w:color w:val="0078D4"/>
          <w:sz w:val="18"/>
          <w:szCs w:val="18"/>
        </w:rPr>
        <w:t xml:space="preserve">Tier badges</w:t>
      </w:r>
    </w:p>
    <w:p>
      <w:pPr>
        <w:spacing w:after="120"/>
      </w:pPr>
      <w:r>
        <w:t xml:space="preserve">Studio</w:t>
      </w:r>
    </w:p>
    <w:p>
      <w:pPr>
        <w:pStyle w:val="Heading2"/>
      </w:pPr>
      <w:r>
        <w:rPr>
          <w:b/>
          <w:bCs/>
        </w:rPr>
        <w:t xml:space="preserve">Module 6 — Scenario Management &amp; CSV Export</w:t>
      </w:r>
    </w:p>
    <w:p>
      <w:pPr>
        <w:spacing w:after="60" w:before="160"/>
      </w:pPr>
      <w:r>
        <w:rPr>
          <w:b/>
          <w:bCs/>
          <w:color w:val="0078D4"/>
          <w:sz w:val="18"/>
          <w:szCs w:val="18"/>
        </w:rPr>
        <w:t xml:space="preserve">Eyebrow</w:t>
      </w:r>
    </w:p>
    <w:p>
      <w:pPr>
        <w:spacing w:after="120"/>
      </w:pPr>
      <w:r>
        <w:t xml:space="preserve">Results</w:t>
      </w:r>
    </w:p>
    <w:p>
      <w:pPr>
        <w:spacing w:after="60" w:before="160"/>
      </w:pPr>
      <w:r>
        <w:rPr>
          <w:b/>
          <w:bCs/>
          <w:color w:val="0078D4"/>
          <w:sz w:val="18"/>
          <w:szCs w:val="18"/>
        </w:rPr>
        <w:t xml:space="preserve">Heading</w:t>
      </w:r>
    </w:p>
    <w:p>
      <w:pPr>
        <w:spacing w:after="120"/>
      </w:pPr>
      <w:r>
        <w:t xml:space="preserve">Scenario Management &amp; CSV Export</w:t>
      </w:r>
    </w:p>
    <w:p>
      <w:pPr>
        <w:spacing w:after="60" w:before="160"/>
      </w:pPr>
      <w:r>
        <w:rPr>
          <w:b/>
          <w:bCs/>
          <w:color w:val="0078D4"/>
          <w:sz w:val="18"/>
          <w:szCs w:val="18"/>
        </w:rPr>
        <w:t xml:space="preserve">Body</w:t>
      </w:r>
    </w:p>
    <w:p>
      <w:pPr>
        <w:spacing w:after="120"/>
      </w:pPr>
      <w:r>
        <w:t xml:space="preserve">Layer variants on top of a baseline. Compare receptor-level metrics at a glance, then export structured CSVs ready for planning submissions, compliance reports, or client markdown.</w:t>
      </w:r>
    </w:p>
    <w:p>
      <w:pPr>
        <w:spacing w:after="60" w:before="160"/>
      </w:pPr>
      <w:r>
        <w:rPr>
          <w:b/>
          <w:bCs/>
          <w:color w:val="0078D4"/>
          <w:sz w:val="18"/>
          <w:szCs w:val="18"/>
        </w:rPr>
        <w:t xml:space="preserve">Tier badges</w:t>
      </w:r>
    </w:p>
    <w:p>
      <w:pPr>
        <w:spacing w:after="120"/>
      </w:pPr>
      <w:r>
        <w:t xml:space="preserve">Pro (up to 5) · Studio (unlimited)</w:t>
      </w:r>
    </w:p>
    <w:p>
      <w:pPr>
        <w:pStyle w:val="Heading2"/>
      </w:pPr>
      <w:r>
        <w:rPr>
          <w:b/>
          <w:bCs/>
        </w:rPr>
        <w:t xml:space="preserve">Closing CTA</w:t>
      </w:r>
    </w:p>
    <w:p>
      <w:pPr>
        <w:spacing w:after="60" w:before="160"/>
      </w:pPr>
      <w:r>
        <w:rPr>
          <w:b/>
          <w:bCs/>
          <w:color w:val="0078D4"/>
          <w:sz w:val="18"/>
          <w:szCs w:val="18"/>
        </w:rPr>
        <w:t xml:space="preserve">Heading</w:t>
      </w:r>
    </w:p>
    <w:p>
      <w:pPr>
        <w:spacing w:after="120"/>
      </w:pPr>
      <w:r>
        <w:t xml:space="preserve">Pick the tier that fits your practice.</w:t>
      </w:r>
    </w:p>
    <w:p>
      <w:pPr>
        <w:spacing w:after="60" w:before="160"/>
      </w:pPr>
      <w:r>
        <w:rPr>
          <w:b/>
          <w:bCs/>
          <w:color w:val="0078D4"/>
          <w:sz w:val="18"/>
          <w:szCs w:val="18"/>
        </w:rPr>
        <w:t xml:space="preserve">Body</w:t>
      </w:r>
    </w:p>
    <w:p>
      <w:pPr>
        <w:spacing w:after="120"/>
      </w:pPr>
      <w:r>
        <w:t xml:space="preserve">Lite is free. Pro and Studio include a 14-day trial.</w:t>
      </w:r>
    </w:p>
    <w:p>
      <w:pPr>
        <w:spacing w:after="60" w:before="160"/>
      </w:pPr>
      <w:r>
        <w:rPr>
          <w:b/>
          <w:bCs/>
          <w:color w:val="0078D4"/>
          <w:sz w:val="18"/>
          <w:szCs w:val="18"/>
        </w:rPr>
        <w:t xml:space="preserve">Button</w:t>
      </w:r>
    </w:p>
    <w:p>
      <w:pPr>
        <w:spacing w:after="120"/>
      </w:pPr>
      <w:r>
        <w:t xml:space="preserve">See pricing</w:t>
      </w:r>
    </w:p>
    <w:p>
      <w:pPr>
        <w:pBdr>
          <w:bottom w:val="single" w:color="CCCCCC" w:sz="6" w:space="1"/>
        </w:pBdr>
        <w:spacing w:after="240" w:before="240"/>
      </w:pPr>
      <w:r>
        <w:t xml:space="preserve"/>
      </w:r>
    </w:p>
    <w:p>
      <w:pPr>
        <w:pageBreakBefore/>
      </w:pPr>
      <w:r>
        <w:t xml:space="preserve"/>
      </w:r>
    </w:p>
    <w:p>
      <w:pPr>
        <w:pStyle w:val="Heading1"/>
      </w:pPr>
      <w:r>
        <w:rPr>
          <w:b/>
          <w:bCs/>
        </w:rPr>
        <w:t xml:space="preserve">Page: Pricing (pricing.html)</w:t>
      </w:r>
    </w:p>
    <w:p>
      <w:pPr>
        <w:pStyle w:val="Heading2"/>
      </w:pPr>
      <w:r>
        <w:rPr>
          <w:b/>
          <w:bCs/>
        </w:rPr>
        <w:t xml:space="preserve">Page header</w:t>
      </w:r>
    </w:p>
    <w:p>
      <w:pPr>
        <w:spacing w:after="60" w:before="160"/>
      </w:pPr>
      <w:r>
        <w:rPr>
          <w:b/>
          <w:bCs/>
          <w:color w:val="0078D4"/>
          <w:sz w:val="18"/>
          <w:szCs w:val="18"/>
        </w:rPr>
        <w:t xml:space="preserve">Eyebrow</w:t>
      </w:r>
    </w:p>
    <w:p>
      <w:pPr>
        <w:spacing w:after="120"/>
      </w:pPr>
      <w:r>
        <w:t xml:space="preserve">Pricing</w:t>
      </w:r>
    </w:p>
    <w:p>
      <w:pPr>
        <w:spacing w:after="60" w:before="160"/>
      </w:pPr>
      <w:r>
        <w:rPr>
          <w:b/>
          <w:bCs/>
          <w:color w:val="0078D4"/>
          <w:sz w:val="18"/>
          <w:szCs w:val="18"/>
        </w:rPr>
        <w:t xml:space="preserve">Headline</w:t>
      </w:r>
    </w:p>
    <w:p>
      <w:pPr>
        <w:spacing w:after="120"/>
      </w:pPr>
      <w:r>
        <w:t xml:space="preserve">One tool, three ways to use it.</w:t>
      </w:r>
    </w:p>
    <w:p>
      <w:pPr>
        <w:spacing w:after="60" w:before="160"/>
      </w:pPr>
      <w:r>
        <w:rPr>
          <w:b/>
          <w:bCs/>
          <w:color w:val="0078D4"/>
          <w:sz w:val="18"/>
          <w:szCs w:val="18"/>
        </w:rPr>
        <w:t xml:space="preserve">Lede</w:t>
      </w:r>
    </w:p>
    <w:p>
      <w:pPr>
        <w:spacing w:after="120"/>
      </w:pPr>
      <w:r>
        <w:t xml:space="preserve">Prices shown in USD. Cancel anytime. Payments processed by Lemon Squeezy — VAT and sales tax handled for you.</w:t>
      </w:r>
    </w:p>
    <w:p>
      <w:pPr>
        <w:spacing w:after="60" w:before="160"/>
      </w:pPr>
      <w:r>
        <w:rPr>
          <w:b/>
          <w:bCs/>
          <w:color w:val="0078D4"/>
          <w:sz w:val="18"/>
          <w:szCs w:val="18"/>
        </w:rPr>
        <w:t xml:space="preserve">Disclaimer</w:t>
      </w:r>
    </w:p>
    <w:p>
      <w:pPr>
        <w:spacing w:after="120"/>
      </w:pPr>
      <w:r>
        <w:t xml:space="preserve">Indicative pricing — final figures confirmed at checkout.</w:t>
      </w:r>
    </w:p>
    <w:p>
      <w:pPr>
        <w:pStyle w:val="Heading2"/>
      </w:pPr>
      <w:r>
        <w:rPr>
          <w:b/>
          <w:bCs/>
        </w:rPr>
        <w:t xml:space="preserve">Tier 1 — Lite</w:t>
      </w:r>
    </w:p>
    <w:p>
      <w:pPr>
        <w:spacing w:after="60" w:before="160"/>
      </w:pPr>
      <w:r>
        <w:rPr>
          <w:b/>
          <w:bCs/>
          <w:color w:val="0078D4"/>
          <w:sz w:val="18"/>
          <w:szCs w:val="18"/>
        </w:rPr>
        <w:t xml:space="preserve">Audience</w:t>
      </w:r>
    </w:p>
    <w:p>
      <w:pPr>
        <w:spacing w:after="120"/>
      </w:pPr>
      <w:r>
        <w:t xml:space="preserve">Architects &amp; students</w:t>
      </w:r>
    </w:p>
    <w:p>
      <w:pPr>
        <w:spacing w:after="60" w:before="160"/>
      </w:pPr>
      <w:r>
        <w:rPr>
          <w:b/>
          <w:bCs/>
          <w:color w:val="0078D4"/>
          <w:sz w:val="18"/>
          <w:szCs w:val="18"/>
        </w:rPr>
        <w:t xml:space="preserve">Name / price</w:t>
      </w:r>
    </w:p>
    <w:p>
      <w:pPr>
        <w:spacing w:after="120"/>
      </w:pPr>
      <w:r>
        <w:t xml:space="preserve">Lite — $0 / forever</w:t>
      </w:r>
    </w:p>
    <w:p>
      <w:pPr>
        <w:spacing w:after="60" w:before="160"/>
      </w:pPr>
      <w:r>
        <w:rPr>
          <w:b/>
          <w:bCs/>
          <w:color w:val="0078D4"/>
          <w:sz w:val="18"/>
          <w:szCs w:val="18"/>
        </w:rPr>
        <w:t xml:space="preserve">Tagline</w:t>
      </w:r>
    </w:p>
    <w:p>
      <w:pPr>
        <w:spacing w:after="120"/>
      </w:pPr>
      <w:r>
        <w:t xml:space="preserve">Get a feel for the plugin on real projects. No card required.</w:t>
      </w:r>
    </w:p>
    <w:p>
      <w:pPr>
        <w:spacing w:after="60" w:before="160"/>
      </w:pPr>
      <w:r>
        <w:rPr>
          <w:b/>
          <w:bCs/>
          <w:color w:val="0078D4"/>
          <w:sz w:val="18"/>
          <w:szCs w:val="18"/>
        </w:rPr>
        <w:t xml:space="preserve">Features included</w:t>
      </w:r>
    </w:p>
    <w:p>
      <w:pPr>
        <w:pStyle w:val="ListParagraph"/>
        <w:numPr>
          <w:ilvl w:val="0"/>
          <w:numId w:val="2"/>
        </w:numPr>
      </w:pPr>
      <w:r>
        <w:t xml:space="preserve">Classifier &amp; Setup</w:t>
      </w:r>
    </w:p>
    <w:p>
      <w:pPr>
        <w:pStyle w:val="ListParagraph"/>
        <w:numPr>
          <w:ilvl w:val="0"/>
          <w:numId w:val="2"/>
        </w:numPr>
      </w:pPr>
      <w:r>
        <w:t xml:space="preserve">Single-day shadow study</w:t>
      </w:r>
    </w:p>
    <w:p>
      <w:pPr>
        <w:pStyle w:val="ListParagraph"/>
        <w:numPr>
          <w:ilvl w:val="0"/>
          <w:numId w:val="2"/>
        </w:numPr>
      </w:pPr>
      <w:r>
        <w:t xml:space="preserve">Lite UI mode</w:t>
      </w:r>
    </w:p>
    <w:p>
      <w:pPr>
        <w:pStyle w:val="ListParagraph"/>
        <w:numPr>
          <w:ilvl w:val="0"/>
          <w:numId w:val="2"/>
        </w:numPr>
      </w:pPr>
      <w:r>
        <w:t xml:space="preserve">1 scenario, in-viewport only</w:t>
      </w:r>
    </w:p>
    <w:p>
      <w:pPr>
        <w:spacing w:after="60" w:before="160"/>
      </w:pPr>
      <w:r>
        <w:rPr>
          <w:b/>
          <w:bCs/>
          <w:color w:val="0078D4"/>
          <w:sz w:val="18"/>
          <w:szCs w:val="18"/>
        </w:rPr>
        <w:t xml:space="preserve">Features excluded</w:t>
      </w:r>
    </w:p>
    <w:p>
      <w:pPr>
        <w:pStyle w:val="ListParagraph"/>
        <w:numPr>
          <w:ilvl w:val="0"/>
          <w:numId w:val="2"/>
        </w:numPr>
      </w:pPr>
      <w:r>
        <w:t xml:space="preserve">No CSV export</w:t>
      </w:r>
    </w:p>
    <w:p>
      <w:pPr>
        <w:pStyle w:val="ListParagraph"/>
        <w:numPr>
          <w:ilvl w:val="0"/>
          <w:numId w:val="2"/>
        </w:numPr>
      </w:pPr>
      <w:r>
        <w:t xml:space="preserve">No PV, batch, or envelope</w:t>
      </w:r>
    </w:p>
    <w:p>
      <w:pPr>
        <w:spacing w:after="60" w:before="160"/>
      </w:pPr>
      <w:r>
        <w:rPr>
          <w:b/>
          <w:bCs/>
          <w:color w:val="0078D4"/>
          <w:sz w:val="18"/>
          <w:szCs w:val="18"/>
        </w:rPr>
        <w:t xml:space="preserve">CTA</w:t>
      </w:r>
    </w:p>
    <w:p>
      <w:pPr>
        <w:spacing w:after="120"/>
      </w:pPr>
      <w:r>
        <w:t xml:space="preserve">Download free</w:t>
      </w:r>
    </w:p>
    <w:p>
      <w:pPr>
        <w:pStyle w:val="Heading2"/>
      </w:pPr>
      <w:r>
        <w:rPr>
          <w:b/>
          <w:bCs/>
        </w:rPr>
        <w:t xml:space="preserve">Tier 2 — Pro (featured)</w:t>
      </w:r>
    </w:p>
    <w:p>
      <w:pPr>
        <w:spacing w:after="60" w:before="160"/>
      </w:pPr>
      <w:r>
        <w:rPr>
          <w:b/>
          <w:bCs/>
          <w:color w:val="0078D4"/>
          <w:sz w:val="18"/>
          <w:szCs w:val="18"/>
        </w:rPr>
        <w:t xml:space="preserve">Featured pill</w:t>
      </w:r>
    </w:p>
    <w:p>
      <w:pPr>
        <w:spacing w:after="120"/>
      </w:pPr>
      <w:r>
        <w:t xml:space="preserve">Most popular</w:t>
      </w:r>
    </w:p>
    <w:p>
      <w:pPr>
        <w:spacing w:after="60" w:before="160"/>
      </w:pPr>
      <w:r>
        <w:rPr>
          <w:b/>
          <w:bCs/>
          <w:color w:val="0078D4"/>
          <w:sz w:val="18"/>
          <w:szCs w:val="18"/>
        </w:rPr>
        <w:t xml:space="preserve">Audience</w:t>
      </w:r>
    </w:p>
    <w:p>
      <w:pPr>
        <w:spacing w:after="120"/>
      </w:pPr>
      <w:r>
        <w:t xml:space="preserve">Practicing architects &amp; urban designers</w:t>
      </w:r>
    </w:p>
    <w:p>
      <w:pPr>
        <w:spacing w:after="60" w:before="160"/>
      </w:pPr>
      <w:r>
        <w:rPr>
          <w:b/>
          <w:bCs/>
          <w:color w:val="0078D4"/>
          <w:sz w:val="18"/>
          <w:szCs w:val="18"/>
        </w:rPr>
        <w:t xml:space="preserve">Name / price</w:t>
      </w:r>
    </w:p>
    <w:p>
      <w:pPr>
        <w:spacing w:after="120"/>
      </w:pPr>
      <w:r>
        <w:t xml:space="preserve">Pro — $29 / month</w:t>
      </w:r>
    </w:p>
    <w:p>
      <w:pPr>
        <w:spacing w:after="60" w:before="160"/>
      </w:pPr>
      <w:r>
        <w:rPr>
          <w:b/>
          <w:bCs/>
          <w:color w:val="0078D4"/>
          <w:sz w:val="18"/>
          <w:szCs w:val="18"/>
        </w:rPr>
        <w:t xml:space="preserve">Tagline</w:t>
      </w:r>
    </w:p>
    <w:p>
      <w:pPr>
        <w:spacing w:after="120"/>
      </w:pPr>
      <w:r>
        <w:t xml:space="preserve">Or $290/year — save two months. 14-day free trial.</w:t>
      </w:r>
    </w:p>
    <w:p>
      <w:pPr>
        <w:spacing w:after="60" w:before="160"/>
      </w:pPr>
      <w:r>
        <w:rPr>
          <w:b/>
          <w:bCs/>
          <w:color w:val="0078D4"/>
          <w:sz w:val="18"/>
          <w:szCs w:val="18"/>
        </w:rPr>
        <w:t xml:space="preserve">Features included</w:t>
      </w:r>
    </w:p>
    <w:p>
      <w:pPr>
        <w:pStyle w:val="ListParagraph"/>
        <w:numPr>
          <w:ilvl w:val="0"/>
          <w:numId w:val="2"/>
        </w:numPr>
      </w:pPr>
      <w:r>
        <w:t xml:space="preserve">Everything in Lite</w:t>
      </w:r>
    </w:p>
    <w:p>
      <w:pPr>
        <w:pStyle w:val="ListParagraph"/>
        <w:numPr>
          <w:ilvl w:val="0"/>
          <w:numId w:val="2"/>
        </w:numPr>
      </w:pPr>
      <w:r>
        <w:t xml:space="preserve">Full Shadow Fan &amp; Graphics</w:t>
      </w:r>
    </w:p>
    <w:p>
      <w:pPr>
        <w:pStyle w:val="ListParagraph"/>
        <w:numPr>
          <w:ilvl w:val="0"/>
          <w:numId w:val="2"/>
        </w:numPr>
      </w:pPr>
      <w:r>
        <w:t xml:space="preserve">PV Assessment</w:t>
      </w:r>
    </w:p>
    <w:p>
      <w:pPr>
        <w:pStyle w:val="ListParagraph"/>
        <w:numPr>
          <w:ilvl w:val="0"/>
          <w:numId w:val="2"/>
        </w:numPr>
      </w:pPr>
      <w:r>
        <w:t xml:space="preserve">Mask Mode</w:t>
      </w:r>
    </w:p>
    <w:p>
      <w:pPr>
        <w:pStyle w:val="ListParagraph"/>
        <w:numPr>
          <w:ilvl w:val="0"/>
          <w:numId w:val="2"/>
        </w:numPr>
      </w:pPr>
      <w:r>
        <w:t xml:space="preserve">Up to 5 scenarios</w:t>
      </w:r>
    </w:p>
    <w:p>
      <w:pPr>
        <w:pStyle w:val="ListParagraph"/>
        <w:numPr>
          <w:ilvl w:val="0"/>
          <w:numId w:val="2"/>
        </w:numPr>
      </w:pPr>
      <w:r>
        <w:t xml:space="preserve">CSV export</w:t>
      </w:r>
    </w:p>
    <w:p>
      <w:pPr>
        <w:pStyle w:val="ListParagraph"/>
        <w:numPr>
          <w:ilvl w:val="0"/>
          <w:numId w:val="2"/>
        </w:numPr>
      </w:pPr>
      <w:r>
        <w:t xml:space="preserve">Advanced UI mode</w:t>
      </w:r>
    </w:p>
    <w:p>
      <w:pPr>
        <w:pStyle w:val="ListParagraph"/>
        <w:numPr>
          <w:ilvl w:val="0"/>
          <w:numId w:val="2"/>
        </w:numPr>
      </w:pPr>
      <w:r>
        <w:t xml:space="preserve">Email support</w:t>
      </w:r>
    </w:p>
    <w:p>
      <w:pPr>
        <w:spacing w:after="60" w:before="160"/>
      </w:pPr>
      <w:r>
        <w:rPr>
          <w:b/>
          <w:bCs/>
          <w:color w:val="0078D4"/>
          <w:sz w:val="18"/>
          <w:szCs w:val="18"/>
        </w:rPr>
        <w:t xml:space="preserve">CTA</w:t>
      </w:r>
    </w:p>
    <w:p>
      <w:pPr>
        <w:spacing w:after="120"/>
      </w:pPr>
      <w:r>
        <w:t xml:space="preserve">Start 14-day trial</w:t>
      </w:r>
    </w:p>
    <w:p>
      <w:pPr>
        <w:pStyle w:val="Heading2"/>
      </w:pPr>
      <w:r>
        <w:rPr>
          <w:b/>
          <w:bCs/>
        </w:rPr>
        <w:t xml:space="preserve">Tier 3 — Studio</w:t>
      </w:r>
    </w:p>
    <w:p>
      <w:pPr>
        <w:spacing w:after="60" w:before="160"/>
      </w:pPr>
      <w:r>
        <w:rPr>
          <w:b/>
          <w:bCs/>
          <w:color w:val="0078D4"/>
          <w:sz w:val="18"/>
          <w:szCs w:val="18"/>
        </w:rPr>
        <w:t xml:space="preserve">Audience</w:t>
      </w:r>
    </w:p>
    <w:p>
      <w:pPr>
        <w:spacing w:after="120"/>
      </w:pPr>
      <w:r>
        <w:t xml:space="preserve">Consultants &amp; studios</w:t>
      </w:r>
    </w:p>
    <w:p>
      <w:pPr>
        <w:spacing w:after="60" w:before="160"/>
      </w:pPr>
      <w:r>
        <w:rPr>
          <w:b/>
          <w:bCs/>
          <w:color w:val="0078D4"/>
          <w:sz w:val="18"/>
          <w:szCs w:val="18"/>
        </w:rPr>
        <w:t xml:space="preserve">Name / price</w:t>
      </w:r>
    </w:p>
    <w:p>
      <w:pPr>
        <w:spacing w:after="120"/>
      </w:pPr>
      <w:r>
        <w:t xml:space="preserve">Studio — $79 / month</w:t>
      </w:r>
    </w:p>
    <w:p>
      <w:pPr>
        <w:spacing w:after="60" w:before="160"/>
      </w:pPr>
      <w:r>
        <w:rPr>
          <w:b/>
          <w:bCs/>
          <w:color w:val="0078D4"/>
          <w:sz w:val="18"/>
          <w:szCs w:val="18"/>
        </w:rPr>
        <w:t xml:space="preserve">Tagline</w:t>
      </w:r>
    </w:p>
    <w:p>
      <w:pPr>
        <w:spacing w:after="120"/>
      </w:pPr>
      <w:r>
        <w:t xml:space="preserve">Or $790/year. 14-day free trial.</w:t>
      </w:r>
    </w:p>
    <w:p>
      <w:pPr>
        <w:spacing w:after="60" w:before="160"/>
      </w:pPr>
      <w:r>
        <w:rPr>
          <w:b/>
          <w:bCs/>
          <w:color w:val="0078D4"/>
          <w:sz w:val="18"/>
          <w:szCs w:val="18"/>
        </w:rPr>
        <w:t xml:space="preserve">Features included</w:t>
      </w:r>
    </w:p>
    <w:p>
      <w:pPr>
        <w:pStyle w:val="ListParagraph"/>
        <w:numPr>
          <w:ilvl w:val="0"/>
          <w:numId w:val="2"/>
        </w:numPr>
      </w:pPr>
      <w:r>
        <w:t xml:space="preserve">Everything in Pro</w:t>
      </w:r>
    </w:p>
    <w:p>
      <w:pPr>
        <w:pStyle w:val="ListParagraph"/>
        <w:numPr>
          <w:ilvl w:val="0"/>
          <w:numId w:val="2"/>
        </w:numPr>
      </w:pPr>
      <w:r>
        <w:t xml:space="preserve">Batch Processing</w:t>
      </w:r>
    </w:p>
    <w:p>
      <w:pPr>
        <w:pStyle w:val="ListParagraph"/>
        <w:numPr>
          <w:ilvl w:val="0"/>
          <w:numId w:val="2"/>
        </w:numPr>
      </w:pPr>
      <w:r>
        <w:t xml:space="preserve">Design Envelope generation</w:t>
      </w:r>
    </w:p>
    <w:p>
      <w:pPr>
        <w:pStyle w:val="ListParagraph"/>
        <w:numPr>
          <w:ilvl w:val="0"/>
          <w:numId w:val="2"/>
        </w:numPr>
      </w:pPr>
      <w:r>
        <w:t xml:space="preserve">Unlimited scenarios</w:t>
      </w:r>
    </w:p>
    <w:p>
      <w:pPr>
        <w:pStyle w:val="ListParagraph"/>
        <w:numPr>
          <w:ilvl w:val="0"/>
          <w:numId w:val="2"/>
        </w:numPr>
      </w:pPr>
      <w:r>
        <w:t xml:space="preserve">Scenario comparison tools</w:t>
      </w:r>
    </w:p>
    <w:p>
      <w:pPr>
        <w:pStyle w:val="ListParagraph"/>
        <w:numPr>
          <w:ilvl w:val="0"/>
          <w:numId w:val="2"/>
        </w:numPr>
      </w:pPr>
      <w:r>
        <w:t xml:space="preserve">Methodology &amp; compliance docs</w:t>
      </w:r>
    </w:p>
    <w:p>
      <w:pPr>
        <w:pStyle w:val="ListParagraph"/>
        <w:numPr>
          <w:ilvl w:val="0"/>
          <w:numId w:val="2"/>
        </w:numPr>
      </w:pPr>
      <w:r>
        <w:t xml:space="preserve">Priority support</w:t>
      </w:r>
    </w:p>
    <w:p>
      <w:pPr>
        <w:pStyle w:val="ListParagraph"/>
        <w:numPr>
          <w:ilvl w:val="0"/>
          <w:numId w:val="2"/>
        </w:numPr>
      </w:pPr>
      <w:r>
        <w:t xml:space="preserve">Studio quickstart track</w:t>
      </w:r>
    </w:p>
    <w:p>
      <w:pPr>
        <w:spacing w:after="60" w:before="160"/>
      </w:pPr>
      <w:r>
        <w:rPr>
          <w:b/>
          <w:bCs/>
          <w:color w:val="0078D4"/>
          <w:sz w:val="18"/>
          <w:szCs w:val="18"/>
        </w:rPr>
        <w:t xml:space="preserve">CTA</w:t>
      </w:r>
    </w:p>
    <w:p>
      <w:pPr>
        <w:spacing w:after="120"/>
      </w:pPr>
      <w:r>
        <w:t xml:space="preserve">Start 14-day trial</w:t>
      </w:r>
    </w:p>
    <w:p>
      <w:pPr>
        <w:pStyle w:val="Heading2"/>
      </w:pPr>
      <w:r>
        <w:rPr>
          <w:b/>
          <w:bCs/>
        </w:rPr>
        <w:t xml:space="preserve">Comparison table headers</w:t>
      </w:r>
    </w:p>
    <w:p>
      <w:pPr>
        <w:spacing w:after="120"/>
      </w:pPr>
      <w:r>
        <w:t xml:space="preserve">Feature · Lite · Pro · Studio</w:t>
      </w:r>
    </w:p>
    <w:p>
      <w:pPr>
        <w:spacing w:after="60" w:before="160"/>
      </w:pPr>
      <w:r>
        <w:rPr>
          <w:b/>
          <w:bCs/>
          <w:color w:val="0078D4"/>
          <w:sz w:val="18"/>
          <w:szCs w:val="18"/>
        </w:rPr>
        <w:t xml:space="preserve">Rows (feature name)</w:t>
      </w:r>
    </w:p>
    <w:p>
      <w:pPr>
        <w:pStyle w:val="ListParagraph"/>
        <w:numPr>
          <w:ilvl w:val="0"/>
          <w:numId w:val="2"/>
        </w:numPr>
      </w:pPr>
      <w:r>
        <w:t xml:space="preserve">Classifier &amp; Setup</w:t>
      </w:r>
    </w:p>
    <w:p>
      <w:pPr>
        <w:pStyle w:val="ListParagraph"/>
        <w:numPr>
          <w:ilvl w:val="0"/>
          <w:numId w:val="2"/>
        </w:numPr>
      </w:pPr>
      <w:r>
        <w:t xml:space="preserve">Single-day shadow study</w:t>
      </w:r>
    </w:p>
    <w:p>
      <w:pPr>
        <w:pStyle w:val="ListParagraph"/>
        <w:numPr>
          <w:ilvl w:val="0"/>
          <w:numId w:val="2"/>
        </w:numPr>
      </w:pPr>
      <w:r>
        <w:t xml:space="preserve">Full Shadow Fan (any range)</w:t>
      </w:r>
    </w:p>
    <w:p>
      <w:pPr>
        <w:pStyle w:val="ListParagraph"/>
        <w:numPr>
          <w:ilvl w:val="0"/>
          <w:numId w:val="2"/>
        </w:numPr>
      </w:pPr>
      <w:r>
        <w:t xml:space="preserve">Graphics / gradient overlays</w:t>
      </w:r>
    </w:p>
    <w:p>
      <w:pPr>
        <w:pStyle w:val="ListParagraph"/>
        <w:numPr>
          <w:ilvl w:val="0"/>
          <w:numId w:val="2"/>
        </w:numPr>
      </w:pPr>
      <w:r>
        <w:t xml:space="preserve">PV Assessment</w:t>
      </w:r>
    </w:p>
    <w:p>
      <w:pPr>
        <w:pStyle w:val="ListParagraph"/>
        <w:numPr>
          <w:ilvl w:val="0"/>
          <w:numId w:val="2"/>
        </w:numPr>
      </w:pPr>
      <w:r>
        <w:t xml:space="preserve">Mask Mode</w:t>
      </w:r>
    </w:p>
    <w:p>
      <w:pPr>
        <w:pStyle w:val="ListParagraph"/>
        <w:numPr>
          <w:ilvl w:val="0"/>
          <w:numId w:val="2"/>
        </w:numPr>
      </w:pPr>
      <w:r>
        <w:t xml:space="preserve">CSV export</w:t>
      </w:r>
    </w:p>
    <w:p>
      <w:pPr>
        <w:pStyle w:val="ListParagraph"/>
        <w:numPr>
          <w:ilvl w:val="0"/>
          <w:numId w:val="2"/>
        </w:numPr>
      </w:pPr>
      <w:r>
        <w:t xml:space="preserve">Scenarios — Lite: 1, Pro: 5, Studio: Unlimited</w:t>
      </w:r>
    </w:p>
    <w:p>
      <w:pPr>
        <w:pStyle w:val="ListParagraph"/>
        <w:numPr>
          <w:ilvl w:val="0"/>
          <w:numId w:val="2"/>
        </w:numPr>
      </w:pPr>
      <w:r>
        <w:t xml:space="preserve">Batch Processing</w:t>
      </w:r>
    </w:p>
    <w:p>
      <w:pPr>
        <w:pStyle w:val="ListParagraph"/>
        <w:numPr>
          <w:ilvl w:val="0"/>
          <w:numId w:val="2"/>
        </w:numPr>
      </w:pPr>
      <w:r>
        <w:t xml:space="preserve">Design Envelope generation</w:t>
      </w:r>
    </w:p>
    <w:p>
      <w:pPr>
        <w:pStyle w:val="ListParagraph"/>
        <w:numPr>
          <w:ilvl w:val="0"/>
          <w:numId w:val="2"/>
        </w:numPr>
      </w:pPr>
      <w:r>
        <w:t xml:space="preserve">Scenario comparison — Pro: Manual, Studio: Built-in</w:t>
      </w:r>
    </w:p>
    <w:p>
      <w:pPr>
        <w:pStyle w:val="ListParagraph"/>
        <w:numPr>
          <w:ilvl w:val="0"/>
          <w:numId w:val="2"/>
        </w:numPr>
      </w:pPr>
      <w:r>
        <w:t xml:space="preserve">Support — Lite: Community, Pro: Email, Studio: Priority</w:t>
      </w:r>
    </w:p>
    <w:p>
      <w:pPr>
        <w:pStyle w:val="Heading2"/>
      </w:pPr>
      <w:r>
        <w:rPr>
          <w:b/>
          <w:bCs/>
        </w:rPr>
        <w:t xml:space="preserve">FAQ section</w:t>
      </w:r>
    </w:p>
    <w:p>
      <w:pPr>
        <w:spacing w:after="60" w:before="160"/>
      </w:pPr>
      <w:r>
        <w:rPr>
          <w:b/>
          <w:bCs/>
          <w:color w:val="0078D4"/>
          <w:sz w:val="18"/>
          <w:szCs w:val="18"/>
        </w:rPr>
        <w:t xml:space="preserve">Eyebrow / Heading</w:t>
      </w:r>
    </w:p>
    <w:p>
      <w:pPr>
        <w:spacing w:after="120"/>
      </w:pPr>
      <w:r>
        <w:t xml:space="preserve">FAQ</w:t>
      </w:r>
    </w:p>
    <w:p>
      <w:pPr>
        <w:spacing w:after="120"/>
      </w:pPr>
      <w:r>
        <w:t xml:space="preserve">Common questions.</w:t>
      </w:r>
    </w:p>
    <w:p>
      <w:pPr>
        <w:spacing w:after="60" w:before="160"/>
      </w:pPr>
      <w:r>
        <w:rPr>
          <w:b/>
          <w:bCs/>
          <w:color w:val="0078D4"/>
          <w:sz w:val="18"/>
          <w:szCs w:val="18"/>
        </w:rPr>
        <w:t xml:space="preserve">Q1</w:t>
      </w:r>
    </w:p>
    <w:p>
      <w:pPr>
        <w:spacing w:after="120"/>
      </w:pPr>
      <w:r>
        <w:t xml:space="preserve">Which SketchUp version does Parasolv support?</w:t>
      </w:r>
    </w:p>
    <w:p>
      <w:pPr>
        <w:spacing w:after="60" w:before="160"/>
      </w:pPr>
      <w:r>
        <w:rPr>
          <w:b/>
          <w:bCs/>
          <w:color w:val="0078D4"/>
          <w:sz w:val="18"/>
          <w:szCs w:val="18"/>
        </w:rPr>
        <w:t xml:space="preserve">A1</w:t>
      </w:r>
    </w:p>
    <w:p>
      <w:pPr>
        <w:spacing w:after="120"/>
      </w:pPr>
      <w:r>
        <w:t xml:space="preserve">SketchUp 2026 and later on both Windows and macOS (Apple Silicon). Older versions are not supported.</w:t>
      </w:r>
    </w:p>
    <w:p>
      <w:pPr>
        <w:spacing w:after="60" w:before="160"/>
      </w:pPr>
      <w:r>
        <w:rPr>
          <w:b/>
          <w:bCs/>
          <w:color w:val="0078D4"/>
          <w:sz w:val="18"/>
          <w:szCs w:val="18"/>
        </w:rPr>
        <w:t xml:space="preserve">Q2</w:t>
      </w:r>
    </w:p>
    <w:p>
      <w:pPr>
        <w:spacing w:after="120"/>
      </w:pPr>
      <w:r>
        <w:t xml:space="preserve">How does billing work?</w:t>
      </w:r>
    </w:p>
    <w:p>
      <w:pPr>
        <w:spacing w:after="60" w:before="160"/>
      </w:pPr>
      <w:r>
        <w:rPr>
          <w:b/>
          <w:bCs/>
          <w:color w:val="0078D4"/>
          <w:sz w:val="18"/>
          <w:szCs w:val="18"/>
        </w:rPr>
        <w:t xml:space="preserve">A2</w:t>
      </w:r>
    </w:p>
    <w:p>
      <w:pPr>
        <w:spacing w:after="120"/>
      </w:pPr>
      <w:r>
        <w:t xml:space="preserve">Subscriptions are billed monthly or annually via Lemon Squeezy. Cancel anytime from the customer portal — you keep access until the end of the billing period.</w:t>
      </w:r>
    </w:p>
    <w:p>
      <w:pPr>
        <w:spacing w:after="60" w:before="160"/>
      </w:pPr>
      <w:r>
        <w:rPr>
          <w:b/>
          <w:bCs/>
          <w:color w:val="0078D4"/>
          <w:sz w:val="18"/>
          <w:szCs w:val="18"/>
        </w:rPr>
        <w:t xml:space="preserve">Q3</w:t>
      </w:r>
    </w:p>
    <w:p>
      <w:pPr>
        <w:spacing w:after="120"/>
      </w:pPr>
      <w:r>
        <w:t xml:space="preserve">Can I use one license on multiple machines?</w:t>
      </w:r>
    </w:p>
    <w:p>
      <w:pPr>
        <w:spacing w:after="60" w:before="160"/>
      </w:pPr>
      <w:r>
        <w:rPr>
          <w:b/>
          <w:bCs/>
          <w:color w:val="0078D4"/>
          <w:sz w:val="18"/>
          <w:szCs w:val="18"/>
        </w:rPr>
        <w:t xml:space="preserve">A3</w:t>
      </w:r>
    </w:p>
    <w:p>
      <w:pPr>
        <w:spacing w:after="120"/>
      </w:pPr>
      <w:r>
        <w:t xml:space="preserve">Each subscription covers up to two machines (e.g. office desktop + laptop) for the same user. Team plans are available — contact us.</w:t>
      </w:r>
    </w:p>
    <w:p>
      <w:pPr>
        <w:spacing w:after="60" w:before="160"/>
      </w:pPr>
      <w:r>
        <w:rPr>
          <w:b/>
          <w:bCs/>
          <w:color w:val="0078D4"/>
          <w:sz w:val="18"/>
          <w:szCs w:val="18"/>
        </w:rPr>
        <w:t xml:space="preserve">Q4</w:t>
      </w:r>
    </w:p>
    <w:p>
      <w:pPr>
        <w:spacing w:after="120"/>
      </w:pPr>
      <w:r>
        <w:t xml:space="preserve">Is there a student or academic discount?</w:t>
      </w:r>
    </w:p>
    <w:p>
      <w:pPr>
        <w:spacing w:after="60" w:before="160"/>
      </w:pPr>
      <w:r>
        <w:rPr>
          <w:b/>
          <w:bCs/>
          <w:color w:val="0078D4"/>
          <w:sz w:val="18"/>
          <w:szCs w:val="18"/>
        </w:rPr>
        <w:t xml:space="preserve">A4</w:t>
      </w:r>
    </w:p>
    <w:p>
      <w:pPr>
        <w:spacing w:after="120"/>
      </w:pPr>
      <w:r>
        <w:t xml:space="preserve">The Lite tier is free for everyone. Academic discounts on Pro and Studio are available on request with proof of enrollment.</w:t>
      </w:r>
    </w:p>
    <w:p>
      <w:pPr>
        <w:spacing w:after="60" w:before="160"/>
      </w:pPr>
      <w:r>
        <w:rPr>
          <w:b/>
          <w:bCs/>
          <w:color w:val="0078D4"/>
          <w:sz w:val="18"/>
          <w:szCs w:val="18"/>
        </w:rPr>
        <w:t xml:space="preserve">Q5</w:t>
      </w:r>
    </w:p>
    <w:p>
      <w:pPr>
        <w:spacing w:after="120"/>
      </w:pPr>
      <w:r>
        <w:t xml:space="preserve">Do you offer refunds?</w:t>
      </w:r>
    </w:p>
    <w:p>
      <w:pPr>
        <w:spacing w:after="60" w:before="160"/>
      </w:pPr>
      <w:r>
        <w:rPr>
          <w:b/>
          <w:bCs/>
          <w:color w:val="0078D4"/>
          <w:sz w:val="18"/>
          <w:szCs w:val="18"/>
        </w:rPr>
        <w:t xml:space="preserve">A5</w:t>
      </w:r>
    </w:p>
    <w:p>
      <w:pPr>
        <w:spacing w:after="120"/>
      </w:pPr>
      <w:r>
        <w:t xml:space="preserve">14-day free trials on Pro and Studio let you evaluate before paying. If something goes wrong after that, get in touch — we’ll sort it out.</w:t>
      </w:r>
    </w:p>
    <w:p>
      <w:pPr>
        <w:spacing w:after="60" w:before="160"/>
      </w:pPr>
      <w:r>
        <w:rPr>
          <w:b/>
          <w:bCs/>
          <w:color w:val="0078D4"/>
          <w:sz w:val="18"/>
          <w:szCs w:val="18"/>
        </w:rPr>
        <w:t xml:space="preserve">Q6</w:t>
      </w:r>
    </w:p>
    <w:p>
      <w:pPr>
        <w:spacing w:after="120"/>
      </w:pPr>
      <w:r>
        <w:t xml:space="preserve">Can I upgrade or downgrade?</w:t>
      </w:r>
    </w:p>
    <w:p>
      <w:pPr>
        <w:spacing w:after="60" w:before="160"/>
      </w:pPr>
      <w:r>
        <w:rPr>
          <w:b/>
          <w:bCs/>
          <w:color w:val="0078D4"/>
          <w:sz w:val="18"/>
          <w:szCs w:val="18"/>
        </w:rPr>
        <w:t xml:space="preserve">A6</w:t>
      </w:r>
    </w:p>
    <w:p>
      <w:pPr>
        <w:spacing w:after="120"/>
      </w:pPr>
      <w:r>
        <w:t xml:space="preserve">Yes, at any time. Pro-rata adjustments are handled automatically by Lemon Squeezy.</w:t>
      </w:r>
    </w:p>
    <w:p>
      <w:pPr>
        <w:pBdr>
          <w:bottom w:val="single" w:color="CCCCCC" w:sz="6" w:space="1"/>
        </w:pBdr>
        <w:spacing w:after="240" w:before="240"/>
      </w:pPr>
      <w:r>
        <w:t xml:space="preserve"/>
      </w:r>
    </w:p>
    <w:p>
      <w:pPr>
        <w:pageBreakBefore/>
      </w:pPr>
      <w:r>
        <w:t xml:space="preserve"/>
      </w:r>
    </w:p>
    <w:p>
      <w:pPr>
        <w:pStyle w:val="Heading1"/>
      </w:pPr>
      <w:r>
        <w:rPr>
          <w:b/>
          <w:bCs/>
        </w:rPr>
        <w:t xml:space="preserve">Page: Quickstart (quickstart.html)</w:t>
      </w:r>
    </w:p>
    <w:p>
      <w:pPr>
        <w:pStyle w:val="Heading2"/>
      </w:pPr>
      <w:r>
        <w:rPr>
          <w:b/>
          <w:bCs/>
        </w:rPr>
        <w:t xml:space="preserve">Page header</w:t>
      </w:r>
    </w:p>
    <w:p>
      <w:pPr>
        <w:spacing w:after="60" w:before="160"/>
      </w:pPr>
      <w:r>
        <w:rPr>
          <w:b/>
          <w:bCs/>
          <w:color w:val="0078D4"/>
          <w:sz w:val="18"/>
          <w:szCs w:val="18"/>
        </w:rPr>
        <w:t xml:space="preserve">Eyebrow</w:t>
      </w:r>
    </w:p>
    <w:p>
      <w:pPr>
        <w:spacing w:after="120"/>
      </w:pPr>
      <w:r>
        <w:t xml:space="preserve">Quickstart</w:t>
      </w:r>
    </w:p>
    <w:p>
      <w:pPr>
        <w:spacing w:after="60" w:before="160"/>
      </w:pPr>
      <w:r>
        <w:rPr>
          <w:b/>
          <w:bCs/>
          <w:color w:val="0078D4"/>
          <w:sz w:val="18"/>
          <w:szCs w:val="18"/>
        </w:rPr>
        <w:t xml:space="preserve">Headline</w:t>
      </w:r>
    </w:p>
    <w:p>
      <w:pPr>
        <w:spacing w:after="120"/>
      </w:pPr>
      <w:r>
        <w:t xml:space="preserve">From install to first study in 15 minutes.</w:t>
      </w:r>
    </w:p>
    <w:p>
      <w:pPr>
        <w:spacing w:after="60" w:before="160"/>
      </w:pPr>
      <w:r>
        <w:rPr>
          <w:b/>
          <w:bCs/>
          <w:color w:val="0078D4"/>
          <w:sz w:val="18"/>
          <w:szCs w:val="18"/>
        </w:rPr>
        <w:t xml:space="preserve">Lede</w:t>
      </w:r>
    </w:p>
    <w:p>
      <w:pPr>
        <w:spacing w:after="120"/>
      </w:pPr>
      <w:r>
        <w:t xml:space="preserve">Pick the track that fits you. Architect is written for anyone comfortable in SketchUp. Studio dives deeper into methodology and advanced workflows.</w:t>
      </w:r>
    </w:p>
    <w:p>
      <w:pPr>
        <w:spacing w:after="60" w:before="160"/>
      </w:pPr>
      <w:r>
        <w:rPr>
          <w:b/>
          <w:bCs/>
          <w:color w:val="0078D4"/>
          <w:sz w:val="18"/>
          <w:szCs w:val="18"/>
        </w:rPr>
        <w:t xml:space="preserve">Track toggle labels</w:t>
      </w:r>
    </w:p>
    <w:p>
      <w:pPr>
        <w:pStyle w:val="ListParagraph"/>
        <w:numPr>
          <w:ilvl w:val="0"/>
          <w:numId w:val="2"/>
        </w:numPr>
      </w:pPr>
      <w:r>
        <w:t xml:space="preserve">Architect track</w:t>
      </w:r>
    </w:p>
    <w:p>
      <w:pPr>
        <w:pStyle w:val="ListParagraph"/>
        <w:numPr>
          <w:ilvl w:val="0"/>
          <w:numId w:val="2"/>
        </w:numPr>
      </w:pPr>
      <w:r>
        <w:t xml:space="preserve">Studio track</w:t>
      </w:r>
    </w:p>
    <w:p>
      <w:pPr>
        <w:pStyle w:val="Heading2"/>
      </w:pPr>
      <w:r>
        <w:rPr>
          <w:b/>
          <w:bCs/>
        </w:rPr>
        <w:t xml:space="preserve">Architect track</w:t>
      </w:r>
    </w:p>
    <w:p>
      <w:pPr>
        <w:spacing w:after="60" w:before="160"/>
      </w:pPr>
      <w:r>
        <w:rPr>
          <w:b/>
          <w:bCs/>
          <w:color w:val="0078D4"/>
          <w:sz w:val="18"/>
          <w:szCs w:val="18"/>
        </w:rPr>
        <w:t xml:space="preserve">Step 01</w:t>
      </w:r>
    </w:p>
    <w:p>
      <w:pPr>
        <w:pStyle w:val="Heading3"/>
      </w:pPr>
      <w:r>
        <w:rPr>
          <w:b/>
          <w:bCs/>
        </w:rPr>
        <w:t xml:space="preserve">Install the plugin</w:t>
      </w:r>
    </w:p>
    <w:p>
      <w:pPr>
        <w:spacing w:after="120"/>
      </w:pPr>
      <w:r>
        <w:t xml:space="preserve">Download Parasolv from your account page, double-click the .rbz, and restart SketchUp. The Parasolv panel appears in the Extensions menu.</w:t>
      </w:r>
    </w:p>
    <w:p>
      <w:pPr>
        <w:spacing w:after="120"/>
      </w:pPr>
      <w:r>
        <w:rPr>
          <w:i/>
          <w:iCs/>
          <w:color w:val="666666"/>
          <w:sz w:val="18"/>
          <w:szCs w:val="18"/>
        </w:rPr>
        <w:t xml:space="preserve">Screenshot: SketchUp extensions menu with Parasolv highlighted</w:t>
      </w:r>
    </w:p>
    <w:p>
      <w:pPr>
        <w:spacing w:after="60" w:before="160"/>
      </w:pPr>
      <w:r>
        <w:rPr>
          <w:b/>
          <w:bCs/>
          <w:color w:val="0078D4"/>
          <w:sz w:val="18"/>
          <w:szCs w:val="18"/>
        </w:rPr>
        <w:t xml:space="preserve">Step 02</w:t>
      </w:r>
    </w:p>
    <w:p>
      <w:pPr>
        <w:pStyle w:val="Heading3"/>
      </w:pPr>
      <w:r>
        <w:rPr>
          <w:b/>
          <w:bCs/>
        </w:rPr>
        <w:t xml:space="preserve">Set your location &amp; date</w:t>
      </w:r>
    </w:p>
    <w:p>
      <w:pPr>
        <w:spacing w:after="120"/>
      </w:pPr>
      <w:r>
        <w:t xml:space="preserve">Open the Setup panel, confirm the model location, and choose the day (or range) you want to analyze. Parasolv uses SketchUp’s native geolocation so you don’t need to re-enter it.</w:t>
      </w:r>
    </w:p>
    <w:p>
      <w:pPr>
        <w:spacing w:after="120"/>
      </w:pPr>
      <w:r>
        <w:rPr>
          <w:i/>
          <w:iCs/>
          <w:color w:val="666666"/>
          <w:sz w:val="18"/>
          <w:szCs w:val="18"/>
        </w:rPr>
        <w:t xml:space="preserve">Screenshot: Setup panel with location + date selector</w:t>
      </w:r>
    </w:p>
    <w:p>
      <w:pPr>
        <w:spacing w:after="60" w:before="160"/>
      </w:pPr>
      <w:r>
        <w:rPr>
          <w:b/>
          <w:bCs/>
          <w:color w:val="0078D4"/>
          <w:sz w:val="18"/>
          <w:szCs w:val="18"/>
        </w:rPr>
        <w:t xml:space="preserve">Step 03</w:t>
      </w:r>
    </w:p>
    <w:p>
      <w:pPr>
        <w:pStyle w:val="Heading3"/>
      </w:pPr>
      <w:r>
        <w:rPr>
          <w:b/>
          <w:bCs/>
        </w:rPr>
        <w:t xml:space="preserve">Classify your model</w:t>
      </w:r>
    </w:p>
    <w:p>
      <w:pPr>
        <w:spacing w:after="120"/>
      </w:pPr>
      <w:r>
        <w:t xml:space="preserve">Tag buildings and obstructions as sources, and the surfaces you care about (neighboring facades, public space, gardens) as receptors. Think of it as telling the plugin “what’s casting shadow” vs. “what you’re measuring.”</w:t>
      </w:r>
    </w:p>
    <w:p>
      <w:pPr>
        <w:spacing w:after="120"/>
      </w:pPr>
      <w:r>
        <w:rPr>
          <w:i/>
          <w:iCs/>
          <w:color w:val="666666"/>
          <w:sz w:val="18"/>
          <w:szCs w:val="18"/>
        </w:rPr>
        <w:t xml:space="preserve">Screenshot: Classifier panel with entity list + coloured preview</w:t>
      </w:r>
    </w:p>
    <w:p>
      <w:pPr>
        <w:spacing w:after="60" w:before="160"/>
      </w:pPr>
      <w:r>
        <w:rPr>
          <w:b/>
          <w:bCs/>
          <w:color w:val="0078D4"/>
          <w:sz w:val="18"/>
          <w:szCs w:val="18"/>
        </w:rPr>
        <w:t xml:space="preserve">Step 04</w:t>
      </w:r>
    </w:p>
    <w:p>
      <w:pPr>
        <w:pStyle w:val="Heading3"/>
      </w:pPr>
      <w:r>
        <w:rPr>
          <w:b/>
          <w:bCs/>
        </w:rPr>
        <w:t xml:space="preserve">Run your first study</w:t>
      </w:r>
    </w:p>
    <w:p>
      <w:pPr>
        <w:spacing w:after="120"/>
      </w:pPr>
      <w:r>
        <w:t xml:space="preserve">Hit Run. Shadow Fan overlays appear on the model within seconds for a single day; a full-year study takes a minute or two depending on receptor count.</w:t>
      </w:r>
    </w:p>
    <w:p>
      <w:pPr>
        <w:spacing w:after="120"/>
      </w:pPr>
      <w:r>
        <w:rPr>
          <w:i/>
          <w:iCs/>
          <w:color w:val="666666"/>
          <w:sz w:val="18"/>
          <w:szCs w:val="18"/>
        </w:rPr>
        <w:t xml:space="preserve">Screenshot: Model with live Shadow Fan overlay</w:t>
      </w:r>
    </w:p>
    <w:p>
      <w:pPr>
        <w:spacing w:after="60" w:before="160"/>
      </w:pPr>
      <w:r>
        <w:rPr>
          <w:b/>
          <w:bCs/>
          <w:color w:val="0078D4"/>
          <w:sz w:val="18"/>
          <w:szCs w:val="18"/>
        </w:rPr>
        <w:t xml:space="preserve">Step 05</w:t>
      </w:r>
    </w:p>
    <w:p>
      <w:pPr>
        <w:pStyle w:val="Heading3"/>
      </w:pPr>
      <w:r>
        <w:rPr>
          <w:b/>
          <w:bCs/>
        </w:rPr>
        <w:t xml:space="preserve">Read the results</w:t>
      </w:r>
    </w:p>
    <w:p>
      <w:pPr>
        <w:spacing w:after="120"/>
      </w:pPr>
      <w:r>
        <w:t xml:space="preserve">The Results panel lists each receptor with sun-hours and shadow-hours. The gradient overlay on the model shows where exposure is highest and lowest at a glance.</w:t>
      </w:r>
    </w:p>
    <w:p>
      <w:pPr>
        <w:spacing w:after="120"/>
      </w:pPr>
      <w:r>
        <w:rPr>
          <w:i/>
          <w:iCs/>
          <w:color w:val="666666"/>
          <w:sz w:val="18"/>
          <w:szCs w:val="18"/>
        </w:rPr>
        <w:t xml:space="preserve">Screenshot: Results panel with receptor table + gradient legend</w:t>
      </w:r>
    </w:p>
    <w:p>
      <w:pPr>
        <w:spacing w:after="60" w:before="160"/>
      </w:pPr>
      <w:r>
        <w:rPr>
          <w:b/>
          <w:bCs/>
          <w:color w:val="0078D4"/>
          <w:sz w:val="18"/>
          <w:szCs w:val="18"/>
        </w:rPr>
        <w:t xml:space="preserve">Step 06</w:t>
      </w:r>
    </w:p>
    <w:p>
      <w:pPr>
        <w:pStyle w:val="Heading3"/>
      </w:pPr>
      <w:r>
        <w:rPr>
          <w:b/>
          <w:bCs/>
        </w:rPr>
        <w:t xml:space="preserve">Export for your report</w:t>
      </w:r>
    </w:p>
    <w:p>
      <w:pPr>
        <w:spacing w:after="120"/>
      </w:pPr>
      <w:r>
        <w:t xml:space="preserve">Pro and Studio tiers export CSVs ready for planning submissions or client decks. Lite users can screenshot the viewport overlay.</w:t>
      </w:r>
    </w:p>
    <w:p>
      <w:pPr>
        <w:spacing w:after="120"/>
      </w:pPr>
      <w:r>
        <w:rPr>
          <w:i/>
          <w:iCs/>
          <w:color w:val="666666"/>
          <w:sz w:val="18"/>
          <w:szCs w:val="18"/>
        </w:rPr>
        <w:t xml:space="preserve">Screenshot: CSV preview with per-receptor metrics</w:t>
      </w:r>
    </w:p>
    <w:p>
      <w:pPr>
        <w:pStyle w:val="Heading2"/>
      </w:pPr>
      <w:r>
        <w:rPr>
          <w:b/>
          <w:bCs/>
        </w:rPr>
        <w:t xml:space="preserve">Studio track</w:t>
      </w:r>
    </w:p>
    <w:p>
      <w:pPr>
        <w:spacing w:after="60" w:before="160"/>
      </w:pPr>
      <w:r>
        <w:rPr>
          <w:b/>
          <w:bCs/>
          <w:color w:val="0078D4"/>
          <w:sz w:val="18"/>
          <w:szCs w:val="18"/>
        </w:rPr>
        <w:t xml:space="preserve">Step 01</w:t>
      </w:r>
    </w:p>
    <w:p>
      <w:pPr>
        <w:pStyle w:val="Heading3"/>
      </w:pPr>
      <w:r>
        <w:rPr>
          <w:b/>
          <w:bCs/>
        </w:rPr>
        <w:t xml:space="preserve">Grid resolution &amp; sampling</w:t>
      </w:r>
    </w:p>
    <w:p>
      <w:pPr>
        <w:spacing w:after="120"/>
      </w:pPr>
      <w:r>
        <w:t xml:space="preserve">Studio users should tune grid resolution before running compliance studies. As a rule of thumb: 0.25 m for facade receptors where local planning guidance requires sub-metre accuracy, 1.0 m for open-space studies. See the methodology reference for per-jurisdiction notes.</w:t>
      </w:r>
    </w:p>
    <w:p>
      <w:pPr>
        <w:spacing w:after="120"/>
      </w:pPr>
      <w:r>
        <w:rPr>
          <w:i/>
          <w:iCs/>
          <w:color w:val="666666"/>
          <w:sz w:val="18"/>
          <w:szCs w:val="18"/>
        </w:rPr>
        <w:t xml:space="preserve">Screenshot: Analysis Settings with grid resolution + timestep controls</w:t>
      </w:r>
    </w:p>
    <w:p>
      <w:pPr>
        <w:spacing w:after="60" w:before="160"/>
      </w:pPr>
      <w:r>
        <w:rPr>
          <w:b/>
          <w:bCs/>
          <w:color w:val="0078D4"/>
          <w:sz w:val="18"/>
          <w:szCs w:val="18"/>
        </w:rPr>
        <w:t xml:space="preserve">Step 02</w:t>
      </w:r>
    </w:p>
    <w:p>
      <w:pPr>
        <w:pStyle w:val="Heading3"/>
      </w:pPr>
      <w:r>
        <w:rPr>
          <w:b/>
          <w:bCs/>
        </w:rPr>
        <w:t xml:space="preserve">Batch configuration</w:t>
      </w:r>
    </w:p>
    <w:p>
      <w:pPr>
        <w:spacing w:after="120"/>
      </w:pPr>
      <w:r>
        <w:t xml:space="preserve">Queue multiple massing variants in one run. Each entry can override the source set, date range, or envelope constraints. Batches serialize to JSON — check them into your project repo for reproducibility.</w:t>
      </w:r>
    </w:p>
    <w:p>
      <w:pPr>
        <w:spacing w:after="120"/>
      </w:pPr>
      <w:r>
        <w:rPr>
          <w:i/>
          <w:iCs/>
          <w:color w:val="666666"/>
          <w:sz w:val="18"/>
          <w:szCs w:val="18"/>
        </w:rPr>
        <w:t xml:space="preserve">Screenshot: Batch configuration JSON with queued scenarios</w:t>
      </w:r>
    </w:p>
    <w:p>
      <w:pPr>
        <w:spacing w:after="60" w:before="160"/>
      </w:pPr>
      <w:r>
        <w:rPr>
          <w:b/>
          <w:bCs/>
          <w:color w:val="0078D4"/>
          <w:sz w:val="18"/>
          <w:szCs w:val="18"/>
        </w:rPr>
        <w:t xml:space="preserve">Step 03</w:t>
      </w:r>
    </w:p>
    <w:p>
      <w:pPr>
        <w:pStyle w:val="Heading3"/>
      </w:pPr>
      <w:r>
        <w:rPr>
          <w:b/>
          <w:bCs/>
        </w:rPr>
        <w:t xml:space="preserve">Design Envelope workflow</w:t>
      </w:r>
    </w:p>
    <w:p>
      <w:pPr>
        <w:spacing w:after="120"/>
      </w:pPr>
      <w:r>
        <w:t xml:space="preserve">Define the shadow constraint (e.g. “≥ 2 hrs sun on Mar 21, 10:00–16:00, on this facade”), then generate the maximum-buildable volume that satisfies it. The result is a SketchUp solid you can union with your site boundary for developable-area studies.</w:t>
      </w:r>
    </w:p>
    <w:p>
      <w:pPr>
        <w:spacing w:after="120"/>
      </w:pPr>
      <w:r>
        <w:rPr>
          <w:i/>
          <w:iCs/>
          <w:color w:val="666666"/>
          <w:sz w:val="18"/>
          <w:szCs w:val="18"/>
        </w:rPr>
        <w:t xml:space="preserve">Screenshot: Envelope generation with constraint dialog</w:t>
      </w:r>
    </w:p>
    <w:p>
      <w:pPr>
        <w:spacing w:after="60" w:before="160"/>
      </w:pPr>
      <w:r>
        <w:rPr>
          <w:b/>
          <w:bCs/>
          <w:color w:val="0078D4"/>
          <w:sz w:val="18"/>
          <w:szCs w:val="18"/>
        </w:rPr>
        <w:t xml:space="preserve">Step 04</w:t>
      </w:r>
    </w:p>
    <w:p>
      <w:pPr>
        <w:pStyle w:val="Heading3"/>
      </w:pPr>
      <w:r>
        <w:rPr>
          <w:b/>
          <w:bCs/>
        </w:rPr>
        <w:t xml:space="preserve">Scenario comparison</w:t>
      </w:r>
    </w:p>
    <w:p>
      <w:pPr>
        <w:spacing w:after="120"/>
      </w:pPr>
      <w:r>
        <w:t xml:space="preserve">Layer any number of scenarios over a baseline. The comparison view highlights deltas per receptor — useful for planning appeals where you need to demonstrate that a scheme does not degrade existing conditions.</w:t>
      </w:r>
    </w:p>
    <w:p>
      <w:pPr>
        <w:spacing w:after="120"/>
      </w:pPr>
      <w:r>
        <w:rPr>
          <w:i/>
          <w:iCs/>
          <w:color w:val="666666"/>
          <w:sz w:val="18"/>
          <w:szCs w:val="18"/>
        </w:rPr>
        <w:t xml:space="preserve">Screenshot: Scenario diff view with +/- deltas per receptor</w:t>
      </w:r>
    </w:p>
    <w:p>
      <w:pPr>
        <w:spacing w:after="60" w:before="160"/>
      </w:pPr>
      <w:r>
        <w:rPr>
          <w:b/>
          <w:bCs/>
          <w:color w:val="0078D4"/>
          <w:sz w:val="18"/>
          <w:szCs w:val="18"/>
        </w:rPr>
        <w:t xml:space="preserve">Step 05</w:t>
      </w:r>
    </w:p>
    <w:p>
      <w:pPr>
        <w:pStyle w:val="Heading3"/>
      </w:pPr>
      <w:r>
        <w:rPr>
          <w:b/>
          <w:bCs/>
        </w:rPr>
        <w:t xml:space="preserve">PV assessment methodology</w:t>
      </w:r>
    </w:p>
    <w:p>
      <w:pPr>
        <w:spacing w:after="120"/>
      </w:pPr>
      <w:r>
        <w:t xml:space="preserve">PV output estimates use clear-sky irradiance combined with the Parasolv solar model. Calibrate against TMY data for your region if you need compliance-grade numbers; otherwise the default profile is good for feasibility-stage estimates.</w:t>
      </w:r>
    </w:p>
    <w:p>
      <w:pPr>
        <w:spacing w:after="120"/>
      </w:pPr>
      <w:r>
        <w:rPr>
          <w:i/>
          <w:iCs/>
          <w:color w:val="666666"/>
          <w:sz w:val="18"/>
          <w:szCs w:val="18"/>
        </w:rPr>
        <w:t xml:space="preserve">Screenshot: PV surface heatmap with irradiance legend</w:t>
      </w:r>
    </w:p>
    <w:p>
      <w:pPr>
        <w:spacing w:after="60" w:before="160"/>
      </w:pPr>
      <w:r>
        <w:rPr>
          <w:b/>
          <w:bCs/>
          <w:color w:val="0078D4"/>
          <w:sz w:val="18"/>
          <w:szCs w:val="18"/>
        </w:rPr>
        <w:t xml:space="preserve">Step 06</w:t>
      </w:r>
    </w:p>
    <w:p>
      <w:pPr>
        <w:pStyle w:val="Heading3"/>
      </w:pPr>
      <w:r>
        <w:rPr>
          <w:b/>
          <w:bCs/>
        </w:rPr>
        <w:t xml:space="preserve">CSV schema &amp; automation</w:t>
      </w:r>
    </w:p>
    <w:p>
      <w:pPr>
        <w:spacing w:after="120"/>
      </w:pPr>
      <w:r>
        <w:t xml:space="preserve">Exported CSVs follow a documented schema: receptor_id, date, sun_hours, shadow_hours, met_criteria. Hook them into Excel, Grasshopper, or Python for bespoke reporting pipelines.</w:t>
      </w:r>
    </w:p>
    <w:p>
      <w:pPr>
        <w:spacing w:after="120"/>
      </w:pPr>
      <w:r>
        <w:rPr>
          <w:i/>
          <w:iCs/>
          <w:color w:val="666666"/>
          <w:sz w:val="18"/>
          <w:szCs w:val="18"/>
        </w:rPr>
        <w:t xml:space="preserve">Screenshot: CSV schema reference with column definitions</w:t>
      </w:r>
    </w:p>
    <w:p>
      <w:pPr>
        <w:pStyle w:val="Heading2"/>
      </w:pPr>
      <w:r>
        <w:rPr>
          <w:b/>
          <w:bCs/>
        </w:rPr>
        <w:t xml:space="preserve">Closing CTA</w:t>
      </w:r>
    </w:p>
    <w:p>
      <w:pPr>
        <w:spacing w:after="60" w:before="160"/>
      </w:pPr>
      <w:r>
        <w:rPr>
          <w:b/>
          <w:bCs/>
          <w:color w:val="0078D4"/>
          <w:sz w:val="18"/>
          <w:szCs w:val="18"/>
        </w:rPr>
        <w:t xml:space="preserve">Heading</w:t>
      </w:r>
    </w:p>
    <w:p>
      <w:pPr>
        <w:spacing w:after="120"/>
      </w:pPr>
      <w:r>
        <w:t xml:space="preserve">Stuck somewhere?</w:t>
      </w:r>
    </w:p>
    <w:p>
      <w:pPr>
        <w:spacing w:after="60" w:before="160"/>
      </w:pPr>
      <w:r>
        <w:rPr>
          <w:b/>
          <w:bCs/>
          <w:color w:val="0078D4"/>
          <w:sz w:val="18"/>
          <w:szCs w:val="18"/>
        </w:rPr>
        <w:t xml:space="preserve">Body</w:t>
      </w:r>
    </w:p>
    <w:p>
      <w:pPr>
        <w:spacing w:after="120"/>
      </w:pPr>
      <w:r>
        <w:t xml:space="preserve">Full documentation is available — or reach out if you’re on Pro or Studio.</w:t>
      </w:r>
    </w:p>
    <w:p>
      <w:pPr>
        <w:spacing w:after="60" w:before="160"/>
      </w:pPr>
      <w:r>
        <w:rPr>
          <w:b/>
          <w:bCs/>
          <w:color w:val="0078D4"/>
          <w:sz w:val="18"/>
          <w:szCs w:val="18"/>
        </w:rPr>
        <w:t xml:space="preserve">Buttons</w:t>
      </w:r>
    </w:p>
    <w:p>
      <w:pPr>
        <w:pStyle w:val="ListParagraph"/>
        <w:numPr>
          <w:ilvl w:val="0"/>
          <w:numId w:val="2"/>
        </w:numPr>
      </w:pPr>
      <w:r>
        <w:t xml:space="preserve">Secondary: Read the docs</w:t>
      </w:r>
    </w:p>
    <w:p>
      <w:pPr>
        <w:pStyle w:val="ListParagraph"/>
        <w:numPr>
          <w:ilvl w:val="0"/>
          <w:numId w:val="2"/>
        </w:numPr>
      </w:pPr>
      <w:r>
        <w:t xml:space="preserve">Primary: Contact support</w:t>
      </w:r>
    </w:p>
    <w:p>
      <w:pPr>
        <w:pBdr>
          <w:bottom w:val="single" w:color="CCCCCC" w:sz="6" w:space="1"/>
        </w:pBdr>
        <w:spacing w:after="240" w:before="240"/>
      </w:pPr>
      <w:r>
        <w:t xml:space="preserve"/>
      </w:r>
    </w:p>
    <w:p>
      <w:pPr>
        <w:pageBreakBefore/>
      </w:pPr>
      <w:r>
        <w:t xml:space="preserve"/>
      </w:r>
    </w:p>
    <w:p>
      <w:pPr>
        <w:pStyle w:val="Heading1"/>
      </w:pPr>
      <w:r>
        <w:rPr>
          <w:b/>
          <w:bCs/>
        </w:rPr>
        <w:t xml:space="preserve">Page: Docs (docs.html)</w:t>
      </w:r>
    </w:p>
    <w:p>
      <w:pPr>
        <w:pStyle w:val="Heading2"/>
      </w:pPr>
      <w:r>
        <w:rPr>
          <w:b/>
          <w:bCs/>
        </w:rPr>
        <w:t xml:space="preserve">Page header</w:t>
      </w:r>
    </w:p>
    <w:p>
      <w:pPr>
        <w:spacing w:after="60" w:before="160"/>
      </w:pPr>
      <w:r>
        <w:rPr>
          <w:b/>
          <w:bCs/>
          <w:color w:val="0078D4"/>
          <w:sz w:val="18"/>
          <w:szCs w:val="18"/>
        </w:rPr>
        <w:t xml:space="preserve">Eyebrow</w:t>
      </w:r>
    </w:p>
    <w:p>
      <w:pPr>
        <w:spacing w:after="120"/>
      </w:pPr>
      <w:r>
        <w:t xml:space="preserve">Documentation</w:t>
      </w:r>
    </w:p>
    <w:p>
      <w:pPr>
        <w:spacing w:after="60" w:before="160"/>
      </w:pPr>
      <w:r>
        <w:rPr>
          <w:b/>
          <w:bCs/>
          <w:color w:val="0078D4"/>
          <w:sz w:val="18"/>
          <w:szCs w:val="18"/>
        </w:rPr>
        <w:t xml:space="preserve">Headline</w:t>
      </w:r>
    </w:p>
    <w:p>
      <w:pPr>
        <w:spacing w:after="120"/>
      </w:pPr>
      <w:r>
        <w:t xml:space="preserve">Everything you need to master Parasolv.</w:t>
      </w:r>
    </w:p>
    <w:p>
      <w:pPr>
        <w:spacing w:after="60" w:before="160"/>
      </w:pPr>
      <w:r>
        <w:rPr>
          <w:b/>
          <w:bCs/>
          <w:color w:val="0078D4"/>
          <w:sz w:val="18"/>
          <w:szCs w:val="18"/>
        </w:rPr>
        <w:t xml:space="preserve">Lede</w:t>
      </w:r>
    </w:p>
    <w:p>
      <w:pPr>
        <w:spacing w:after="120"/>
      </w:pPr>
      <w:r>
        <w:t xml:space="preserve">Reference material, methodology notes, and troubleshooting guides. Full docs are under development — the sections below sketch the structure.</w:t>
      </w:r>
    </w:p>
    <w:p>
      <w:pPr>
        <w:pStyle w:val="Heading2"/>
      </w:pPr>
      <w:r>
        <w:rPr>
          <w:b/>
          <w:bCs/>
        </w:rPr>
        <w:t xml:space="preserve">Doc cards (6)</w:t>
      </w:r>
    </w:p>
    <w:p>
      <w:pPr>
        <w:spacing w:after="60" w:before="160"/>
      </w:pPr>
      <w:r>
        <w:rPr>
          <w:b/>
          <w:bCs/>
          <w:color w:val="0078D4"/>
          <w:sz w:val="18"/>
          <w:szCs w:val="18"/>
        </w:rPr>
        <w:t xml:space="preserve">Card 1</w:t>
      </w:r>
    </w:p>
    <w:p>
      <w:pPr>
        <w:spacing w:after="120"/>
      </w:pPr>
      <w:r>
        <w:t xml:space="preserve">Getting started — Install &amp; first study</w:t>
      </w:r>
    </w:p>
    <w:p>
      <w:pPr>
        <w:spacing w:after="120"/>
      </w:pPr>
      <w:r>
        <w:t xml:space="preserve">Platform requirements, plugin installation, account setup, and a walkthrough of your first shadow analysis.</w:t>
      </w:r>
    </w:p>
    <w:p>
      <w:pPr>
        <w:spacing w:after="120"/>
      </w:pPr>
      <w:r>
        <w:t xml:space="preserve">Button: Read</w:t>
      </w:r>
    </w:p>
    <w:p>
      <w:pPr>
        <w:spacing w:after="60" w:before="160"/>
      </w:pPr>
      <w:r>
        <w:rPr>
          <w:b/>
          <w:bCs/>
          <w:color w:val="0078D4"/>
          <w:sz w:val="18"/>
          <w:szCs w:val="18"/>
        </w:rPr>
        <w:t xml:space="preserve">Card 2</w:t>
      </w:r>
    </w:p>
    <w:p>
      <w:pPr>
        <w:spacing w:after="120"/>
      </w:pPr>
      <w:r>
        <w:t xml:space="preserve">Reference — Panel by panel</w:t>
      </w:r>
    </w:p>
    <w:p>
      <w:pPr>
        <w:spacing w:after="120"/>
      </w:pPr>
      <w:r>
        <w:t xml:space="preserve">Every control in every panel — Setup, Classifier, Shadow Fan, Graphics, PV, Batch, Envelope, Results.</w:t>
      </w:r>
    </w:p>
    <w:p>
      <w:pPr>
        <w:spacing w:after="120"/>
      </w:pPr>
      <w:r>
        <w:t xml:space="preserve">Button: Coming soon</w:t>
      </w:r>
    </w:p>
    <w:p>
      <w:pPr>
        <w:spacing w:after="60" w:before="160"/>
      </w:pPr>
      <w:r>
        <w:rPr>
          <w:b/>
          <w:bCs/>
          <w:color w:val="0078D4"/>
          <w:sz w:val="18"/>
          <w:szCs w:val="18"/>
        </w:rPr>
        <w:t xml:space="preserve">Card 3</w:t>
      </w:r>
    </w:p>
    <w:p>
      <w:pPr>
        <w:spacing w:after="120"/>
      </w:pPr>
      <w:r>
        <w:t xml:space="preserve">Methodology — The solar model</w:t>
      </w:r>
    </w:p>
    <w:p>
      <w:pPr>
        <w:spacing w:after="120"/>
      </w:pPr>
      <w:r>
        <w:t xml:space="preserve">How Parasolv computes shadow geometry and irradiance. Includes calibration notes and jurisdiction-specific guidance.</w:t>
      </w:r>
    </w:p>
    <w:p>
      <w:pPr>
        <w:spacing w:after="120"/>
      </w:pPr>
      <w:r>
        <w:t xml:space="preserve">Button: Coming soon</w:t>
      </w:r>
    </w:p>
    <w:p>
      <w:pPr>
        <w:spacing w:after="60" w:before="160"/>
      </w:pPr>
      <w:r>
        <w:rPr>
          <w:b/>
          <w:bCs/>
          <w:color w:val="0078D4"/>
          <w:sz w:val="18"/>
          <w:szCs w:val="18"/>
        </w:rPr>
        <w:t xml:space="preserve">Card 4</w:t>
      </w:r>
    </w:p>
    <w:p>
      <w:pPr>
        <w:spacing w:after="120"/>
      </w:pPr>
      <w:r>
        <w:t xml:space="preserve">Workflows — Compliance studies</w:t>
      </w:r>
    </w:p>
    <w:p>
      <w:pPr>
        <w:spacing w:after="120"/>
      </w:pPr>
      <w:r>
        <w:t xml:space="preserve">BRE 209, APP0301, and local planning guidance — how to structure a Parasolv study that satisfies each standard.</w:t>
      </w:r>
    </w:p>
    <w:p>
      <w:pPr>
        <w:spacing w:after="120"/>
      </w:pPr>
      <w:r>
        <w:t xml:space="preserve">Button: Coming soon</w:t>
      </w:r>
    </w:p>
    <w:p>
      <w:pPr>
        <w:spacing w:after="60" w:before="160"/>
      </w:pPr>
      <w:r>
        <w:rPr>
          <w:b/>
          <w:bCs/>
          <w:color w:val="0078D4"/>
          <w:sz w:val="18"/>
          <w:szCs w:val="18"/>
        </w:rPr>
        <w:t xml:space="preserve">Card 5</w:t>
      </w:r>
    </w:p>
    <w:p>
      <w:pPr>
        <w:spacing w:after="120"/>
      </w:pPr>
      <w:r>
        <w:t xml:space="preserve">Reference — CSV schema</w:t>
      </w:r>
    </w:p>
    <w:p>
      <w:pPr>
        <w:spacing w:after="120"/>
      </w:pPr>
      <w:r>
        <w:t xml:space="preserve">Column-by-column definition of exported CSVs, with Python and Excel examples.</w:t>
      </w:r>
    </w:p>
    <w:p>
      <w:pPr>
        <w:spacing w:after="120"/>
      </w:pPr>
      <w:r>
        <w:t xml:space="preserve">Button: Coming soon</w:t>
      </w:r>
    </w:p>
    <w:p>
      <w:pPr>
        <w:spacing w:after="60" w:before="160"/>
      </w:pPr>
      <w:r>
        <w:rPr>
          <w:b/>
          <w:bCs/>
          <w:color w:val="0078D4"/>
          <w:sz w:val="18"/>
          <w:szCs w:val="18"/>
        </w:rPr>
        <w:t xml:space="preserve">Card 6</w:t>
      </w:r>
    </w:p>
    <w:p>
      <w:pPr>
        <w:spacing w:after="120"/>
      </w:pPr>
      <w:r>
        <w:t xml:space="preserve">Troubleshooting — Common issues</w:t>
      </w:r>
    </w:p>
    <w:p>
      <w:pPr>
        <w:spacing w:after="120"/>
      </w:pPr>
      <w:r>
        <w:t xml:space="preserve">Model performance, platform-specific quirks, plugin logs, and how to file an effective bug report.</w:t>
      </w:r>
    </w:p>
    <w:p>
      <w:pPr>
        <w:spacing w:after="120"/>
      </w:pPr>
      <w:r>
        <w:t xml:space="preserve">Button: Coming soon</w:t>
      </w:r>
    </w:p>
    <w:p>
      <w:pPr>
        <w:pStyle w:val="Heading2"/>
      </w:pPr>
      <w:r>
        <w:rPr>
          <w:b/>
          <w:bCs/>
        </w:rPr>
        <w:t xml:space="preserve">Closing CTA</w:t>
      </w:r>
    </w:p>
    <w:p>
      <w:pPr>
        <w:spacing w:after="60" w:before="160"/>
      </w:pPr>
      <w:r>
        <w:rPr>
          <w:b/>
          <w:bCs/>
          <w:color w:val="0078D4"/>
          <w:sz w:val="18"/>
          <w:szCs w:val="18"/>
        </w:rPr>
        <w:t xml:space="preserve">Heading</w:t>
      </w:r>
    </w:p>
    <w:p>
      <w:pPr>
        <w:spacing w:after="120"/>
      </w:pPr>
      <w:r>
        <w:t xml:space="preserve">Can’t find what you need?</w:t>
      </w:r>
    </w:p>
    <w:p>
      <w:pPr>
        <w:spacing w:after="60" w:before="160"/>
      </w:pPr>
      <w:r>
        <w:rPr>
          <w:b/>
          <w:bCs/>
          <w:color w:val="0078D4"/>
          <w:sz w:val="18"/>
          <w:szCs w:val="18"/>
        </w:rPr>
        <w:t xml:space="preserve">Body</w:t>
      </w:r>
    </w:p>
    <w:p>
      <w:pPr>
        <w:spacing w:after="120"/>
      </w:pPr>
      <w:r>
        <w:t xml:space="preserve">Email support is included on Pro. Priority support on Studio.</w:t>
      </w:r>
    </w:p>
    <w:p>
      <w:pPr>
        <w:spacing w:after="60" w:before="160"/>
      </w:pPr>
      <w:r>
        <w:rPr>
          <w:b/>
          <w:bCs/>
          <w:color w:val="0078D4"/>
          <w:sz w:val="18"/>
          <w:szCs w:val="18"/>
        </w:rPr>
        <w:t xml:space="preserve">Button</w:t>
      </w:r>
    </w:p>
    <w:p>
      <w:pPr>
        <w:spacing w:after="120"/>
      </w:pPr>
      <w:r>
        <w:t xml:space="preserve">Contact support</w:t>
      </w:r>
    </w:p>
    <w:p>
      <w:pPr>
        <w:pBdr>
          <w:bottom w:val="single" w:color="CCCCCC" w:sz="6" w:space="1"/>
        </w:pBdr>
        <w:spacing w:after="240" w:before="240"/>
      </w:pPr>
      <w:r>
        <w:t xml:space="preserve"/>
      </w:r>
    </w:p>
    <w:p>
      <w:pPr>
        <w:pageBreakBefore/>
      </w:pPr>
      <w:r>
        <w:t xml:space="preserve"/>
      </w:r>
    </w:p>
    <w:p>
      <w:pPr>
        <w:pStyle w:val="Heading1"/>
      </w:pPr>
      <w:r>
        <w:rPr>
          <w:b/>
          <w:bCs/>
        </w:rPr>
        <w:t xml:space="preserve">Page: Checkout mock (checkout.html)</w:t>
      </w:r>
    </w:p>
    <w:p>
      <w:pPr>
        <w:pStyle w:val="Heading2"/>
      </w:pPr>
      <w:r>
        <w:rPr>
          <w:b/>
          <w:bCs/>
        </w:rPr>
        <w:t xml:space="preserve">Page background</w:t>
      </w:r>
    </w:p>
    <w:p>
      <w:pPr>
        <w:spacing w:after="60" w:before="160"/>
      </w:pPr>
      <w:r>
        <w:rPr>
          <w:b/>
          <w:bCs/>
          <w:color w:val="0078D4"/>
          <w:sz w:val="18"/>
          <w:szCs w:val="18"/>
        </w:rPr>
        <w:t xml:space="preserve">Eyebrow</w:t>
      </w:r>
    </w:p>
    <w:p>
      <w:pPr>
        <w:spacing w:after="120"/>
      </w:pPr>
      <w:r>
        <w:t xml:space="preserve">Checkout</w:t>
      </w:r>
    </w:p>
    <w:p>
      <w:pPr>
        <w:spacing w:after="60" w:before="160"/>
      </w:pPr>
      <w:r>
        <w:rPr>
          <w:b/>
          <w:bCs/>
          <w:color w:val="0078D4"/>
          <w:sz w:val="18"/>
          <w:szCs w:val="18"/>
        </w:rPr>
        <w:t xml:space="preserve">Headline</w:t>
      </w:r>
    </w:p>
    <w:p>
      <w:pPr>
        <w:spacing w:after="120"/>
      </w:pPr>
      <w:r>
        <w:t xml:space="preserve">You’ve selected [TIER].</w:t>
      </w:r>
    </w:p>
    <w:p>
      <w:pPr>
        <w:spacing w:after="60" w:before="160"/>
      </w:pPr>
      <w:r>
        <w:rPr>
          <w:b/>
          <w:bCs/>
          <w:color w:val="0078D4"/>
          <w:sz w:val="18"/>
          <w:szCs w:val="18"/>
        </w:rPr>
        <w:t xml:space="preserve">Body</w:t>
      </w:r>
    </w:p>
    <w:p>
      <w:pPr>
        <w:spacing w:after="120"/>
      </w:pPr>
      <w:r>
        <w:t xml:space="preserve">This is a mock of the Lemon Squeezy checkout overlay. In production, clicking a pricing CTA opens the overlay on top of the pricing page — this static page shows what that experience will look like.</w:t>
      </w:r>
    </w:p>
    <w:p>
      <w:pPr>
        <w:pStyle w:val="Heading2"/>
      </w:pPr>
      <w:r>
        <w:rPr>
          <w:b/>
          <w:bCs/>
        </w:rPr>
        <w:t xml:space="preserve">Lemon Squeezy overlay panel</w:t>
      </w:r>
    </w:p>
    <w:p>
      <w:pPr>
        <w:spacing w:after="60" w:before="160"/>
      </w:pPr>
      <w:r>
        <w:rPr>
          <w:b/>
          <w:bCs/>
          <w:color w:val="0078D4"/>
          <w:sz w:val="18"/>
          <w:szCs w:val="18"/>
        </w:rPr>
        <w:t xml:space="preserve">Brand line</w:t>
      </w:r>
    </w:p>
    <w:p>
      <w:pPr>
        <w:spacing w:after="120"/>
      </w:pPr>
      <w:r>
        <w:t xml:space="preserve">🍋 Lemon Squeezy secure checkout</w:t>
      </w:r>
    </w:p>
    <w:p>
      <w:pPr>
        <w:spacing w:after="60" w:before="160"/>
      </w:pPr>
      <w:r>
        <w:rPr>
          <w:b/>
          <w:bCs/>
          <w:color w:val="0078D4"/>
          <w:sz w:val="18"/>
          <w:szCs w:val="18"/>
        </w:rPr>
        <w:t xml:space="preserve">Panel title (dynamic)</w:t>
      </w:r>
    </w:p>
    <w:p>
      <w:pPr>
        <w:pStyle w:val="ListParagraph"/>
        <w:numPr>
          <w:ilvl w:val="0"/>
          <w:numId w:val="2"/>
        </w:numPr>
      </w:pPr>
      <w:r>
        <w:t xml:space="preserve">Lite: Parasolv Lite — Free download</w:t>
      </w:r>
    </w:p>
    <w:p>
      <w:pPr>
        <w:pStyle w:val="ListParagraph"/>
        <w:numPr>
          <w:ilvl w:val="0"/>
          <w:numId w:val="2"/>
        </w:numPr>
      </w:pPr>
      <w:r>
        <w:t xml:space="preserve">Pro: Parasolv Pro — Monthly</w:t>
      </w:r>
    </w:p>
    <w:p>
      <w:pPr>
        <w:pStyle w:val="ListParagraph"/>
        <w:numPr>
          <w:ilvl w:val="0"/>
          <w:numId w:val="2"/>
        </w:numPr>
      </w:pPr>
      <w:r>
        <w:t xml:space="preserve">Studio: Parasolv Studio — Monthly</w:t>
      </w:r>
    </w:p>
    <w:p>
      <w:pPr>
        <w:spacing w:after="60" w:before="160"/>
      </w:pPr>
      <w:r>
        <w:rPr>
          <w:b/>
          <w:bCs/>
          <w:color w:val="0078D4"/>
          <w:sz w:val="18"/>
          <w:szCs w:val="18"/>
        </w:rPr>
        <w:t xml:space="preserve">Subtitle</w:t>
      </w:r>
    </w:p>
    <w:p>
      <w:pPr>
        <w:spacing w:after="120"/>
      </w:pPr>
      <w:r>
        <w:t xml:space="preserve">14-day free trial. Cancel anytime.</w:t>
      </w:r>
    </w:p>
    <w:p>
      <w:pPr>
        <w:spacing w:after="60" w:before="160"/>
      </w:pPr>
      <w:r>
        <w:rPr>
          <w:b/>
          <w:bCs/>
          <w:color w:val="0078D4"/>
          <w:sz w:val="18"/>
          <w:szCs w:val="18"/>
        </w:rPr>
        <w:t xml:space="preserve">Line items</w:t>
      </w:r>
    </w:p>
    <w:p>
      <w:pPr>
        <w:pStyle w:val="ListParagraph"/>
        <w:numPr>
          <w:ilvl w:val="0"/>
          <w:numId w:val="2"/>
        </w:numPr>
      </w:pPr>
      <w:r>
        <w:t xml:space="preserve">Parasolv [Tier] subscription — [Price]</w:t>
      </w:r>
    </w:p>
    <w:p>
      <w:pPr>
        <w:pStyle w:val="ListParagraph"/>
        <w:numPr>
          <w:ilvl w:val="0"/>
          <w:numId w:val="2"/>
        </w:numPr>
      </w:pPr>
      <w:r>
        <w:t xml:space="preserve">VAT (handled by Lemon Squeezy) — Calculated at next step</w:t>
      </w:r>
    </w:p>
    <w:p>
      <w:pPr>
        <w:pStyle w:val="ListParagraph"/>
        <w:numPr>
          <w:ilvl w:val="0"/>
          <w:numId w:val="2"/>
        </w:numPr>
      </w:pPr>
      <w:r>
        <w:t xml:space="preserve">Due today — $0.00</w:t>
      </w:r>
    </w:p>
    <w:p>
      <w:pPr>
        <w:spacing w:after="60" w:before="160"/>
      </w:pPr>
      <w:r>
        <w:rPr>
          <w:b/>
          <w:bCs/>
          <w:color w:val="0078D4"/>
          <w:sz w:val="18"/>
          <w:szCs w:val="18"/>
        </w:rPr>
        <w:t xml:space="preserve">Form field labels</w:t>
      </w:r>
    </w:p>
    <w:p>
      <w:pPr>
        <w:pStyle w:val="ListParagraph"/>
        <w:numPr>
          <w:ilvl w:val="0"/>
          <w:numId w:val="2"/>
        </w:numPr>
      </w:pPr>
      <w:r>
        <w:t xml:space="preserve">Email</w:t>
      </w:r>
    </w:p>
    <w:p>
      <w:pPr>
        <w:pStyle w:val="ListParagraph"/>
        <w:numPr>
          <w:ilvl w:val="0"/>
          <w:numId w:val="2"/>
        </w:numPr>
      </w:pPr>
      <w:r>
        <w:t xml:space="preserve">Card number</w:t>
      </w:r>
    </w:p>
    <w:p>
      <w:pPr>
        <w:pStyle w:val="ListParagraph"/>
        <w:numPr>
          <w:ilvl w:val="0"/>
          <w:numId w:val="2"/>
        </w:numPr>
      </w:pPr>
      <w:r>
        <w:t xml:space="preserve">Expiry</w:t>
      </w:r>
    </w:p>
    <w:p>
      <w:pPr>
        <w:pStyle w:val="ListParagraph"/>
        <w:numPr>
          <w:ilvl w:val="0"/>
          <w:numId w:val="2"/>
        </w:numPr>
      </w:pPr>
      <w:r>
        <w:t xml:space="preserve">CVC</w:t>
      </w:r>
    </w:p>
    <w:p>
      <w:pPr>
        <w:pStyle w:val="ListParagraph"/>
        <w:numPr>
          <w:ilvl w:val="0"/>
          <w:numId w:val="2"/>
        </w:numPr>
      </w:pPr>
      <w:r>
        <w:t xml:space="preserve">Country</w:t>
      </w:r>
    </w:p>
    <w:p>
      <w:pPr>
        <w:spacing w:after="60" w:before="160"/>
      </w:pPr>
      <w:r>
        <w:rPr>
          <w:b/>
          <w:bCs/>
          <w:color w:val="0078D4"/>
          <w:sz w:val="18"/>
          <w:szCs w:val="18"/>
        </w:rPr>
        <w:t xml:space="preserve">Pay button (dynamic)</w:t>
      </w:r>
    </w:p>
    <w:p>
      <w:pPr>
        <w:pStyle w:val="ListParagraph"/>
        <w:numPr>
          <w:ilvl w:val="0"/>
          <w:numId w:val="2"/>
        </w:numPr>
      </w:pPr>
      <w:r>
        <w:t xml:space="preserve">Lite: Download free</w:t>
      </w:r>
    </w:p>
    <w:p>
      <w:pPr>
        <w:pStyle w:val="ListParagraph"/>
        <w:numPr>
          <w:ilvl w:val="0"/>
          <w:numId w:val="2"/>
        </w:numPr>
      </w:pPr>
      <w:r>
        <w:t xml:space="preserve">Pro / Studio: Start free trial</w:t>
      </w:r>
    </w:p>
    <w:p>
      <w:pPr>
        <w:spacing w:after="60" w:before="160"/>
      </w:pPr>
      <w:r>
        <w:rPr>
          <w:b/>
          <w:bCs/>
          <w:color w:val="0078D4"/>
          <w:sz w:val="18"/>
          <w:szCs w:val="18"/>
        </w:rPr>
        <w:t xml:space="preserve">Fine print</w:t>
      </w:r>
    </w:p>
    <w:p>
      <w:pPr>
        <w:spacing w:after="120"/>
      </w:pPr>
      <w:r>
        <w:t xml:space="preserve">You won’t be charged until your trial ends. Powered by Lemon Squeezy — merchant of record for Parasolv Ltd.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0078D4"/>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222222"/>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Parasolv Website Copy</dc:title>
  <dc:creator>Parasolv</dc:creator>
  <cp:lastModifiedBy>Un-named</cp:lastModifiedBy>
  <cp:revision>1</cp:revision>
  <dcterms:created xsi:type="dcterms:W3CDTF">2026-04-21T20:11:09.978Z</dcterms:created>
  <dcterms:modified xsi:type="dcterms:W3CDTF">2026-04-21T20:11:09.980Z</dcterms:modified>
</cp:coreProperties>
</file>

<file path=docProps/custom.xml><?xml version="1.0" encoding="utf-8"?>
<Properties xmlns="http://schemas.openxmlformats.org/officeDocument/2006/custom-properties" xmlns:vt="http://schemas.openxmlformats.org/officeDocument/2006/docPropsVTypes"/>
</file>