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PreVision Design — Website Copy</w:t>
      </w:r>
    </w:p>
    <w:p>
      <w:pPr>
        <w:spacing w:after="160"/>
      </w:pPr>
      <w:r>
        <w:rPr>
          <w:i/>
          <w:iCs/>
          <w:color w:val="6D6D6D"/>
          <w:sz w:val="20"/>
          <w:szCs w:val="20"/>
        </w:rPr>
        <w:t xml:space="preserve">All text from the website mockups (direction: Option B2), organized by page and section. Edit the right-hand column of each table; the left-hand label identifies where the text appears. The Home page reflects the B2 mockup; Services, Portfolio, About, and Contact reflect the Option B subpages that will be restyled to match B2. Generated 2026-06-10.</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Global Elements (All Pages)</w:t>
      </w:r>
    </w:p>
    <w:p>
      <w:pPr>
        <w:pStyle w:val="Heading2"/>
      </w:pPr>
      <w: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Menu items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  ·  Services  ·  Portfolio  ·  About  ·  Contact</w:t>
            </w:r>
          </w:p>
        </w:tc>
      </w:tr>
    </w:tbl>
    <w:p>
      <w:pPr>
        <w:spacing w:after="60"/>
      </w:pPr>
    </w:p>
    <w:p>
      <w:pPr>
        <w:pStyle w:val="Heading2"/>
      </w:pPr>
      <w:r>
        <w:t xml:space="preserve">Footer (repeats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Brand blurb</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Specialized architectural consulting delivering precise shadow analysis, visual simulation, and environmental consulting services throughout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Column: Services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Shadow Studies</w:t>
            </w:r>
          </w:p>
          <w:p>
            <w:pPr>
              <w:pStyle w:val="ListParagraph"/>
              <w:numPr>
                <w:ilvl w:val="0"/>
                <w:numId w:val="2"/>
              </w:numPr>
            </w:pPr>
            <w:r>
              <w:t xml:space="preserve">Visual Studies</w:t>
            </w:r>
          </w:p>
          <w:p>
            <w:pPr>
              <w:pStyle w:val="ListParagraph"/>
              <w:numPr>
                <w:ilvl w:val="0"/>
                <w:numId w:val="2"/>
              </w:numPr>
            </w:pPr>
            <w:r>
              <w:t xml:space="preserve">Daylight Studies</w:t>
            </w:r>
          </w:p>
          <w:p>
            <w:pPr>
              <w:pStyle w:val="ListParagraph"/>
              <w:numPr>
                <w:ilvl w:val="0"/>
                <w:numId w:val="2"/>
              </w:numPr>
            </w:pPr>
            <w:r>
              <w:t xml:space="preserve">Peer Review</w:t>
            </w:r>
          </w:p>
          <w:p>
            <w:pPr>
              <w:pStyle w:val="ListParagraph"/>
              <w:numPr>
                <w:ilvl w:val="0"/>
                <w:numId w:val="2"/>
              </w:numPr>
            </w:pPr>
            <w:r>
              <w:t xml:space="preserve">Parasolv Software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Column: Contact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info@previsiondesign.com</w:t>
            </w:r>
          </w:p>
          <w:p>
            <w:pPr>
              <w:pStyle w:val="ListParagraph"/>
              <w:numPr>
                <w:ilvl w:val="0"/>
                <w:numId w:val="2"/>
              </w:numPr>
            </w:pPr>
            <w:r>
              <w:t xml:space="preserve">Marin County, California</w:t>
            </w:r>
          </w:p>
          <w:p>
            <w:pPr>
              <w:pStyle w:val="ListParagraph"/>
              <w:numPr>
                <w:ilvl w:val="0"/>
                <w:numId w:val="2"/>
              </w:numPr>
            </w:pPr>
            <w:r>
              <w:t xml:space="preserve">CA License C-30995</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Bottom bar (left)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2026 PreVision Design. All rights reserved.</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Bottom bar (right)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 Licensed Architect</w:t>
            </w:r>
          </w:p>
        </w:tc>
      </w:tr>
    </w:tbl>
    <w:p>
      <w:pPr>
        <w:pStyle w:val="Heading1"/>
        <w:pageBreakBefore/>
      </w:pPr>
      <w:r>
        <w:t xml:space="preserve">Home</w:t>
      </w:r>
    </w:p>
    <w:p>
      <w:pPr>
        <w:pStyle w:val="Heading2"/>
      </w:pPr>
      <w: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Headline (H1)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Architectural Analysis for the Built Environment</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Subheadline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Precise shadow analysis, visual simulation, and environmental consulting services trusted by California's leading architects, developers, and planning agencies.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Buttons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Services  ·  View Work</w:t>
            </w:r>
          </w:p>
        </w:tc>
      </w:tr>
    </w:tbl>
    <w:p>
      <w:pPr>
        <w:spacing w:after="60"/>
      </w:pPr>
    </w:p>
    <w:p>
      <w:pPr>
        <w:pStyle w:val="Heading2"/>
      </w:pPr>
      <w:r>
        <w:t xml:space="preserve">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Stat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 Projects Completed</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Stat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 Years of Experience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Stat 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 Client Organizations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Stat 4</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 — Licensed Architect</w:t>
            </w:r>
          </w:p>
        </w:tc>
      </w:tr>
    </w:tbl>
    <w:p>
      <w:pPr>
        <w:spacing w:after="60"/>
      </w:pPr>
    </w:p>
    <w:p>
      <w:pPr>
        <w:pStyle w:val="Heading2"/>
      </w:pPr>
      <w:r>
        <w:t xml:space="preserve">Section: What We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We Do</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Specialized consulting at the intersection of design, regulation, and environmental stewardship</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Shadow Studies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Quantitative shadow impact assessments, Section 295 compliance, shadow envelope studies, and location-duration heatmapping for CEQA and planning review.</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Visual Studies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Photorealistic visual simulations and photomontages that communicate complex design proposals to stakeholders, planning commissions, and communities.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Daylight Studies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daylight access analysis evaluating natural light conditions for proposed developments and their impact on surrounding properties.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Peer Review</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Independent technical review of shadow studies, visual simulations, and environmental analyses prepared by other consultants for quality assurance.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Software Development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Proprietary Parasolv shadow analysis platform and custom software tools enabling rapid, accurate modeling of complex shadow phenomena.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Call to action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Ready to start your project?</w:t>
            </w:r>
          </w:p>
          <w:p>
            <w:r>
              <w:t xml:space="preserve">Contact us for a consultation on your development project's analytical needs.</w:t>
            </w:r>
          </w:p>
          <w:p>
            <w:r>
              <w:t xml:space="preserve">Button: Get in Touch</w:t>
            </w:r>
          </w:p>
        </w:tc>
      </w:tr>
    </w:tbl>
    <w:p>
      <w:pPr>
        <w:spacing w:after="60"/>
      </w:pPr>
    </w:p>
    <w:p>
      <w:pPr>
        <w:pStyle w:val="Heading2"/>
      </w:pPr>
      <w:r>
        <w:t xml:space="preserve">Section: Featured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Featured Work</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selection of recent projects spanning shadow analysis and visual simulation</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Project tiles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SF Port Coastal Flood Study (badge: Visual Simulation)</w:t>
            </w:r>
          </w:p>
          <w:p>
            <w:pPr>
              <w:pStyle w:val="ListParagraph"/>
              <w:numPr>
                <w:ilvl w:val="0"/>
                <w:numId w:val="2"/>
              </w:numPr>
            </w:pPr>
            <w:r>
              <w:t xml:space="preserve">Potrero Yard Modernization (badge: Visual Simulation)</w:t>
            </w:r>
          </w:p>
          <w:p>
            <w:pPr>
              <w:pStyle w:val="ListParagraph"/>
              <w:numPr>
                <w:ilvl w:val="0"/>
                <w:numId w:val="2"/>
              </w:numPr>
            </w:pPr>
            <w:r>
              <w:t xml:space="preserve">Claremont Residences, Oakland (badge: Visual Simulation)</w:t>
            </w:r>
          </w:p>
          <w:p>
            <w:pPr>
              <w:pStyle w:val="ListParagraph"/>
              <w:numPr>
                <w:ilvl w:val="0"/>
                <w:numId w:val="2"/>
              </w:numPr>
            </w:pPr>
            <w:r>
              <w:t xml:space="preserve">Onni Christie Development (badge: Visual Simulation)</w:t>
            </w:r>
          </w:p>
          <w:p>
            <w:pPr>
              <w:pStyle w:val="ListParagraph"/>
              <w:numPr>
                <w:ilvl w:val="0"/>
                <w:numId w:val="2"/>
              </w:numPr>
            </w:pPr>
            <w:r>
              <w:t xml:space="preserve">Mission District Mixed Use (badge: Visual Simulation)</w:t>
            </w:r>
          </w:p>
          <w:p>
            <w:pPr>
              <w:pStyle w:val="ListParagraph"/>
              <w:numPr>
                <w:ilvl w:val="0"/>
                <w:numId w:val="2"/>
              </w:numPr>
            </w:pPr>
            <w:r>
              <w:t xml:space="preserve">Old Bayshore Visual Impact (badge: Visual Simulation)</w:t>
            </w:r>
          </w:p>
        </w:tc>
      </w:tr>
    </w:tbl>
    <w:p>
      <w:pPr>
        <w:spacing w:after="60"/>
      </w:pPr>
    </w:p>
    <w:p>
      <w:pPr>
        <w:pStyle w:val="Heading2"/>
      </w:pPr>
      <w:r>
        <w:t xml:space="preserve">Section: Trusted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Trusted By</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collaborate with leading environmental consultants, architects, and developers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Client names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ESA · ICF · SWCA · Stantec · Tishman Speyer · Related California · TMG Partners · Perkins &amp; Will · Urban Planning Partners · SF Planning Dept. · SF Rec &amp; Parks · Port of SF</w:t>
            </w:r>
          </w:p>
        </w:tc>
      </w:tr>
    </w:tbl>
    <w:p>
      <w:pPr>
        <w:spacing w:after="60"/>
      </w:pPr>
    </w:p>
    <w:p>
      <w:pPr>
        <w:pStyle w:val="Heading2"/>
      </w:pPr>
      <w:r>
        <w:t xml:space="preserve">Section: About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Name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Title line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Principal &amp; Founder — Licensed Architect, CA C-30995</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stands at the forefront of specialized architectural consulting, delivering precise technical analysis and visual simulation services that bridge the intersection of design, regulation, and environmental stewardship.</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Based in Marin County and serving jurisdictions throughout California, we have developed unparalleled proficiency in navigating complex planning requirements while helping architects and developers optimize building envelopes and minimize impacts on public open spaces.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Button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in Touch</w:t>
            </w:r>
          </w:p>
        </w:tc>
      </w:tr>
    </w:tbl>
    <w:p>
      <w:pPr>
        <w:pStyle w:val="Heading1"/>
        <w:pageBreakBefore/>
      </w:pPr>
      <w:r>
        <w:t xml:space="preserve">Services</w:t>
      </w:r>
    </w:p>
    <w:p>
      <w:pPr>
        <w:pStyle w:val="Heading2"/>
      </w:pPr>
      <w: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 (H1)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Services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Specialized expertise at the intersection of design, regulation, and environmental stewardship</w:t>
            </w:r>
          </w:p>
        </w:tc>
      </w:tr>
    </w:tbl>
    <w:p>
      <w:pPr>
        <w:spacing w:after="60"/>
      </w:pPr>
    </w:p>
    <w:p>
      <w:pPr>
        <w:pStyle w:val="Heading2"/>
      </w:pPr>
      <w:r>
        <w:t xml:space="preserve">Shadow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has developed unparalleled proficiency in shadow analysis and Section 295 compliance, serving jurisdictions from San Francisco and Oakland to Solano County and beyond. Our shadow consulting practice is built on over a decade of experience navigating California's most demanding regulatory requirements.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specialize in quantitative shadow impact assessments that inform critical planning decisions for projects ranging from modest residential additions to major institutional facilities. Our analyses meet the standards of San Francisco Planning, Oakland Planning, SF Recreation &amp; Parks, the Port of San Francisco, OCII, and UC Berkeley.</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Section 295 compliance analysis</w:t>
            </w:r>
          </w:p>
          <w:p>
            <w:pPr>
              <w:pStyle w:val="ListParagraph"/>
              <w:numPr>
                <w:ilvl w:val="0"/>
                <w:numId w:val="2"/>
              </w:numPr>
            </w:pPr>
            <w:r>
              <w:t xml:space="preserve">CEQA shadow impact assessments</w:t>
            </w:r>
          </w:p>
          <w:p>
            <w:pPr>
              <w:pStyle w:val="ListParagraph"/>
              <w:numPr>
                <w:ilvl w:val="0"/>
                <w:numId w:val="2"/>
              </w:numPr>
            </w:pPr>
            <w:r>
              <w:t xml:space="preserve">Shadow envelope studies</w:t>
            </w:r>
          </w:p>
          <w:p>
            <w:pPr>
              <w:pStyle w:val="ListParagraph"/>
              <w:numPr>
                <w:ilvl w:val="0"/>
                <w:numId w:val="2"/>
              </w:numPr>
            </w:pPr>
            <w:r>
              <w:t xml:space="preserve">Location-duration shadow heatmapping</w:t>
            </w:r>
          </w:p>
          <w:p>
            <w:pPr>
              <w:pStyle w:val="ListParagraph"/>
              <w:numPr>
                <w:ilvl w:val="0"/>
                <w:numId w:val="2"/>
              </w:numPr>
            </w:pPr>
            <w:r>
              <w:t xml:space="preserve">Shadow fan diagrams</w:t>
            </w:r>
          </w:p>
          <w:p>
            <w:pPr>
              <w:pStyle w:val="ListParagraph"/>
              <w:numPr>
                <w:ilvl w:val="0"/>
                <w:numId w:val="2"/>
              </w:numPr>
            </w:pPr>
            <w:r>
              <w:t xml:space="preserve">Shadow animations for public hearings</w:t>
            </w:r>
          </w:p>
          <w:p>
            <w:pPr>
              <w:pStyle w:val="ListParagraph"/>
              <w:numPr>
                <w:ilvl w:val="0"/>
                <w:numId w:val="2"/>
              </w:numPr>
            </w:pPr>
            <w:r>
              <w:t xml:space="preserve">Cumulative impact analyses</w:t>
            </w:r>
          </w:p>
          <w:p>
            <w:pPr>
              <w:pStyle w:val="ListParagraph"/>
              <w:numPr>
                <w:ilvl w:val="0"/>
                <w:numId w:val="2"/>
              </w:numPr>
            </w:pPr>
            <w:r>
              <w:t xml:space="preserve">Design optimization assistance</w:t>
            </w:r>
          </w:p>
        </w:tc>
      </w:tr>
    </w:tbl>
    <w:p>
      <w:pPr>
        <w:spacing w:after="60"/>
      </w:pPr>
    </w:p>
    <w:p>
      <w:pPr>
        <w:pStyle w:val="Heading2"/>
      </w:pPr>
      <w:r>
        <w:t xml:space="preserve">Visual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visual simulation and photomontage services create compelling, accurate visualizations that communicate complex design proposals to stakeholders, planning commissions, and communities. We combine rigorous technical methodology with artistic sensibility to produce photorealistic representations that facilitate informed decision-making.</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airport shoreline improvements to transformative community developments, our visual simulations have supported projects of every scale across California. Each simulation is built on precise 3D modeling, carefully matched site photography, and meticulous photo compositing.</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Photorealistic visual simulations</w:t>
            </w:r>
          </w:p>
          <w:p>
            <w:pPr>
              <w:pStyle w:val="ListParagraph"/>
              <w:numPr>
                <w:ilvl w:val="0"/>
                <w:numId w:val="2"/>
              </w:numPr>
            </w:pPr>
            <w:r>
              <w:t xml:space="preserve">Before-and-after photomontages</w:t>
            </w:r>
          </w:p>
          <w:p>
            <w:pPr>
              <w:pStyle w:val="ListParagraph"/>
              <w:numPr>
                <w:ilvl w:val="0"/>
                <w:numId w:val="2"/>
              </w:numPr>
            </w:pPr>
            <w:r>
              <w:t xml:space="preserve">3D architectural modeling</w:t>
            </w:r>
          </w:p>
          <w:p>
            <w:pPr>
              <w:pStyle w:val="ListParagraph"/>
              <w:numPr>
                <w:ilvl w:val="0"/>
                <w:numId w:val="2"/>
              </w:numPr>
            </w:pPr>
            <w:r>
              <w:t xml:space="preserve">Site photography and field work</w:t>
            </w:r>
          </w:p>
          <w:p>
            <w:pPr>
              <w:pStyle w:val="ListParagraph"/>
              <w:numPr>
                <w:ilvl w:val="0"/>
                <w:numId w:val="2"/>
              </w:numPr>
            </w:pPr>
            <w:r>
              <w:t xml:space="preserve">CEQA aesthetics analysis support</w:t>
            </w:r>
          </w:p>
          <w:p>
            <w:pPr>
              <w:pStyle w:val="ListParagraph"/>
              <w:numPr>
                <w:ilvl w:val="0"/>
                <w:numId w:val="2"/>
              </w:numPr>
            </w:pPr>
            <w:r>
              <w:t xml:space="preserve">Public hearing presentation graphics</w:t>
            </w:r>
          </w:p>
          <w:p>
            <w:pPr>
              <w:pStyle w:val="ListParagraph"/>
              <w:numPr>
                <w:ilvl w:val="0"/>
                <w:numId w:val="2"/>
              </w:numPr>
            </w:pPr>
            <w:r>
              <w:t xml:space="preserve">Multi-viewpoint studies</w:t>
            </w:r>
          </w:p>
          <w:p>
            <w:pPr>
              <w:pStyle w:val="ListParagraph"/>
              <w:numPr>
                <w:ilvl w:val="0"/>
                <w:numId w:val="2"/>
              </w:numPr>
            </w:pPr>
            <w:r>
              <w:t xml:space="preserve">Day and night condition simulations</w:t>
            </w:r>
          </w:p>
        </w:tc>
      </w:tr>
    </w:tbl>
    <w:p>
      <w:pPr>
        <w:spacing w:after="60"/>
      </w:pPr>
    </w:p>
    <w:p>
      <w:pPr>
        <w:pStyle w:val="Heading2"/>
      </w:pPr>
      <w:r>
        <w:t xml:space="preserve">Daylight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daylight analysis services evaluate natural light access conditions for proposed developments and their surrounding environments. Using advanced 3D modeling and simulation tools, we quantify how new construction will affect daylight availability for adjacent properties, public spaces, and interior environments.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Daylight studies are increasingly required as part of environmental review processes and design guidelines. Our analyses provide the technical foundation for informed decisions about building massing, setbacks, and design modifications that balance development goals with daylight preservation.</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Daylight access analysis</w:t>
            </w:r>
          </w:p>
          <w:p>
            <w:pPr>
              <w:pStyle w:val="ListParagraph"/>
              <w:numPr>
                <w:ilvl w:val="0"/>
                <w:numId w:val="2"/>
              </w:numPr>
            </w:pPr>
            <w:r>
              <w:t xml:space="preserve">Natural light impact assessment</w:t>
            </w:r>
          </w:p>
          <w:p>
            <w:pPr>
              <w:pStyle w:val="ListParagraph"/>
              <w:numPr>
                <w:ilvl w:val="0"/>
                <w:numId w:val="2"/>
              </w:numPr>
            </w:pPr>
            <w:r>
              <w:t xml:space="preserve">Interior daylight evaluation</w:t>
            </w:r>
          </w:p>
          <w:p>
            <w:pPr>
              <w:pStyle w:val="ListParagraph"/>
              <w:numPr>
                <w:ilvl w:val="0"/>
                <w:numId w:val="2"/>
              </w:numPr>
            </w:pPr>
            <w:r>
              <w:t xml:space="preserve">Solar access studies</w:t>
            </w:r>
          </w:p>
          <w:p>
            <w:pPr>
              <w:pStyle w:val="ListParagraph"/>
              <w:numPr>
                <w:ilvl w:val="0"/>
                <w:numId w:val="2"/>
              </w:numPr>
            </w:pPr>
            <w:r>
              <w:t xml:space="preserve">Light level quantification</w:t>
            </w:r>
          </w:p>
          <w:p>
            <w:pPr>
              <w:pStyle w:val="ListParagraph"/>
              <w:numPr>
                <w:ilvl w:val="0"/>
                <w:numId w:val="2"/>
              </w:numPr>
            </w:pPr>
            <w:r>
              <w:t xml:space="preserve">Design modification recommendations</w:t>
            </w:r>
          </w:p>
        </w:tc>
      </w:tr>
    </w:tbl>
    <w:p>
      <w:pPr>
        <w:spacing w:after="60"/>
      </w:pPr>
    </w:p>
    <w:p>
      <w:pPr>
        <w:pStyle w:val="Heading2"/>
      </w:pPr>
      <w:r>
        <w:t xml:space="preserve">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provides independent technical review of shadow studies, visual simulations, and environmental analyses prepared by other consultants. Our deep expertise in methodology, regulatory standards, and technical best practices makes us a trusted resource for quality assurance and verification.</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Whether retained by planning agencies, developers, or community organizations, our peer review services ensure that technical analyses meet applicable standards and accurately represent project impacts. We provide clear, well-documented findings that support defensible decision-making.</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Independent shadow study review</w:t>
            </w:r>
          </w:p>
          <w:p>
            <w:pPr>
              <w:pStyle w:val="ListParagraph"/>
              <w:numPr>
                <w:ilvl w:val="0"/>
                <w:numId w:val="2"/>
              </w:numPr>
            </w:pPr>
            <w:r>
              <w:t xml:space="preserve">Visual simulation methodology verification</w:t>
            </w:r>
          </w:p>
          <w:p>
            <w:pPr>
              <w:pStyle w:val="ListParagraph"/>
              <w:numPr>
                <w:ilvl w:val="0"/>
                <w:numId w:val="2"/>
              </w:numPr>
            </w:pPr>
            <w:r>
              <w:t xml:space="preserve">CEQA technical adequacy review</w:t>
            </w:r>
          </w:p>
          <w:p>
            <w:pPr>
              <w:pStyle w:val="ListParagraph"/>
              <w:numPr>
                <w:ilvl w:val="0"/>
                <w:numId w:val="2"/>
              </w:numPr>
            </w:pPr>
            <w:r>
              <w:t xml:space="preserve">Regulatory compliance assessment</w:t>
            </w:r>
          </w:p>
          <w:p>
            <w:pPr>
              <w:pStyle w:val="ListParagraph"/>
              <w:numPr>
                <w:ilvl w:val="0"/>
                <w:numId w:val="2"/>
              </w:numPr>
            </w:pPr>
            <w:r>
              <w:t xml:space="preserve">Technical response to opposition claims</w:t>
            </w:r>
          </w:p>
          <w:p>
            <w:pPr>
              <w:pStyle w:val="ListParagraph"/>
              <w:numPr>
                <w:ilvl w:val="0"/>
                <w:numId w:val="2"/>
              </w:numPr>
            </w:pPr>
            <w:r>
              <w:t xml:space="preserve">Expert consultation for planning agencies</w:t>
            </w:r>
          </w:p>
        </w:tc>
      </w:tr>
    </w:tbl>
    <w:p>
      <w:pPr>
        <w:spacing w:after="60"/>
      </w:pPr>
    </w:p>
    <w:p>
      <w:pPr>
        <w:pStyle w:val="Heading2"/>
      </w:pPr>
      <w:r>
        <w:t xml:space="preserve">Software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has developed proprietary software tools that enable rapid, accurate modeling of complex shadow phenomena. Our workflow integrates advanced 3D modeling, GIS analysis, field observation, and custom visualization techniques to deliver comprehensive technical documentation.</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tools are designed to meet the most demanding regulatory requirements while providing efficiency gains that benefit our clients' project timelines and budgets.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Proprietary shadow analysis tools</w:t>
            </w:r>
          </w:p>
          <w:p>
            <w:pPr>
              <w:pStyle w:val="ListParagraph"/>
              <w:numPr>
                <w:ilvl w:val="0"/>
                <w:numId w:val="2"/>
              </w:numPr>
            </w:pPr>
            <w:r>
              <w:t xml:space="preserve">Custom visualization pipelines</w:t>
            </w:r>
          </w:p>
          <w:p>
            <w:pPr>
              <w:pStyle w:val="ListParagraph"/>
              <w:numPr>
                <w:ilvl w:val="0"/>
                <w:numId w:val="2"/>
              </w:numPr>
            </w:pPr>
            <w:r>
              <w:t xml:space="preserve">Automated report generation</w:t>
            </w:r>
          </w:p>
          <w:p>
            <w:pPr>
              <w:pStyle w:val="ListParagraph"/>
              <w:numPr>
                <w:ilvl w:val="0"/>
                <w:numId w:val="2"/>
              </w:numPr>
            </w:pPr>
            <w:r>
              <w:t xml:space="preserve">GIS integration and analysis</w:t>
            </w:r>
          </w:p>
          <w:p>
            <w:pPr>
              <w:pStyle w:val="ListParagraph"/>
              <w:numPr>
                <w:ilvl w:val="0"/>
                <w:numId w:val="2"/>
              </w:numPr>
            </w:pPr>
            <w:r>
              <w:t xml:space="preserve">3D model processing tools</w:t>
            </w:r>
          </w:p>
        </w:tc>
      </w:tr>
    </w:tbl>
    <w:p>
      <w:pPr>
        <w:spacing w:after="60"/>
      </w:pPr>
    </w:p>
    <w:p>
      <w:pPr>
        <w:pStyle w:val="Heading2"/>
      </w:pPr>
      <w:r>
        <w:t xml:space="preserve">Parasolv Callout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Parasolv Shadow Analysis Platform</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Parasolv is our proprietary shadow analysis platform purpose-built for California's regulatory environment. It enables rapid, accurate computation of shadow impacts compliant with Section 295, CEQA, and jurisdictional planning standards. The platform generates quantitative shadow calculations, location-duration heatmaps, shadow fan diagrams, and animated shadow sequences directly from 3D building models.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 automating the most computation-intensive aspects of shadow analysis, Parasolv allows us to deliver faster turnaround times, explore more design alternatives, and produce more comprehensive results than traditional methods.</w:t>
            </w:r>
          </w:p>
        </w:tc>
      </w:tr>
    </w:tbl>
    <w:p>
      <w:pPr>
        <w:spacing w:after="60"/>
      </w:pPr>
    </w:p>
    <w:p>
      <w:pPr>
        <w:pStyle w:val="Heading2"/>
      </w:pPr>
      <w:r>
        <w:t xml:space="preserve">Closing Call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Your Project</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us to discuss your project's analytical and consulting needs.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Button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in Touch</w:t>
            </w:r>
          </w:p>
        </w:tc>
      </w:tr>
    </w:tbl>
    <w:p>
      <w:pPr>
        <w:pStyle w:val="Heading1"/>
        <w:pageBreakBefore/>
      </w:pPr>
      <w:r>
        <w:t xml:space="preserve">Portfolio</w:t>
      </w:r>
    </w:p>
    <w:p>
      <w:pPr>
        <w:pStyle w:val="Heading2"/>
      </w:pPr>
      <w: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 (H1)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Portfolio</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Selected projects spanning shadow analysis, visual simulation, and environmental consulting</w:t>
            </w:r>
          </w:p>
        </w:tc>
      </w:tr>
    </w:tbl>
    <w:p>
      <w:pPr>
        <w:spacing w:after="60"/>
      </w:pPr>
    </w:p>
    <w:p>
      <w:pPr>
        <w:pStyle w:val="Heading2"/>
      </w:pPr>
      <w:r>
        <w:t xml:space="preserve">Filter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Filters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Projects  ·  Shadow Studies  ·  Visual Studies  ·  Daylight Studies</w:t>
            </w:r>
          </w:p>
        </w:tc>
      </w:tr>
    </w:tbl>
    <w:p>
      <w:pPr>
        <w:spacing w:after="60"/>
      </w:pPr>
    </w:p>
    <w:p>
      <w:pPr>
        <w:pStyle w:val="Heading2"/>
      </w:pPr>
      <w:r>
        <w:t xml:space="preserve">Project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SF Port Coastal Flood Study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 Gough Street — San Francisco, CA (Shadow)</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Potrero Yard Modernization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Claremont Residences — Oakland,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5</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Onni Christie Development — Emeryville, CA (Shadow)</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Mission District Mixed Use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7</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Old Bayshore Visual Impact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SF Railyard Development — San Francisco, CA (Shadow)</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9</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Columbus Residence Interiors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Sutter Hospital EIR — Emeryville, CA (Daylight)</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11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Hyatt Place, Ygnacio Valley — Walnut Creek,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Potrero Power Station — San Francisco, CA (Shadow)</w:t>
            </w:r>
          </w:p>
        </w:tc>
      </w:tr>
    </w:tbl>
    <w:p>
      <w:pPr>
        <w:pStyle w:val="Heading1"/>
        <w:pageBreakBefore/>
      </w:pPr>
      <w:r>
        <w:t xml:space="preserve">About</w:t>
      </w:r>
    </w:p>
    <w:p>
      <w:pPr>
        <w:pStyle w:val="Heading2"/>
      </w:pPr>
      <w:r>
        <w:t xml:space="preserve">Principal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Name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Title line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Principal &amp; Founder — Licensed Architect, CA C-30995</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 launched PreVision Design in 2010 as an independent architectural consulting venture, bringing deep expertise in San Francisco's architecture, development, and entitlement processes. With a background spanning complex urban development projects and environmental review, Adam has built PreVision Design into the premier resource for shadow analysis, visual simulation, and environmental consulting in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Adam's work combines rigorous technical methodology with practical understanding of regulatory pathways. He has developed proprietary software tools, including the Parasolv shadow analysis platform, that enable rapid and accurate modeling of complex shadow phenomena. His technical analyses and visual simulations have been accepted by major reviewing agencies across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Beyond technical proficiency, Adam is known for collaborative partnership with clients, clear communication, responsive service, and strategic thinking about how to navigate California's complex regulatory landscape while achieving exceptional design outcomes.</w:t>
            </w:r>
          </w:p>
        </w:tc>
      </w:tr>
    </w:tbl>
    <w:p>
      <w:pPr>
        <w:spacing w:after="60"/>
      </w:pPr>
    </w:p>
    <w:p>
      <w:pPr>
        <w:pStyle w:val="Heading2"/>
      </w:pPr>
      <w:r>
        <w:t xml:space="preserve">Section: Accepted By Leading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 By Leading Agencies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work meets the standards of California's most demanding reviewing bodies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Agencies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San Francisco Planning Department</w:t>
            </w:r>
          </w:p>
          <w:p>
            <w:pPr>
              <w:pStyle w:val="ListParagraph"/>
              <w:numPr>
                <w:ilvl w:val="0"/>
                <w:numId w:val="2"/>
              </w:numPr>
            </w:pPr>
            <w:r>
              <w:t xml:space="preserve">Oakland Planning Department</w:t>
            </w:r>
          </w:p>
          <w:p>
            <w:pPr>
              <w:pStyle w:val="ListParagraph"/>
              <w:numPr>
                <w:ilvl w:val="0"/>
                <w:numId w:val="2"/>
              </w:numPr>
            </w:pPr>
            <w:r>
              <w:t xml:space="preserve">SF Recreation &amp; Parks Department</w:t>
            </w:r>
          </w:p>
          <w:p>
            <w:pPr>
              <w:pStyle w:val="ListParagraph"/>
              <w:numPr>
                <w:ilvl w:val="0"/>
                <w:numId w:val="2"/>
              </w:numPr>
            </w:pPr>
            <w:r>
              <w:t xml:space="preserve">Port of San Francisco</w:t>
            </w:r>
          </w:p>
          <w:p>
            <w:pPr>
              <w:pStyle w:val="ListParagraph"/>
              <w:numPr>
                <w:ilvl w:val="0"/>
                <w:numId w:val="2"/>
              </w:numPr>
            </w:pPr>
            <w:r>
              <w:t xml:space="preserve">Office of Community Investment &amp; Infrastructure (OCII)</w:t>
            </w:r>
          </w:p>
          <w:p>
            <w:pPr>
              <w:pStyle w:val="ListParagraph"/>
              <w:numPr>
                <w:ilvl w:val="0"/>
                <w:numId w:val="2"/>
              </w:numPr>
            </w:pPr>
            <w:r>
              <w:t xml:space="preserve">UC Berkeley / Lawrence Berkeley National Lab</w:t>
            </w:r>
          </w:p>
        </w:tc>
      </w:tr>
    </w:tbl>
    <w:p>
      <w:pPr>
        <w:spacing w:after="60"/>
      </w:pPr>
    </w:p>
    <w:p>
      <w:pPr>
        <w:pStyle w:val="Heading2"/>
      </w:pPr>
      <w:r>
        <w:t xml:space="preserve">Section: About the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About the Firm</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stands at the forefront of specialized architectural consulting, delivering precise technical analysis and visual simulation services that bridge the critical intersection of design, regulation, and environmental stewardship. Based in Marin County, our boutique firm has established itself as the premier resource for complex shadow analysis, CEQA compliance, and visual impact assessment throughout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breadth of our project portfolio demonstrates our versatility and technical depth. We have collaborated with leading environmental consulting firms including ESA, ICF, SWCA, and Stantec, as well as prominent developers like Tishman Speyer, Related California, and TMG Partners. Our geographic reach extends throughout the Bay Area and California, with projects spanning from high-density urban developments in San Francisco's Mission Bay and SOMA districts to suburban contexts in Redwood City and Emeryville.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technical capabilities set us apart in the industry. We have developed proprietary software tools that enable rapid, accurate modeling of complex shadow phenomena. Our workflow integrates advanced 3D modeling, GIS analysis, field observation, and custom visualization techniques to deliver comprehensive technical documentation that meets the most demanding regulatory requirements.</w:t>
            </w:r>
          </w:p>
        </w:tc>
      </w:tr>
    </w:tbl>
    <w:p>
      <w:pPr>
        <w:spacing w:after="60"/>
      </w:pPr>
    </w:p>
    <w:p>
      <w:pPr>
        <w:pStyle w:val="Heading2"/>
      </w:pPr>
      <w:r>
        <w:t xml:space="preserve">Section: Credentials &amp;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Credentials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California Licensed Architect — License C-30995</w:t>
            </w:r>
          </w:p>
          <w:p>
            <w:pPr>
              <w:pStyle w:val="ListParagraph"/>
              <w:numPr>
                <w:ilvl w:val="0"/>
                <w:numId w:val="2"/>
              </w:numPr>
            </w:pPr>
            <w:r>
              <w:t xml:space="preserve">Founded — 2010, Marin County, California</w:t>
            </w:r>
          </w:p>
          <w:p>
            <w:pPr>
              <w:pStyle w:val="ListParagraph"/>
              <w:numPr>
                <w:ilvl w:val="0"/>
                <w:numId w:val="2"/>
              </w:numPr>
            </w:pPr>
            <w:r>
              <w:t xml:space="preserve">Specialization — Shadow Analysis, Visual Simulation, CEQA Compliance</w:t>
            </w:r>
          </w:p>
          <w:p>
            <w:pPr>
              <w:pStyle w:val="ListParagraph"/>
              <w:numPr>
                <w:ilvl w:val="0"/>
                <w:numId w:val="2"/>
              </w:numPr>
            </w:pPr>
            <w:r>
              <w:t xml:space="preserve">Software — Parasolv Shadow Analysis Platform (Proprietary)</w:t>
            </w:r>
          </w:p>
          <w:p>
            <w:pPr>
              <w:pStyle w:val="ListParagraph"/>
              <w:numPr>
                <w:ilvl w:val="0"/>
                <w:numId w:val="2"/>
              </w:numPr>
            </w:pPr>
            <w:r>
              <w:t xml:space="preserve">Project Count — 120+ completed projects</w:t>
            </w:r>
          </w:p>
          <w:p>
            <w:pPr>
              <w:pStyle w:val="ListParagraph"/>
              <w:numPr>
                <w:ilvl w:val="0"/>
                <w:numId w:val="2"/>
              </w:numPr>
            </w:pPr>
            <w:r>
              <w:t xml:space="preserve">Geographic Range — San Francisco Bay Area and California statewide</w:t>
            </w:r>
          </w:p>
        </w:tc>
      </w:tr>
    </w:tbl>
    <w:p>
      <w:pPr>
        <w:pStyle w:val="Heading1"/>
        <w:pageBreakBefore/>
      </w:pPr>
      <w:r>
        <w:t xml:space="preserve">Contact</w:t>
      </w:r>
    </w:p>
    <w:p>
      <w:pPr>
        <w:pStyle w:val="Heading2"/>
      </w:pPr>
      <w: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 (H1)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Us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Let's discuss your project's analytical and consulting needs</w:t>
            </w:r>
          </w:p>
        </w:tc>
      </w:tr>
    </w:tbl>
    <w:p>
      <w:pPr>
        <w:spacing w:after="60"/>
      </w:pPr>
    </w:p>
    <w:p>
      <w:pPr>
        <w:pStyle w:val="Heading2"/>
      </w:pPr>
      <w:r>
        <w:t xml:space="preserve">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Field: Name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Placeholder: Your full name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Field: Email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Placeholder: your@email.com</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Field: Subject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Placeholder: Project inquiry, RFP, etc.</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Field: Message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Placeholder: Tell us about your project...</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Button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Message</w:t>
            </w:r>
          </w:p>
        </w:tc>
      </w:tr>
    </w:tbl>
    <w:p>
      <w:pPr>
        <w:spacing w:after="60"/>
      </w:pPr>
    </w:p>
    <w:p>
      <w:pPr>
        <w:pStyle w:val="Heading2"/>
      </w:pPr>
      <w:r>
        <w:t xml:space="preserve">Contact Info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Email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info@previsiondesign.com</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Location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Marin County,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Credentials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w:t>
            </w:r>
          </w:p>
          <w:p>
            <w:r>
              <w:t xml:space="preserve">Licensed Architect, CA C-30995</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Service Area</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 Francisco Bay Area &amp; California statewide. We regularly serve San Francisco, Oakland, Emeryville, Redwood City, Burlingame, Walnut Creek, Solano County, and jurisdictions throughout the state.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7111D"/>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3944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2026-06-10T15:36:40.115Z</dcterms:created>
  <dcterms:modified xsi:type="dcterms:W3CDTF">2026-06-10T15:36:40.116Z</dcterms:modified>
</cp:coreProperties>
</file>

<file path=docProps/custom.xml><?xml version="1.0" encoding="utf-8"?>
<Properties xmlns="http://schemas.openxmlformats.org/officeDocument/2006/custom-properties" xmlns:vt="http://schemas.openxmlformats.org/officeDocument/2006/docPropsVTypes"/>
</file>