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200" w:before="200" w:line="276"/>
        <w:jc w:val="both"/>
      </w:pPr>
      <w:r>
        <w:rPr>
          <w:rFonts w:ascii="Times New Roman" w:cs="Times New Roman" w:eastAsia="Times New Roman" w:hAnsi="Times New Roman"/>
          <w:b/>
          <w:bCs/>
          <w:sz w:val="24"/>
          <w:szCs w:val="24"/>
        </w:rPr>
        <w:t xml:space="preserve">AO JUÍZO FEDERAL DO JUIZADO ESPECIAL FEDERAL DA SUBSEÇÃO JUDICIÁRIA DE BACABAL/MA</w:t>
      </w:r>
    </w:p>
    <w:tbl>
      <w:tblPr>
        <w:tblW w:type="dxa" w:w="4898"/>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8"/>
      </w:tblGrid>
      <w:tr>
        <w:trPr>
          <w:cantSplit/>
        </w:trPr>
        <w:tc>
          <w:tcPr>
            <w:tcW w:type="dxa" w:w="4898"/>
            <w:tcBorders>
              <w:top w:val="dashed" w:color="0A2540" w:sz="12"/>
              <w:left w:val="dashed" w:color="0A2540" w:sz="12"/>
              <w:bottom w:val="dashed" w:color="0A2540" w:sz="12"/>
              <w:right w:val="dashed" w:color="0A2540" w:sz="12"/>
            </w:tcBorders>
            <w:tcMar>
              <w:left w:type="dxa" w:w="80"/>
              <w:right w:type="dxa" w:w="80"/>
            </w:tcMar>
          </w:tcPr>
          <w:p>
            <w:pPr>
              <w:keepNext/>
              <w:keepLines/>
              <w:spacing w:after="40"/>
            </w:pPr>
            <w:r>
              <w:rPr>
                <w:rFonts w:ascii="Times New Roman" w:cs="Times New Roman" w:eastAsia="Times New Roman" w:hAnsi="Times New Roman"/>
                <w:b/>
                <w:bCs/>
                <w:color w:val="0A2540"/>
                <w:sz w:val="19"/>
                <w:szCs w:val="19"/>
              </w:rPr>
              <w:t xml:space="preserve">SALÁRIO MATERNIDADE - SEGURADO ESPECIAL</w:t>
            </w:r>
          </w:p>
          <w:p>
            <w:pPr>
              <w:keepNext/>
              <w:keepLines/>
              <w:spacing w:after="40"/>
            </w:pPr>
            <w:r>
              <w:rPr>
                <w:rFonts w:ascii="Times New Roman" w:cs="Times New Roman" w:eastAsia="Times New Roman" w:hAnsi="Times New Roman"/>
                <w:b/>
                <w:bCs/>
                <w:color w:val="0A2540"/>
                <w:sz w:val="19"/>
                <w:szCs w:val="19"/>
              </w:rPr>
              <w:t xml:space="preserve">JUÍZO 100% DIGITAL</w:t>
            </w:r>
          </w:p>
          <w:p>
            <w:pPr>
              <w:keepNext/>
              <w:keepLines/>
              <w:spacing w:after="40"/>
            </w:pPr>
            <w:r>
              <w:rPr>
                <w:rFonts w:ascii="Times New Roman" w:cs="Times New Roman" w:eastAsia="Times New Roman" w:hAnsi="Times New Roman"/>
                <w:b/>
                <w:bCs/>
                <w:sz w:val="19"/>
                <w:szCs w:val="19"/>
              </w:rPr>
              <w:t xml:space="preserve">Prioridade Legal na tramitação processual:</w:t>
            </w:r>
          </w:p>
          <w:p>
            <w:pPr>
              <w:keepNext/>
              <w:keepLines/>
              <w:spacing w:after="40"/>
            </w:pPr>
            <w:r>
              <w:rPr>
                <w:rFonts w:ascii="Times New Roman" w:cs="Times New Roman" w:eastAsia="Times New Roman" w:hAnsi="Times New Roman"/>
                <w:b w:val="false"/>
                <w:bCs w:val="false"/>
                <w:sz w:val="19"/>
                <w:szCs w:val="19"/>
              </w:rPr>
              <w:t xml:space="preserve">( ) Idoso(a) maior de 60 anos – Lei 10.741/2003;</w:t>
            </w:r>
          </w:p>
          <w:p>
            <w:pPr>
              <w:keepNext/>
              <w:keepLines/>
              <w:spacing w:after="40"/>
            </w:pPr>
            <w:r>
              <w:rPr>
                <w:rFonts w:ascii="Times New Roman" w:cs="Times New Roman" w:eastAsia="Times New Roman" w:hAnsi="Times New Roman"/>
                <w:b w:val="false"/>
                <w:bCs w:val="false"/>
                <w:sz w:val="19"/>
                <w:szCs w:val="19"/>
              </w:rPr>
              <w:t xml:space="preserve">( ) Deficiente – Lei 12.008/2009 – Laudo em anexo;</w:t>
            </w:r>
          </w:p>
          <w:p>
            <w:pPr>
              <w:keepNext w:val="false"/>
              <w:keepLines/>
              <w:spacing w:after="40"/>
            </w:pPr>
            <w:r>
              <w:rPr>
                <w:rFonts w:ascii="Times New Roman" w:cs="Times New Roman" w:eastAsia="Times New Roman" w:hAnsi="Times New Roman"/>
                <w:b w:val="false"/>
                <w:bCs w:val="false"/>
                <w:sz w:val="19"/>
                <w:szCs w:val="19"/>
              </w:rPr>
              <w:t xml:space="preserve">( ) Menor nos termos do ECA – Lei 8.069/1990;</w:t>
            </w:r>
          </w:p>
        </w:tc>
      </w:tr>
    </w:tbl>
    <w:p>
      <w:pPr>
        <w:keepLines/>
        <w:widowControl/>
        <w:spacing w:after="160" w:before="200" w:line="360" w:lineRule="auto"/>
        <w:ind w:firstLine="709"/>
        <w:jc w:val="both"/>
      </w:pPr>
      <w:r>
        <w:rPr>
          <w:rFonts w:ascii="Times New Roman" w:cs="Times New Roman" w:eastAsia="Times New Roman" w:hAnsi="Times New Roman"/>
          <w:sz w:val="24"/>
          <w:szCs w:val="24"/>
        </w:rPr>
        <w:t xml:space="preserve">Francisca de Sousa Oliveira, agricultora, brasileira, nascida em data constante dos documentos de identificação, portadora do CPF nº 483.726.910-42, residente e domiciliada na Povoado Centro dos Pereiras, s/n, Zona Rural, zona rural, Lago da Pedra/MA, CEP 65715-000, vem, por meio de seus procuradores infra-assinados, com escritório profissional na cidade de São Luís/MA, onde recebem intimações, com fundamento no art. 18 da Lei nº 9.099/1995, no art. 1º da Lei nº 10.259/2001 e na Lei nº 8.213/1991, propor a presente</w:t>
      </w:r>
    </w:p>
    <w:p>
      <w:pPr>
        <w:keepNext/>
        <w:keepLines/>
        <w:spacing w:after="60" w:before="200"/>
        <w:jc w:val="center"/>
      </w:pPr>
      <w:r>
        <w:rPr>
          <w:rFonts w:ascii="Times New Roman" w:cs="Times New Roman" w:eastAsia="Times New Roman" w:hAnsi="Times New Roman"/>
          <w:b/>
          <w:bCs/>
          <w:color w:val="0A2540"/>
          <w:sz w:val="28"/>
          <w:szCs w:val="28"/>
        </w:rPr>
        <w:t xml:space="preserve">AÇÃO PREVIDENCIÁRIA DE CONCESSÃO DE SALÁRIO-MATERNIDADE</w:t>
      </w:r>
    </w:p>
    <w:p>
      <w:pPr>
        <w:keepNext/>
        <w:keepLines/>
        <w:spacing w:after="160"/>
        <w:jc w:val="center"/>
      </w:pPr>
      <w:r>
        <w:rPr>
          <w:rFonts w:ascii="Times New Roman" w:cs="Times New Roman" w:eastAsia="Times New Roman" w:hAnsi="Times New Roman"/>
          <w:b/>
          <w:bCs/>
          <w:sz w:val="24"/>
          <w:szCs w:val="24"/>
        </w:rPr>
        <w:t xml:space="preserve">(SEGURADA ESPECIAL – AGRICULTORA)</w:t>
      </w:r>
    </w:p>
    <w:p>
      <w:pPr>
        <w:keepLines/>
        <w:widowControl/>
        <w:spacing w:after="160" w:line="360" w:lineRule="auto"/>
        <w:ind w:firstLine="709"/>
        <w:jc w:val="both"/>
      </w:pPr>
      <w:r>
        <w:rPr>
          <w:rFonts w:ascii="Times New Roman" w:cs="Times New Roman" w:eastAsia="Times New Roman" w:hAnsi="Times New Roman"/>
          <w:sz w:val="24"/>
          <w:szCs w:val="24"/>
        </w:rPr>
        <w:t xml:space="preserve">Em face do INSTITUTO NACIONAL DO SEGURO SOCIAL – INSS, autarquia federal criada pela Lei nº 8.029/1990, vinculada ao Ministério da Previdência Social, a ser citado na pessoa de seu representante legal, por meio da Procuradoria Federal competente, nos termos do art. 24 da Lei nº 9.028/1995 e do art. 131 da Constituição Federal de 1988, pelas razões de fato e de direito a seguir expostas.</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I – PRELIMINARMENTE</w:t>
      </w:r>
    </w:p>
    <w:p>
      <w:pPr>
        <w:keepNext/>
        <w:keepLines/>
        <w:spacing w:after="80" w:before="200"/>
        <w:ind w:left="0" w:firstLine="0"/>
        <w:jc w:val="left"/>
      </w:pPr>
      <w:r>
        <w:rPr>
          <w:rFonts w:ascii="Times New Roman" w:cs="Times New Roman" w:eastAsia="Times New Roman" w:hAnsi="Times New Roman"/>
          <w:b/>
          <w:bCs/>
          <w:sz w:val="23"/>
          <w:szCs w:val="23"/>
        </w:rPr>
        <w:t xml:space="preserve">DA GRATUIDADE DA JUSTIÇA:</w:t>
      </w:r>
    </w:p>
    <w:p>
      <w:pPr>
        <w:keepLines/>
        <w:widowControl/>
        <w:spacing w:after="160" w:line="360" w:lineRule="auto"/>
        <w:ind w:firstLine="709"/>
        <w:jc w:val="both"/>
      </w:pPr>
      <w:r>
        <w:rPr>
          <w:rFonts w:ascii="Times New Roman" w:cs="Times New Roman" w:eastAsia="Times New Roman" w:hAnsi="Times New Roman"/>
          <w:sz w:val="24"/>
          <w:szCs w:val="24"/>
        </w:rPr>
        <w:t xml:space="preserve">A autora é pessoa de baixa renda, trabalhadora rural que retira da agricultura em regime de economia familiar sua única fonte de subsistência, não possuindo condições de arcar com as custas processuais e os honorários advocatícios sem prejuízo do próprio sustento e de sua família. Requer, portanto, os benefícios da gratuidade da justiça, nos termos do art. 5º, LXXIV, da Constituição Federal de 1988, do art. 98 e seguintes do Código de Processo Civil e da Lei nº 1.060/1950, declarando, para os fins legais, que não dispõe de recursos suficientes para suportar as despesas do processo sem comprometer seu sustento.</w:t>
      </w:r>
    </w:p>
    <w:p>
      <w:pPr>
        <w:keepNext/>
        <w:keepLines/>
        <w:spacing w:after="80" w:before="200"/>
        <w:ind w:left="0" w:firstLine="0"/>
        <w:jc w:val="left"/>
      </w:pPr>
      <w:r>
        <w:rPr>
          <w:rFonts w:ascii="Times New Roman" w:cs="Times New Roman" w:eastAsia="Times New Roman" w:hAnsi="Times New Roman"/>
          <w:b/>
          <w:bCs/>
          <w:sz w:val="23"/>
          <w:szCs w:val="23"/>
        </w:rPr>
        <w:t xml:space="preserve">DA PRIORIDADE DE TRAMITAÇÃO:</w:t>
      </w:r>
    </w:p>
    <w:p>
      <w:pPr>
        <w:keepLines/>
        <w:widowControl/>
        <w:spacing w:after="160" w:line="360" w:lineRule="auto"/>
        <w:ind w:firstLine="709"/>
        <w:jc w:val="both"/>
      </w:pPr>
      <w:r>
        <w:rPr>
          <w:rFonts w:ascii="Times New Roman" w:cs="Times New Roman" w:eastAsia="Times New Roman" w:hAnsi="Times New Roman"/>
          <w:sz w:val="24"/>
          <w:szCs w:val="24"/>
        </w:rPr>
        <w:t xml:space="preserve">Embora a autora não se enquadre nas hipóteses de prioridade por idade (idoso) ou deficiência, registra-se que o presente feito envolve verba de natureza alimentar — o salário-maternidade —, diretamente vinculada à proteção da maternidade e ao bem-estar do recém-nascido Miguel Sousa Oliveira, nascido em 18/03/2026. Requer-se, por isso, que o feito seja processado com a celeridade que a natureza alimentar do benefício impõe, em atenção ao princípio da proteção integral da criança (art. 227 da CF/88) e ao caráter urgente da prestação previdenciária ora postulada.</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II – QUADRO SINÓPTICO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5261"/>
      </w:tblGrid>
      <w:tr>
        <w:trPr>
          <w:cantSplit/>
          <w:tblHeader/>
        </w:trPr>
        <w:tc>
          <w:tcPr>
            <w:tcW w:type="dxa" w:w="9071"/>
            <w:gridSpan w:val="2"/>
            <w:tcBorders>
              <w:top w:val="none" w:color="FFFFFF" w:sz="0"/>
              <w:left w:val="none" w:color="FFFFFF" w:sz="0"/>
              <w:bottom w:val="none" w:color="FFFFFF" w:sz="0"/>
              <w:right w:val="none" w:color="FFFFFF" w:sz="0"/>
            </w:tcBorders>
            <w:shd w:fill="1A3A5C" w:color="auto" w:val="clear"/>
          </w:tcPr>
          <w:p>
            <w:pPr>
              <w:keepNext/>
              <w:spacing w:after="60" w:before="60"/>
              <w:jc w:val="center"/>
            </w:pPr>
            <w:r>
              <w:rPr>
                <w:rFonts w:ascii="Times New Roman" w:cs="Times New Roman" w:eastAsia="Times New Roman" w:hAnsi="Times New Roman"/>
                <w:b/>
                <w:bCs/>
                <w:color w:val="FFFFFF"/>
                <w:sz w:val="21"/>
                <w:szCs w:val="21"/>
              </w:rPr>
              <w:t xml:space="preserve">RESUMO DAS PRINCIPAIS INFORMAÇÕES DO PROCESSO</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Nome</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Francisca de Sousa Oliveira</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Município/UF</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Lago da Pedra/MA</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Pedido</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Salário-Maternidade – Segurado Especial</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Criança</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Miguel Sousa Oliveira</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Data de Nascimento</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18/03/2026</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Data do Req. Adm.</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07/04/2026</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NB</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248.673.921-5</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Situação/Decisão INSS</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Indeferido</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Data do Indef. Adm.</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22/05/2026</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Motivo INSS</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Não comprovação do exercício de atividade rural no período exigido para concessão do benefício</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Tempo de trabalho antes do parto</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Aproximadamente 7 anos antes do parto</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Período de Segurado Especial declarado</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left"/>
            </w:pPr>
            <w:r>
              <w:rPr>
                <w:rFonts w:ascii="Times New Roman" w:cs="Times New Roman" w:eastAsia="Times New Roman" w:hAnsi="Times New Roman"/>
                <w:sz w:val="22"/>
                <w:szCs w:val="22"/>
              </w:rPr>
              <w:t xml:space="preserve">01/2019 a 03/2026</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Período de atividade rural</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left"/>
            </w:pPr>
            <w:r>
              <w:rPr>
                <w:rFonts w:ascii="Times New Roman" w:cs="Times New Roman" w:eastAsia="Times New Roman" w:hAnsi="Times New Roman"/>
                <w:sz w:val="22"/>
                <w:szCs w:val="22"/>
              </w:rPr>
              <w:t xml:space="preserve">01/2019 até atualmente</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val="false"/>
              <w:keepLines/>
            </w:pPr>
            <w:r>
              <w:rPr>
                <w:rFonts w:ascii="Times New Roman" w:cs="Times New Roman" w:eastAsia="Times New Roman" w:hAnsi="Times New Roman"/>
                <w:b/>
                <w:bCs/>
                <w:sz w:val="22"/>
                <w:szCs w:val="22"/>
              </w:rPr>
              <w:t xml:space="preserve">Ponto controvertido</w:t>
            </w:r>
          </w:p>
        </w:tc>
        <w:tc>
          <w:tcPr>
            <w:tcW w:type="dxa" w:w="5261"/>
            <w:tcBorders>
              <w:top w:val="single" w:color="C5D0E0" w:sz="4"/>
              <w:left w:val="single" w:color="C5D0E0" w:sz="4"/>
              <w:bottom w:val="single" w:color="C5D0E0" w:sz="4"/>
              <w:right w:val="single" w:color="C5D0E0" w:sz="4"/>
            </w:tcBorders>
            <w:shd w:fill="FFFFFF" w:color="auto" w:val="clear"/>
          </w:tcPr>
          <w:p>
            <w:pPr>
              <w:keepNext w:val="false"/>
              <w:keepLines/>
              <w:jc w:val="left"/>
            </w:pPr>
            <w:r>
              <w:rPr>
                <w:rFonts w:ascii="Times New Roman" w:cs="Times New Roman" w:eastAsia="Times New Roman" w:hAnsi="Times New Roman"/>
                <w:sz w:val="22"/>
                <w:szCs w:val="22"/>
              </w:rPr>
              <w:t xml:space="preserve">Comprovação do exercício de atividade rural como segurada especial no período de carência exigido</w:t>
            </w:r>
          </w:p>
        </w:tc>
      </w:tr>
    </w:tbl>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III – SÍNTESE DO CONTEXTO FÁTICO</w:t>
      </w:r>
    </w:p>
    <w:p>
      <w:pPr>
        <w:keepLines/>
        <w:widowControl/>
        <w:spacing w:after="160" w:line="360" w:lineRule="auto"/>
        <w:ind w:firstLine="709"/>
        <w:jc w:val="both"/>
      </w:pPr>
      <w:r>
        <w:rPr>
          <w:rFonts w:ascii="Times New Roman" w:cs="Times New Roman" w:eastAsia="Times New Roman" w:hAnsi="Times New Roman"/>
          <w:sz w:val="24"/>
          <w:szCs w:val="24"/>
        </w:rPr>
        <w:t xml:space="preserve">Francisca de Sousa Oliveira é agricultora, trabalhadora rural que desde o ano de 2019 exerce sua atividade em regime de economia familiar no município de Lago da Pedra/MA, em comunidade inserida na zona rural daquele município. Ao lado de seus pais e companheiro, dedica-se cotidianamente ao cultivo de arroz, milho, feijão e mandioca, produtos destinados tanto à subsistência da família quanto à comercialização do excedente em feiras e mercados locais, representando a agricultura a principal — e praticamente única — fonte de renda do núcleo familiar.</w:t>
      </w:r>
    </w:p>
    <w:p>
      <w:pPr>
        <w:keepLines/>
        <w:widowControl/>
        <w:spacing w:after="160" w:line="360" w:lineRule="auto"/>
        <w:ind w:firstLine="709"/>
        <w:jc w:val="both"/>
      </w:pPr>
      <w:r>
        <w:rPr>
          <w:rFonts w:ascii="Times New Roman" w:cs="Times New Roman" w:eastAsia="Times New Roman" w:hAnsi="Times New Roman"/>
          <w:sz w:val="24"/>
          <w:szCs w:val="24"/>
        </w:rPr>
        <w:t xml:space="preserve">A autora cresceu no campo e incorporou desde cedo os saberes e as práticas da vida rural. Antes mesmo de formalizar sua condição de segurada especial, já participava do trabalho na roça como integrante do grupo familiar, atividade que se intensificou e consolidou a partir de janeiro de 2019, quando passou a exercer, de forma autônoma e habitual, as lidas agrícolas na propriedade em que reside em Lago da Pedra/MA. Durante todos esses anos, não manteve vínculo empregatício urbano nem exerceu atividade incompatível com a qualidade de segurada especial, permanecendo dedicada exclusivamente ao labor rural em regime de economia familiar, conforme previsto no art. 11, VII, da Lei nº 8.213/1991.</w:t>
      </w:r>
    </w:p>
    <w:p>
      <w:pPr>
        <w:keepNext/>
        <w:keepLines/>
        <w:widowControl/>
        <w:spacing w:after="160" w:line="360" w:lineRule="auto"/>
        <w:ind w:firstLine="709"/>
        <w:jc w:val="both"/>
      </w:pPr>
      <w:r>
        <w:rPr>
          <w:rFonts w:ascii="Times New Roman" w:cs="Times New Roman" w:eastAsia="Times New Roman" w:hAnsi="Times New Roman"/>
          <w:sz w:val="24"/>
          <w:szCs w:val="24"/>
        </w:rPr>
        <w:t xml:space="preserve">A trajetória de Francisca é a expressão de tantas mulheres rurais do interior do Maranhão: trabalhadoras que constroem suas vidas sobre a terra, que enfrentam as intempéries do clima e as adversidades do campo, e que, mesmo durante a gestação, mantêm o vínculo com a atividade agrícola, reduzindo apenas os esforços físicos nos meses finais. Trata-se de uma realidade que precisa ser considerada em sua integralidade pelo Poder Judiciário, reconhecendo-se que a prova da atividade rural não se esgota em documentos formais, mas se constrói a partir do conjunto probatório e da realidade vivida por essas trabalhadoras. A seguir, a linha do tempo de sua trajetória de vida e trabalho rural:</w:t>
      </w:r>
    </w:p>
    <w:p>
      <w:pPr>
        <w:keepLines/>
        <w:spacing w:after="160" w:before="120"/>
        <w:jc w:val="center"/>
      </w:pPr>
      <w:r>
        <w:drawing>
          <wp:inline distT="0" distB="0" distL="0" distR="0">
            <wp:extent cx="5760085" cy="1806198"/>
            <wp:effectExtent t="0" r="0" b="0" l="0"/>
            <wp:docPr id="1" name="timeline-sm-rural" descr="LINHA DO TEMPO — FRANCISCA DE SOUSA OLIVEIRA | Agricultora • Lago da Pedra/MA" title="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085" cy="1806198"/>
                    </a:xfrm>
                    <a:prstGeom prst="rect">
                      <a:avLst/>
                    </a:prstGeom>
                  </pic:spPr>
                </pic:pic>
              </a:graphicData>
            </a:graphic>
          </wp:inline>
        </w:drawing>
      </w:r>
    </w:p>
    <w:p>
      <w:pPr>
        <w:keepLines/>
        <w:widowControl/>
        <w:spacing w:after="160" w:line="360" w:lineRule="auto"/>
        <w:ind w:firstLine="709"/>
        <w:jc w:val="both"/>
      </w:pPr>
      <w:r>
        <w:rPr>
          <w:rFonts w:ascii="Times New Roman" w:cs="Times New Roman" w:eastAsia="Times New Roman" w:hAnsi="Times New Roman"/>
          <w:sz w:val="24"/>
          <w:szCs w:val="24"/>
        </w:rPr>
        <w:t xml:space="preserve">Em 18 de março de 2026, nasceu Miguel Sousa Oliveira, filho da autora Francisca de Sousa Oliveira. O parto representou o fato gerador do salário-maternidade previsto no art. 71 da Lei nº 8.213/1991, benefício ao qual a autora faz jus em razão de sua condição de segurada especial, devidamente comprovada pelo exercício contínuo e habitual da atividade rural em regime de economia familiar nos anos que antecederam o nascimento da criança. Durante o período gestacional, a autora permaneceu vinculada às atividades agrícolas em Lago da Pedra/MA, adaptando apenas a intensidade dos esforços físicos nas semanas que precederam o parto, o que é absolutamente natural e não descaracteriza sua condição de segurada especial.</w:t>
      </w:r>
    </w:p>
    <w:p>
      <w:pPr>
        <w:keepLines/>
        <w:widowControl/>
        <w:spacing w:after="160" w:line="360" w:lineRule="auto"/>
        <w:ind w:firstLine="709"/>
        <w:jc w:val="both"/>
      </w:pPr>
      <w:r>
        <w:rPr>
          <w:rFonts w:ascii="Times New Roman" w:cs="Times New Roman" w:eastAsia="Times New Roman" w:hAnsi="Times New Roman"/>
          <w:sz w:val="24"/>
          <w:szCs w:val="24"/>
        </w:rPr>
        <w:t xml:space="preserve">Em 07 de abril de 2026, dentro do prazo legal, a autora protocolou junto ao INSS o requerimento administrativo de salário-maternidade, autuado sob o NB 248.673.921-5, instruído com os documentos disponíveis para comprovar sua condição de segurada especial e o nascimento do filho. Contudo, em 22 de maio de 2026, o INSS indeferiu o pedido sob o fundamento de não comprovação do exercício de atividade rural no período exigido para concessão do benefício.</w:t>
      </w:r>
    </w:p>
    <w:p>
      <w:pPr>
        <w:keepLines/>
        <w:widowControl/>
        <w:spacing w:after="160" w:line="360" w:lineRule="auto"/>
        <w:ind w:firstLine="709"/>
        <w:jc w:val="both"/>
      </w:pPr>
      <w:r>
        <w:rPr>
          <w:rFonts w:ascii="Times New Roman" w:cs="Times New Roman" w:eastAsia="Times New Roman" w:hAnsi="Times New Roman"/>
          <w:sz w:val="24"/>
          <w:szCs w:val="24"/>
        </w:rPr>
        <w:t xml:space="preserve">A decisão administrativa merece severa crítica. A autarquia previdenciária, ao indeferir o benefício, desconsiderou o conjunto probatório apresentado e deixou de observar que, para o segurado especial, a prova da atividade rural pode se realizar por início de prova material devidamente complementado por prova testemunhal, na forma consolidada pela jurisprudência dos tribunais superiores e da Turma Nacional de Uniformização dos Juizados Especiais Federais. A exigência de prova plena e formal, tal como aplicada pelo INSS, contraria frontalmente o entendimento jurisprudencial pacificado e impõe ao trabalhador rural um ônus probatório incompatível com a realidade do campo, onde a informalidade das relações de trabalho é a regra, e não a exceção. Francisca de Sousa Oliveira reúne os requisitos legais para a concessão do salário-maternidade na qualidade de segurada especial, razão pela qual a presente ação se faz necessária para o reconhecimento de seu direito.</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IV – DAS PROVAS JUNTADAS AOS AUTOS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8527"/>
      </w:tblGrid>
      <w:tr>
        <w:trPr>
          <w:cantSplit/>
        </w:trPr>
        <w:tc>
          <w:tcPr>
            <w:tcW w:type="dxa" w:w="544"/>
            <w:tcBorders>
              <w:top w:val="single" w:color="E5E7EB" w:sz="2"/>
              <w:left w:val="single" w:color="E5E7EB" w:sz="2"/>
              <w:bottom w:val="single" w:color="E5E7EB" w:sz="2"/>
              <w:right w:val="single" w:color="E5E7EB" w:sz="2"/>
            </w:tcBorders>
            <w:shd w:fill="F5F5F5"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5F5F5" w:color="auto" w:val="clear"/>
          </w:tcPr>
          <w:p>
            <w:pPr>
              <w:keepNext/>
              <w:keepLines/>
              <w:spacing w:after="60" w:before="60"/>
            </w:pPr>
            <w:r>
              <w:rPr>
                <w:rFonts w:ascii="Times New Roman" w:cs="Times New Roman" w:eastAsia="Times New Roman" w:hAnsi="Times New Roman"/>
                <w:b/>
                <w:bCs/>
                <w:sz w:val="22"/>
                <w:szCs w:val="22"/>
              </w:rPr>
              <w:t xml:space="preserve">Autodeclaração de segurado especial</w:t>
            </w:r>
            <w:r>
              <w:rPr>
                <w:rFonts w:ascii="Times New Roman" w:cs="Times New Roman" w:eastAsia="Times New Roman" w:hAnsi="Times New Roman"/>
                <w:sz w:val="22"/>
                <w:szCs w:val="22"/>
              </w:rPr>
              <w:t xml:space="preserve"> — art. 38-B, §2º, Lei 8.213/91 — declaração formal da autora atestando o exercício de atividade rural em regime de economia familiar, com força probatória expressamente reconhecida pela legislação previdenciária</w:t>
            </w:r>
          </w:p>
        </w:tc>
      </w:tr>
      <w:tr>
        <w:trPr>
          <w:cantSplit/>
        </w:trPr>
        <w:tc>
          <w:tcPr>
            <w:tcW w:type="dxa" w:w="544"/>
            <w:tcBorders>
              <w:top w:val="single" w:color="E5E7EB" w:sz="2"/>
              <w:left w:val="single" w:color="E5E7EB" w:sz="2"/>
              <w:bottom w:val="single" w:color="E5E7EB" w:sz="2"/>
              <w:right w:val="single" w:color="E5E7EB" w:sz="2"/>
            </w:tcBorders>
            <w:shd w:fill="FFFFFF"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FFFFF" w:color="auto" w:val="clear"/>
          </w:tcPr>
          <w:p>
            <w:pPr>
              <w:keepNext/>
              <w:keepLines/>
              <w:spacing w:after="60" w:before="60"/>
            </w:pPr>
            <w:r>
              <w:rPr>
                <w:rFonts w:ascii="Times New Roman" w:cs="Times New Roman" w:eastAsia="Times New Roman" w:hAnsi="Times New Roman"/>
                <w:b/>
                <w:bCs/>
                <w:sz w:val="22"/>
                <w:szCs w:val="22"/>
              </w:rPr>
              <w:t xml:space="preserve">Declaração de associação de moradores</w:t>
            </w:r>
            <w:r>
              <w:rPr>
                <w:rFonts w:ascii="Times New Roman" w:cs="Times New Roman" w:eastAsia="Times New Roman" w:hAnsi="Times New Roman"/>
                <w:sz w:val="22"/>
                <w:szCs w:val="22"/>
              </w:rPr>
              <w:t xml:space="preserve"> — documento emitido por entidade representativa da comunidade rural, corroborando o vínculo da autora com a localidade e o exercício de atividade agrícola em Lago da Pedra/MA</w:t>
            </w:r>
          </w:p>
        </w:tc>
      </w:tr>
      <w:tr>
        <w:trPr>
          <w:cantSplit/>
        </w:trPr>
        <w:tc>
          <w:tcPr>
            <w:tcW w:type="dxa" w:w="544"/>
            <w:tcBorders>
              <w:top w:val="single" w:color="E5E7EB" w:sz="2"/>
              <w:left w:val="single" w:color="E5E7EB" w:sz="2"/>
              <w:bottom w:val="single" w:color="E5E7EB" w:sz="2"/>
              <w:right w:val="single" w:color="E5E7EB" w:sz="2"/>
            </w:tcBorders>
            <w:shd w:fill="F5F5F5"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5F5F5" w:color="auto" w:val="clear"/>
          </w:tcPr>
          <w:p>
            <w:pPr>
              <w:keepNext/>
              <w:keepLines/>
              <w:spacing w:after="60" w:before="60"/>
            </w:pPr>
            <w:r>
              <w:rPr>
                <w:rFonts w:ascii="Times New Roman" w:cs="Times New Roman" w:eastAsia="Times New Roman" w:hAnsi="Times New Roman"/>
                <w:b/>
                <w:bCs/>
                <w:sz w:val="22"/>
                <w:szCs w:val="22"/>
              </w:rPr>
              <w:t xml:space="preserve">ITR/INCRA em nome do cônjuge ou pais</w:t>
            </w:r>
            <w:r>
              <w:rPr>
                <w:rFonts w:ascii="Times New Roman" w:cs="Times New Roman" w:eastAsia="Times New Roman" w:hAnsi="Times New Roman"/>
                <w:sz w:val="22"/>
                <w:szCs w:val="22"/>
              </w:rPr>
              <w:t xml:space="preserve"> — comprova a exploração de imóvel rural pela família, evidenciando o regime de economia familiar no qual a autora está inserida e exerce suas atividades agrícolas</w:t>
            </w:r>
          </w:p>
        </w:tc>
      </w:tr>
      <w:tr>
        <w:trPr>
          <w:cantSplit/>
        </w:trPr>
        <w:tc>
          <w:tcPr>
            <w:tcW w:type="dxa" w:w="544"/>
            <w:tcBorders>
              <w:top w:val="single" w:color="E5E7EB" w:sz="2"/>
              <w:left w:val="single" w:color="E5E7EB" w:sz="2"/>
              <w:bottom w:val="single" w:color="E5E7EB" w:sz="2"/>
              <w:right w:val="single" w:color="E5E7EB" w:sz="2"/>
            </w:tcBorders>
            <w:shd w:fill="FFFFFF"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FFFFF" w:color="auto" w:val="clear"/>
          </w:tcPr>
          <w:p>
            <w:pPr>
              <w:keepNext/>
              <w:keepLines/>
              <w:spacing w:after="60" w:before="60"/>
            </w:pPr>
            <w:r>
              <w:rPr>
                <w:rFonts w:ascii="Times New Roman" w:cs="Times New Roman" w:eastAsia="Times New Roman" w:hAnsi="Times New Roman"/>
                <w:b/>
                <w:bCs/>
                <w:sz w:val="22"/>
                <w:szCs w:val="22"/>
              </w:rPr>
              <w:t xml:space="preserve">Notas de venda de produtos rurais</w:t>
            </w:r>
            <w:r>
              <w:rPr>
                <w:rFonts w:ascii="Times New Roman" w:cs="Times New Roman" w:eastAsia="Times New Roman" w:hAnsi="Times New Roman"/>
                <w:sz w:val="22"/>
                <w:szCs w:val="22"/>
              </w:rPr>
              <w:t xml:space="preserve"> — registros de comercialização do excedente da produção (arroz, milho, feijão e mandioca), demonstrando a efetiva exploração da atividade agrícola com fins de subsistência e geração de renda</w:t>
            </w:r>
          </w:p>
        </w:tc>
      </w:tr>
      <w:tr>
        <w:trPr>
          <w:cantSplit/>
        </w:trPr>
        <w:tc>
          <w:tcPr>
            <w:tcW w:type="dxa" w:w="544"/>
            <w:tcBorders>
              <w:top w:val="single" w:color="E5E7EB" w:sz="2"/>
              <w:left w:val="single" w:color="E5E7EB" w:sz="2"/>
              <w:bottom w:val="single" w:color="E5E7EB" w:sz="2"/>
              <w:right w:val="single" w:color="E5E7EB" w:sz="2"/>
            </w:tcBorders>
            <w:shd w:fill="F5F5F5"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5F5F5" w:color="auto" w:val="clear"/>
          </w:tcPr>
          <w:p>
            <w:pPr>
              <w:keepNext/>
              <w:keepLines/>
              <w:spacing w:after="60" w:before="60"/>
            </w:pPr>
            <w:r>
              <w:rPr>
                <w:rFonts w:ascii="Times New Roman" w:cs="Times New Roman" w:eastAsia="Times New Roman" w:hAnsi="Times New Roman"/>
                <w:b/>
                <w:bCs/>
                <w:sz w:val="22"/>
                <w:szCs w:val="22"/>
              </w:rPr>
              <w:t xml:space="preserve">Certidão de nascimento da criança (zona rural)</w:t>
            </w:r>
          </w:p>
        </w:tc>
      </w:tr>
      <w:tr>
        <w:trPr>
          <w:cantSplit/>
        </w:trPr>
        <w:tc>
          <w:tcPr>
            <w:tcW w:type="dxa" w:w="544"/>
            <w:tcBorders>
              <w:top w:val="single" w:color="E5E7EB" w:sz="2"/>
              <w:left w:val="single" w:color="E5E7EB" w:sz="2"/>
              <w:bottom w:val="single" w:color="E5E7EB" w:sz="2"/>
              <w:right w:val="single" w:color="E5E7EB" w:sz="2"/>
            </w:tcBorders>
            <w:shd w:fill="FFFFFF"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FFFFF" w:color="auto" w:val="clear"/>
          </w:tcPr>
          <w:p>
            <w:pPr>
              <w:keepNext/>
              <w:keepLines/>
              <w:spacing w:after="60" w:before="60"/>
            </w:pPr>
            <w:r>
              <w:rPr>
                <w:rFonts w:ascii="Times New Roman" w:cs="Times New Roman" w:eastAsia="Times New Roman" w:hAnsi="Times New Roman"/>
                <w:b/>
                <w:bCs/>
                <w:sz w:val="22"/>
                <w:szCs w:val="22"/>
              </w:rPr>
              <w:t xml:space="preserve">Certidão eleitoral (endereço rural)</w:t>
            </w:r>
          </w:p>
        </w:tc>
      </w:tr>
      <w:tr>
        <w:trPr>
          <w:cantSplit/>
        </w:trPr>
        <w:tc>
          <w:tcPr>
            <w:tcW w:type="dxa" w:w="544"/>
            <w:tcBorders>
              <w:top w:val="single" w:color="E5E7EB" w:sz="2"/>
              <w:left w:val="single" w:color="E5E7EB" w:sz="2"/>
              <w:bottom w:val="single" w:color="E5E7EB" w:sz="2"/>
              <w:right w:val="single" w:color="E5E7EB" w:sz="2"/>
            </w:tcBorders>
            <w:shd w:fill="F5F5F5" w:color="auto" w:val="clear"/>
            <w:vAlign w:val="center"/>
          </w:tcPr>
          <w:p>
            <w:pPr>
              <w:keepNext/>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5F5F5" w:color="auto" w:val="clear"/>
          </w:tcPr>
          <w:p>
            <w:pPr>
              <w:keepNext/>
              <w:keepLines/>
              <w:spacing w:after="60" w:before="60"/>
            </w:pPr>
            <w:r>
              <w:rPr>
                <w:rFonts w:ascii="Times New Roman" w:cs="Times New Roman" w:eastAsia="Times New Roman" w:hAnsi="Times New Roman"/>
                <w:b/>
                <w:bCs/>
                <w:sz w:val="22"/>
                <w:szCs w:val="22"/>
              </w:rPr>
              <w:t xml:space="preserve">Fotos de atividade agrícola</w:t>
            </w:r>
          </w:p>
        </w:tc>
      </w:tr>
      <w:tr>
        <w:trPr>
          <w:cantSplit/>
        </w:trPr>
        <w:tc>
          <w:tcPr>
            <w:tcW w:type="dxa" w:w="544"/>
            <w:tcBorders>
              <w:top w:val="single" w:color="E5E7EB" w:sz="2"/>
              <w:left w:val="single" w:color="E5E7EB" w:sz="2"/>
              <w:bottom w:val="single" w:color="E5E7EB" w:sz="2"/>
              <w:right w:val="single" w:color="E5E7EB" w:sz="2"/>
            </w:tcBorders>
            <w:shd w:fill="FFFFFF" w:color="auto" w:val="clear"/>
            <w:vAlign w:val="center"/>
          </w:tcPr>
          <w:p>
            <w:pPr>
              <w:keepNext w:val="false"/>
              <w:keepLines/>
              <w:spacing w:after="60" w:before="60"/>
              <w:jc w:val="center"/>
            </w:pPr>
            <w:r>
              <w:rPr>
                <w:rFonts w:ascii="Times New Roman" w:cs="Times New Roman" w:eastAsia="Times New Roman" w:hAnsi="Times New Roman"/>
                <w:b/>
                <w:bCs/>
                <w:color w:val="15803D"/>
                <w:sz w:val="22"/>
                <w:szCs w:val="22"/>
              </w:rPr>
              <w:t xml:space="preserve">✓</w:t>
            </w:r>
          </w:p>
        </w:tc>
        <w:tc>
          <w:tcPr>
            <w:tcW w:type="dxa" w:w="8527"/>
            <w:tcBorders>
              <w:top w:val="single" w:color="E5E7EB" w:sz="2"/>
              <w:left w:val="single" w:color="E5E7EB" w:sz="2"/>
              <w:bottom w:val="single" w:color="E5E7EB" w:sz="2"/>
              <w:right w:val="single" w:color="E5E7EB" w:sz="2"/>
            </w:tcBorders>
            <w:shd w:fill="FFFFFF" w:color="auto" w:val="clear"/>
          </w:tcPr>
          <w:p>
            <w:pPr>
              <w:keepNext w:val="false"/>
              <w:keepLines/>
              <w:spacing w:after="60" w:before="60"/>
            </w:pPr>
            <w:r>
              <w:rPr>
                <w:rFonts w:ascii="Times New Roman" w:cs="Times New Roman" w:eastAsia="Times New Roman" w:hAnsi="Times New Roman"/>
                <w:b/>
                <w:bCs/>
                <w:sz w:val="22"/>
                <w:szCs w:val="22"/>
              </w:rPr>
              <w:t xml:space="preserve">Testemunhas disponíveis</w:t>
            </w:r>
          </w:p>
        </w:tc>
      </w:tr>
    </w:tbl>
    <w:p>
      <w:pPr>
        <w:keepLines/>
        <w:widowControl/>
        <w:spacing w:after="160" w:before="160" w:line="360" w:lineRule="auto"/>
        <w:ind w:firstLine="709"/>
        <w:jc w:val="both"/>
      </w:pPr>
      <w:r>
        <w:rPr>
          <w:rFonts w:ascii="Times New Roman" w:cs="Times New Roman" w:eastAsia="Times New Roman" w:hAnsi="Times New Roman"/>
          <w:sz w:val="24"/>
          <w:szCs w:val="24"/>
        </w:rPr>
        <w:t xml:space="preserve">O conjunto probatório reunido nos autos é suficiente para demonstrar, com a segurança jurídica necessária, o exercício habitual e contínuo da atividade rural por Francisca de Sousa Oliveira em regime de economia familiar, no período compreendido entre janeiro de 2019 e março de 2026 — lapso temporal que supera, com folga, os dez meses de carência exigidos pelo art. 39, parágrafo único, da Lei nº 8.213/1991 para a concessão do salário-maternidade ao segurado especial. A certidão de nascimento do filho Miguel, a certidão eleitoral com endereço rural, a declaração de associação de moradores e os documentos relativos ao ITR/INCRA em nome dos familiares formam, em conjunto, um robusto início de prova material da condição de segurada especial, plenamente apto a ser complementado pela prova testemunhal a ser produzida em audiência. Sublinhe-se que a declaração emitida pela associação de moradores da comunidade rural de Lago da Pedra/MA possui relevante valor probatório complementar, pois emana de entidade com conhecimento direto da realidade local e das famílias que dela fazem parte, corroborando o vínculo da autora com o campo. A análise conjunta e integrada de todas as provas — e não de forma isolada ou fragmentada, como procedeu o INSS — evidencia que Francisca de Sousa Oliveira preenche os requisitos legais para a percepção do salário-maternidade na qualidade de segurada especial, sendo o indeferimento administrativo manifestamente injusto e contrário ao ordenamento jurídico previdenciário vigente.</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V – FUNDAMENTAÇÃO JURÍDICA</w:t>
      </w:r>
    </w:p>
    <w:p>
      <w:pPr>
        <w:keepLines/>
        <w:widowControl/>
        <w:spacing w:after="160" w:line="360" w:lineRule="auto"/>
        <w:ind w:firstLine="709"/>
        <w:jc w:val="both"/>
      </w:pPr>
      <w:r>
        <w:rPr>
          <w:rFonts w:ascii="Times New Roman" w:cs="Times New Roman" w:eastAsia="Times New Roman" w:hAnsi="Times New Roman"/>
          <w:sz w:val="24"/>
          <w:szCs w:val="24"/>
        </w:rPr>
        <w:t xml:space="preserve">O salário-maternidade é benefício previdenciário de matriz constitucional, expressamente previsto no art. 7º, XVIII, da Constituição Federal de 1988, que assegura à trabalhadora o direito à licença à gestante, sem prejuízo do emprego e do salário, com a duração de cento e vinte dias. No plano infraconstitucional, o benefício encontra sua disciplina no art. 71 da Lei nº 8.213/1991, que o assegura à segurada da Previdência Social durante cento e vinte dias, com início no período entre vinte e oito dias antes do parto e a data de ocorrência deste. Para a segurada especial, o art. 39, parágrafo único, da mesma lei dispõe que o benefício será concedido no valor de um salário mínimo, desde que a trabalhadora comprove o exercício de atividade rural, ainda que de forma descontínua, nos dez meses imediatamente anteriores ao fato gerador, sendo dispensado o recolhimento de contribuições previdenciárias. Trata-se, portanto, de carência específica e reduzida, que reconhece a peculiaridade da condição do trabalhador rural e a necessidade de facilitar-lhe o acesso à proteção social.</w:t>
      </w:r>
    </w:p>
    <w:p>
      <w:pPr>
        <w:keepLines/>
        <w:widowControl/>
        <w:spacing w:after="160" w:line="360" w:lineRule="auto"/>
        <w:ind w:firstLine="709"/>
        <w:jc w:val="both"/>
      </w:pPr>
      <w:r>
        <w:rPr>
          <w:rFonts w:ascii="Times New Roman" w:cs="Times New Roman" w:eastAsia="Times New Roman" w:hAnsi="Times New Roman"/>
          <w:sz w:val="24"/>
          <w:szCs w:val="24"/>
        </w:rPr>
        <w:t xml:space="preserve">A qualidade de segurada especial da autora decorre do exercício de atividade rural em regime de economia familiar, na forma do art. 11, VII, e §§ 1º e 4º, da Lei nº 8.213/1991. O regime de economia familiar caracteriza-se pelo trabalho dos membros da própria família em condições de mútua dependência e colaboração, sem a utilização de empregados permanentes, com vistas à subsistência e ao desenvolvimento socioeconômico do grupo familiar. No caso dos autos, Francisca de Sousa Oliveira exerce atividade agrícola desde janeiro de 2019 ao lado de seus pais e companheiro, cultivando arroz, milho, feijão e mandioca para subsistência e comercialização do excedente, em Lago da Pedra/MA — configuração que se enquadra com precisão no conceito legal de segurada especial em regime de economia familiar.</w:t>
      </w:r>
    </w:p>
    <w:p>
      <w:pPr>
        <w:keepLines/>
        <w:widowControl/>
        <w:spacing w:after="160" w:line="360" w:lineRule="auto"/>
        <w:ind w:firstLine="709"/>
        <w:jc w:val="both"/>
      </w:pPr>
      <w:r>
        <w:rPr>
          <w:rFonts w:ascii="Times New Roman" w:cs="Times New Roman" w:eastAsia="Times New Roman" w:hAnsi="Times New Roman"/>
          <w:sz w:val="24"/>
          <w:szCs w:val="24"/>
        </w:rPr>
        <w:t xml:space="preserve">No que toca à prova da atividade rural, a jurisprudência dos tribunais superiores consolidou entendimento que não exige prova plena e cabal, mas tão somente início de prova material contemporânea ao período que se pretende comprovar, complementado, quando necessário, por prova testemunhal. O Superior Tribunal de Justiça, ao julgar o Recurso Especial nº 1.321.493/PR sob o rito dos recursos repetitivos (Tema 533), firmou a tese de que a comprovação do tempo de serviço rural para fins previdenciários pode ser feita por início de prova material, não sendo admitida prova exclusivamente testemunhal, exceto em caso de força maior ou caso fortuito. A jurisprudência do STJ, dos TRFs e da TNU é firme no sentido de que a prova material contemporânea, ainda que escassa, pode ser complementada por prova testemunhal. Nessa linha, a Súmula nº 14 da Turma Nacional de Uniformização dos Juizados Especiais Federais estabelece que para a concessão de aposentadoria rural por idade, não é necessário que o início de prova material corresponda a todo o período equivalente à carência do benefício, entendimento que se aplica, por analogia e à luz dos mesmos princípios, ao salário-maternidade da segurada especial. O mesmo raciocínio é adotado pela Súmula nº 41 da TNU, segundo a qual a circunstância de o imóvel rural ser registrado em nome de terceiro — como cônjuge ou genitor — não impede o reconhecimento da condição de segurado especial do trabalhador rural que nele labora em regime de economia familiar.</w:t>
      </w:r>
    </w:p>
    <w:p>
      <w:pPr>
        <w:keepLines/>
        <w:widowControl/>
        <w:spacing w:after="160" w:line="360" w:lineRule="auto"/>
        <w:ind w:firstLine="709"/>
        <w:jc w:val="both"/>
      </w:pPr>
      <w:r>
        <w:rPr>
          <w:rFonts w:ascii="Times New Roman" w:cs="Times New Roman" w:eastAsia="Times New Roman" w:hAnsi="Times New Roman"/>
          <w:sz w:val="24"/>
          <w:szCs w:val="24"/>
        </w:rPr>
        <w:t xml:space="preserve">O STF, nas ADIs 2110 e 2111 (28/03/2024), reafirmou a proteção à maternidade, consolidando o entendimento de que as normas que asseguram o salário-maternidade têm assento constitucional e não podem ser restringidas por interpretações administrativas que esvaziem o conteúdo protetivo do benefício. A decisão do Supremo Tribunal Federal reforça que a proteção à maternidade é direito fundamental, e que qualquer interpretação restritiva, como a adotada pelo INSS no caso em apreço, viola diretamente a Constituição Federal de 1988. A trabalhadora rural, inserida em contexto de vulnerabilidade social e econômica acentuada, merece proteção ainda mais efetiva do Estado, sendo inadmissível que a burocracia administrativa se converta em obstáculo intransponível ao acesso a um direito constitucionalmente garantido.</w:t>
      </w:r>
    </w:p>
    <w:p>
      <w:pPr>
        <w:keepLines/>
        <w:widowControl/>
        <w:spacing w:after="160" w:line="360" w:lineRule="auto"/>
        <w:ind w:firstLine="709"/>
        <w:jc w:val="both"/>
      </w:pPr>
      <w:r>
        <w:rPr>
          <w:rFonts w:ascii="Times New Roman" w:cs="Times New Roman" w:eastAsia="Times New Roman" w:hAnsi="Times New Roman"/>
          <w:sz w:val="24"/>
          <w:szCs w:val="24"/>
        </w:rPr>
        <w:t xml:space="preserve">No caso concreto, Francisca de Sousa Oliveira comprova o exercício de atividade rural em regime de economia familiar por período superior a sete anos antes do nascimento do filho Miguel Sousa Oliveira, ocorrido em 18 de março de 2026 — intervalo que supera amplamente os dez meses de carência exigidos pelo art. 39, parágrafo único, da Lei nº 8.213/1991. Os documentos acostados aos autos formam conjunto probatório suficiente para caracterizar o início de prova material da condição de segurada especial, devendo ser analisados em sua integralidade e complementados pelo depoimento das testemunhas a serem ouvidas em audiência. A recusa administrativa em reconhecer esse conjunto probatório, sob o genérico fundamento de não comprovação da atividade rural, revela análise fragmentada e descontextualizada da realidade do trabalho no campo, em dissonância com o entendimento jurisprudencial pacificado e com os princípios constitucionais da proteção à maternidade, da dignidade da pessoa humana e da universalidade da cobertura da Seguridade Social, previstos nos arts. 1º, III, e 194, parágrafo único, I, da Constituição Federal de 1988. Presentes, portanto, todos os requisitos legais e jurisprudenciais para a concessão do salário-maternidade, impõe-se o acolhimento integral dos pedidos formulados na presente ação.</w:t>
      </w:r>
    </w:p>
    <w:p>
      <w:pPr>
        <w:keepNext/>
        <w:keepLines/>
        <w:pBdr>
          <w:top w:val="single" w:color="2D5F8A" w:sz="6" w:space="3"/>
          <w:bottom w:val="single" w:color="2D5F8A" w:sz="6" w:space="3"/>
          <w:left w:val="single" w:color="2D5F8A" w:sz="6" w:space="6"/>
          <w:right w:val="single" w:color="2D5F8A" w:sz="6" w:space="6"/>
        </w:pBdr>
        <w:shd w:fill="2D5F8A" w:color="auto" w:val="clear"/>
        <w:spacing w:after="160" w:before="280"/>
        <w:ind w:left="120" w:right="120" w:firstLine="0"/>
        <w:jc w:val="left"/>
      </w:pPr>
      <w:r>
        <w:rPr>
          <w:rFonts w:ascii="Times New Roman" w:cs="Times New Roman" w:eastAsia="Times New Roman" w:hAnsi="Times New Roman"/>
          <w:b/>
          <w:bCs/>
          <w:color w:val="FFFFFF"/>
          <w:sz w:val="24"/>
          <w:szCs w:val="24"/>
        </w:rPr>
        <w:t xml:space="preserve">VI – PEDIDO / REQUERIMENTOS</w:t>
      </w:r>
    </w:p>
    <w:p>
      <w:pPr>
        <w:keepLines/>
        <w:widowControl/>
        <w:spacing w:after="160" w:line="360" w:lineRule="auto"/>
        <w:jc w:val="both"/>
      </w:pPr>
      <w:r>
        <w:rPr>
          <w:rFonts w:ascii="Times New Roman" w:cs="Times New Roman" w:eastAsia="Times New Roman" w:hAnsi="Times New Roman"/>
          <w:sz w:val="24"/>
          <w:szCs w:val="24"/>
        </w:rPr>
        <w:t xml:space="preserve">Diante do exposto, requer:</w:t>
      </w:r>
    </w:p>
    <w:p>
      <w:pPr>
        <w:keepLines/>
        <w:widowControl/>
        <w:spacing w:after="120" w:line="360" w:lineRule="auto"/>
        <w:jc w:val="both"/>
      </w:pPr>
      <w:r>
        <w:rPr>
          <w:rFonts w:ascii="Times New Roman" w:cs="Times New Roman" w:eastAsia="Times New Roman" w:hAnsi="Times New Roman"/>
          <w:sz w:val="24"/>
          <w:szCs w:val="24"/>
        </w:rPr>
        <w:t xml:space="preserve">i. Que todas as intimações e comunicações sejam realizadas exclusivamente em nome dos advogados subscritos da presente peça, nos termos do art. 272, §5º, do Código de Processo Civil, no endereço profissional informado no rodapé desta petição;</w:t>
      </w:r>
    </w:p>
    <w:p>
      <w:pPr>
        <w:keepLines/>
        <w:widowControl/>
        <w:spacing w:after="120" w:line="360" w:lineRule="auto"/>
        <w:jc w:val="both"/>
      </w:pPr>
      <w:r>
        <w:rPr>
          <w:rFonts w:ascii="Times New Roman" w:cs="Times New Roman" w:eastAsia="Times New Roman" w:hAnsi="Times New Roman"/>
          <w:sz w:val="24"/>
          <w:szCs w:val="24"/>
        </w:rPr>
        <w:t xml:space="preserve">ii. A procedência do pedido, com a condenação do INSS à concessão do benefício de salário-maternidade em favor da autora Francisca de Sousa Oliveira, na qualidade de segurada especial, pelo período de cento e vinte dias, a contar da data legalmente devida — 18 de março de 2026 (data do nascimento do filho Miguel Sousa Oliveira) —, nos termos dos arts. 71 e 39, parágrafo único, da Lei nº 8.213/1991, no valor correspondente a um salário mínimo mensal vigente à época do fato gerador (R$ 1.621,00), com pagamento das parcelas vencidas e vincendas, devidamente atualizadas;</w:t>
      </w:r>
    </w:p>
    <w:p>
      <w:pPr>
        <w:keepLines/>
        <w:widowControl/>
        <w:spacing w:after="120" w:line="360" w:lineRule="auto"/>
        <w:jc w:val="both"/>
      </w:pPr>
      <w:r>
        <w:rPr>
          <w:rFonts w:ascii="Times New Roman" w:cs="Times New Roman" w:eastAsia="Times New Roman" w:hAnsi="Times New Roman"/>
          <w:sz w:val="24"/>
          <w:szCs w:val="24"/>
        </w:rPr>
        <w:t xml:space="preserve">iii. A determinação ao INSS para que proceda à averbação do período de atividade rural no CNIS da autora, compreendido entre 01/2019 e 03/2026, reconhecendo sua condição de segurada especial durante todo esse intervalo, para todos os fins previdenciários;</w:t>
      </w:r>
    </w:p>
    <w:p>
      <w:pPr>
        <w:keepLines/>
        <w:widowControl/>
        <w:spacing w:after="120" w:line="360" w:lineRule="auto"/>
        <w:jc w:val="both"/>
      </w:pPr>
      <w:r>
        <w:rPr>
          <w:rFonts w:ascii="Times New Roman" w:cs="Times New Roman" w:eastAsia="Times New Roman" w:hAnsi="Times New Roman"/>
          <w:sz w:val="24"/>
          <w:szCs w:val="24"/>
        </w:rPr>
        <w:t xml:space="preserve">iv. A citação do Instituto Nacional do Seguro Social – INSS, na pessoa de seu representante legal, por meio da Procuradoria Federal competente, para que apresente contestação no prazo legal, bem como a determinação de juntada aos autos do Processo Administrativo correspondente ao NB 248.673.921-5, com todas as peças que o instruem;</w:t>
      </w:r>
    </w:p>
    <w:p>
      <w:pPr>
        <w:keepLines/>
        <w:widowControl/>
        <w:spacing w:after="120" w:line="360" w:lineRule="auto"/>
        <w:jc w:val="both"/>
      </w:pPr>
      <w:r>
        <w:rPr>
          <w:rFonts w:ascii="Times New Roman" w:cs="Times New Roman" w:eastAsia="Times New Roman" w:hAnsi="Times New Roman"/>
          <w:sz w:val="24"/>
          <w:szCs w:val="24"/>
        </w:rPr>
        <w:t xml:space="preserve">v. A condenação do réu ao pagamento das parcelas em atraso correspondentes ao salário-maternidade devido desde a data do nascimento do filho, com atualização monetária e juros de mora nos termos estabelecidos pelo Manual de Cálculos da Justiça Federal, com incidência da taxa SELIC a partir de dezembro de 2021, conforme art. 3º da Emenda Constitucional nº 113/2021;</w:t>
      </w:r>
    </w:p>
    <w:p>
      <w:pPr>
        <w:keepLines/>
        <w:widowControl/>
        <w:spacing w:after="120" w:line="360" w:lineRule="auto"/>
        <w:jc w:val="both"/>
      </w:pPr>
      <w:r>
        <w:rPr>
          <w:rFonts w:ascii="Times New Roman" w:cs="Times New Roman" w:eastAsia="Times New Roman" w:hAnsi="Times New Roman"/>
          <w:sz w:val="24"/>
          <w:szCs w:val="24"/>
        </w:rPr>
        <w:t xml:space="preserve">vi. A designação de audiência una de instrução e julgamento, para colheita do depoimento pessoal da autora e das testemunhas arroladas, as quais comparecerão independentemente de intimação, nos termos do art. 22, §1º, da Lei nº 9.099/1995, aplicável subsidiariamente aos Juizados Especiais Federais por força do art. 1º da Lei nº 10.259/2001;</w:t>
      </w:r>
    </w:p>
    <w:p>
      <w:pPr>
        <w:keepLines/>
        <w:widowControl/>
        <w:spacing w:after="120" w:line="360" w:lineRule="auto"/>
        <w:jc w:val="both"/>
      </w:pPr>
      <w:r>
        <w:rPr>
          <w:rFonts w:ascii="Times New Roman" w:cs="Times New Roman" w:eastAsia="Times New Roman" w:hAnsi="Times New Roman"/>
          <w:sz w:val="24"/>
          <w:szCs w:val="24"/>
        </w:rPr>
        <w:t xml:space="preserve">vii. A concessão dos benefícios da justiça gratuita à autora, nos termos do art. 98 e seguintes do Código de Processo Civil e do art. 5º, LXXIV, da Constituição Federal de 1988, tendo em vista sua condição de trabalhadora rural de baixa renda, que não possui condições de arcar com as despesas processuais sem prejuízo do próprio sustento e de sua família;</w:t>
      </w:r>
    </w:p>
    <w:p>
      <w:pPr>
        <w:keepLines/>
        <w:widowControl/>
        <w:spacing w:after="120" w:line="360" w:lineRule="auto"/>
        <w:jc w:val="both"/>
      </w:pPr>
      <w:r>
        <w:rPr>
          <w:rFonts w:ascii="Times New Roman" w:cs="Times New Roman" w:eastAsia="Times New Roman" w:hAnsi="Times New Roman"/>
          <w:sz w:val="24"/>
          <w:szCs w:val="24"/>
        </w:rPr>
        <w:t xml:space="preserve">viii. O destaque e o pagamento dos honorários advocatícios contratuais diretamente em favor do escritório subscritor da presente peça, por ocasião da expedição do precatório ou da requisição de pequeno valor, nos termos do instrumento de mandato e do contrato de honorários firmados entre a autora e seus procuradores.</w:t>
      </w:r>
    </w:p>
    <w:p>
      <w:pPr>
        <w:keepNext/>
        <w:keepLines/>
        <w:spacing w:after="80" w:before="200"/>
        <w:jc w:val="center"/>
      </w:pPr>
      <w:r>
        <w:rPr>
          <w:rFonts w:ascii="Times New Roman" w:cs="Times New Roman" w:eastAsia="Times New Roman" w:hAnsi="Times New Roman"/>
          <w:b/>
          <w:bCs/>
          <w:sz w:val="22"/>
          <w:szCs w:val="22"/>
        </w:rPr>
        <w:t xml:space="preserve">ANEXO – PLANILHA DE CÁLCULO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5261"/>
      </w:tblGrid>
      <w:tr>
        <w:trPr>
          <w:cantSplit/>
          <w:tblHeader/>
        </w:trPr>
        <w:tc>
          <w:tcPr>
            <w:tcW w:type="dxa" w:w="9071"/>
            <w:gridSpan w:val="2"/>
            <w:tcBorders>
              <w:top w:val="none" w:color="FFFFFF" w:sz="0"/>
              <w:left w:val="none" w:color="FFFFFF" w:sz="0"/>
              <w:bottom w:val="none" w:color="FFFFFF" w:sz="0"/>
              <w:right w:val="none" w:color="FFFFFF" w:sz="0"/>
            </w:tcBorders>
            <w:shd w:fill="1A3A5C" w:color="auto" w:val="clear"/>
          </w:tcPr>
          <w:p>
            <w:pPr>
              <w:keepNext/>
              <w:spacing w:after="60" w:before="60"/>
              <w:jc w:val="center"/>
            </w:pPr>
            <w:r>
              <w:rPr>
                <w:rFonts w:ascii="Times New Roman" w:cs="Times New Roman" w:eastAsia="Times New Roman" w:hAnsi="Times New Roman"/>
                <w:b/>
                <w:bCs/>
                <w:color w:val="FFFFFF"/>
                <w:sz w:val="21"/>
                <w:szCs w:val="21"/>
              </w:rPr>
              <w:t xml:space="preserve">PLANILHA DE CÁLCULO</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1º Mês de benefício</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right"/>
            </w:pPr>
            <w:r>
              <w:rPr>
                <w:rFonts w:ascii="Times New Roman" w:cs="Times New Roman" w:eastAsia="Times New Roman" w:hAnsi="Times New Roman"/>
                <w:b w:val="false"/>
                <w:bCs w:val="false"/>
                <w:sz w:val="22"/>
                <w:szCs w:val="22"/>
              </w:rPr>
              <w:t xml:space="preserve">R$ 1.621,00</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2º Mês de benefício</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right"/>
            </w:pPr>
            <w:r>
              <w:rPr>
                <w:rFonts w:ascii="Times New Roman" w:cs="Times New Roman" w:eastAsia="Times New Roman" w:hAnsi="Times New Roman"/>
                <w:b w:val="false"/>
                <w:bCs w:val="false"/>
                <w:sz w:val="22"/>
                <w:szCs w:val="22"/>
              </w:rPr>
              <w:t xml:space="preserve">R$ 1.621,00</w:t>
            </w:r>
          </w:p>
        </w:tc>
      </w:tr>
      <w:tr>
        <w:trPr>
          <w:cantSplit/>
        </w:trPr>
        <w:tc>
          <w:tcPr>
            <w:tcW w:type="dxa" w:w="3810"/>
            <w:tcBorders>
              <w:top w:val="single" w:color="C5D0E0" w:sz="4"/>
              <w:left w:val="single" w:color="C5D0E0" w:sz="4"/>
              <w:bottom w:val="single" w:color="C5D0E0" w:sz="4"/>
              <w:right w:val="single" w:color="C5D0E0" w:sz="4"/>
            </w:tcBorders>
            <w:shd w:fill="F5F5F5" w:color="auto" w:val="clear"/>
          </w:tcPr>
          <w:p>
            <w:pPr>
              <w:keepNext/>
              <w:keepLines/>
            </w:pPr>
            <w:r>
              <w:rPr>
                <w:rFonts w:ascii="Times New Roman" w:cs="Times New Roman" w:eastAsia="Times New Roman" w:hAnsi="Times New Roman"/>
                <w:b/>
                <w:bCs/>
                <w:sz w:val="22"/>
                <w:szCs w:val="22"/>
              </w:rPr>
              <w:t xml:space="preserve">3º Mês de benefício</w:t>
            </w:r>
          </w:p>
        </w:tc>
        <w:tc>
          <w:tcPr>
            <w:tcW w:type="dxa" w:w="5261"/>
            <w:tcBorders>
              <w:top w:val="single" w:color="C5D0E0" w:sz="4"/>
              <w:left w:val="single" w:color="C5D0E0" w:sz="4"/>
              <w:bottom w:val="single" w:color="C5D0E0" w:sz="4"/>
              <w:right w:val="single" w:color="C5D0E0" w:sz="4"/>
            </w:tcBorders>
            <w:shd w:fill="F5F5F5" w:color="auto" w:val="clear"/>
          </w:tcPr>
          <w:p>
            <w:pPr>
              <w:keepNext/>
              <w:keepLines/>
              <w:jc w:val="right"/>
            </w:pPr>
            <w:r>
              <w:rPr>
                <w:rFonts w:ascii="Times New Roman" w:cs="Times New Roman" w:eastAsia="Times New Roman" w:hAnsi="Times New Roman"/>
                <w:b w:val="false"/>
                <w:bCs w:val="false"/>
                <w:sz w:val="22"/>
                <w:szCs w:val="22"/>
              </w:rPr>
              <w:t xml:space="preserve">R$ 1.621,00</w:t>
            </w:r>
          </w:p>
        </w:tc>
      </w:tr>
      <w:tr>
        <w:trPr>
          <w:cantSplit/>
        </w:trPr>
        <w:tc>
          <w:tcPr>
            <w:tcW w:type="dxa" w:w="3810"/>
            <w:tcBorders>
              <w:top w:val="single" w:color="C5D0E0" w:sz="4"/>
              <w:left w:val="single" w:color="C5D0E0" w:sz="4"/>
              <w:bottom w:val="single" w:color="C5D0E0" w:sz="4"/>
              <w:right w:val="single" w:color="C5D0E0" w:sz="4"/>
            </w:tcBorders>
            <w:shd w:fill="FFFFFF" w:color="auto" w:val="clear"/>
          </w:tcPr>
          <w:p>
            <w:pPr>
              <w:keepNext/>
              <w:keepLines/>
            </w:pPr>
            <w:r>
              <w:rPr>
                <w:rFonts w:ascii="Times New Roman" w:cs="Times New Roman" w:eastAsia="Times New Roman" w:hAnsi="Times New Roman"/>
                <w:b/>
                <w:bCs/>
                <w:sz w:val="22"/>
                <w:szCs w:val="22"/>
              </w:rPr>
              <w:t xml:space="preserve">4º Mês de benefício</w:t>
            </w:r>
          </w:p>
        </w:tc>
        <w:tc>
          <w:tcPr>
            <w:tcW w:type="dxa" w:w="5261"/>
            <w:tcBorders>
              <w:top w:val="single" w:color="C5D0E0" w:sz="4"/>
              <w:left w:val="single" w:color="C5D0E0" w:sz="4"/>
              <w:bottom w:val="single" w:color="C5D0E0" w:sz="4"/>
              <w:right w:val="single" w:color="C5D0E0" w:sz="4"/>
            </w:tcBorders>
            <w:shd w:fill="FFFFFF" w:color="auto" w:val="clear"/>
          </w:tcPr>
          <w:p>
            <w:pPr>
              <w:keepNext/>
              <w:keepLines/>
              <w:jc w:val="right"/>
            </w:pPr>
            <w:r>
              <w:rPr>
                <w:rFonts w:ascii="Times New Roman" w:cs="Times New Roman" w:eastAsia="Times New Roman" w:hAnsi="Times New Roman"/>
                <w:b w:val="false"/>
                <w:bCs w:val="false"/>
                <w:sz w:val="22"/>
                <w:szCs w:val="22"/>
              </w:rPr>
              <w:t xml:space="preserve">R$ 1.621,00</w:t>
            </w:r>
          </w:p>
        </w:tc>
      </w:tr>
      <w:tr>
        <w:trPr>
          <w:cantSplit/>
        </w:trPr>
        <w:tc>
          <w:tcPr>
            <w:tcW w:type="dxa" w:w="3810"/>
            <w:tcBorders>
              <w:top w:val="single" w:color="C5D0E0" w:sz="4"/>
              <w:left w:val="single" w:color="C5D0E0" w:sz="4"/>
              <w:bottom w:val="single" w:color="C5D0E0" w:sz="4"/>
              <w:right w:val="single" w:color="C5D0E0" w:sz="4"/>
            </w:tcBorders>
            <w:shd w:fill="C8A951" w:color="auto" w:val="clear"/>
          </w:tcPr>
          <w:p>
            <w:pPr>
              <w:keepNext/>
              <w:keepLines/>
            </w:pPr>
            <w:r>
              <w:rPr>
                <w:rFonts w:ascii="Times New Roman" w:cs="Times New Roman" w:eastAsia="Times New Roman" w:hAnsi="Times New Roman"/>
                <w:b/>
                <w:bCs/>
                <w:sz w:val="22"/>
                <w:szCs w:val="22"/>
              </w:rPr>
              <w:t xml:space="preserve">TOTAL</w:t>
            </w:r>
          </w:p>
        </w:tc>
        <w:tc>
          <w:tcPr>
            <w:tcW w:type="dxa" w:w="5261"/>
            <w:tcBorders>
              <w:top w:val="single" w:color="C5D0E0" w:sz="4"/>
              <w:left w:val="single" w:color="C5D0E0" w:sz="4"/>
              <w:bottom w:val="single" w:color="C5D0E0" w:sz="4"/>
              <w:right w:val="single" w:color="C5D0E0" w:sz="4"/>
            </w:tcBorders>
            <w:shd w:fill="C8A951" w:color="auto" w:val="clear"/>
          </w:tcPr>
          <w:p>
            <w:pPr>
              <w:keepNext/>
              <w:keepLines/>
              <w:jc w:val="right"/>
            </w:pPr>
            <w:r>
              <w:rPr>
                <w:rFonts w:ascii="Times New Roman" w:cs="Times New Roman" w:eastAsia="Times New Roman" w:hAnsi="Times New Roman"/>
                <w:b/>
                <w:bCs/>
                <w:sz w:val="22"/>
                <w:szCs w:val="22"/>
              </w:rPr>
              <w:t xml:space="preserve">R$ 6.484,00</w:t>
            </w:r>
          </w:p>
        </w:tc>
      </w:tr>
    </w:tbl>
    <w:p>
      <w:pPr>
        <w:keepNext/>
        <w:keepLines/>
        <w:spacing w:before="160"/>
        <w:jc w:val="center"/>
      </w:pPr>
      <w:r>
        <w:rPr>
          <w:rFonts w:ascii="Times New Roman" w:cs="Times New Roman" w:eastAsia="Times New Roman" w:hAnsi="Times New Roman"/>
          <w:i/>
          <w:iCs/>
          <w:color w:val="555555"/>
          <w:sz w:val="19"/>
          <w:szCs w:val="19"/>
        </w:rPr>
        <w:t xml:space="preserve">Referência do valor: salário mínimo vigente desde 01/01/2026 (data do parto/fato gerador); quantia devida por fato gerador (cada nascimento)</w:t>
      </w:r>
    </w:p>
    <w:p>
      <w:pPr>
        <w:keepLines/>
        <w:spacing w:before="160"/>
        <w:jc w:val="center"/>
      </w:pPr>
      <w:r>
        <w:rPr>
          <w:rFonts w:ascii="Times New Roman" w:cs="Times New Roman" w:eastAsia="Times New Roman" w:hAnsi="Times New Roman"/>
          <w:color w:val="888888"/>
          <w:sz w:val="16"/>
          <w:szCs w:val="16"/>
        </w:rPr>
        <w:t xml:space="preserve">Documento gerado em 30 de setembro de 2026 pela plataforma Marple</w:t>
      </w:r>
    </w:p>
    <w:p>
      <w:pPr>
        <w:keepNext/>
        <w:keepLines/>
        <w:widowControl/>
        <w:spacing w:after="160" w:line="360" w:lineRule="auto"/>
        <w:ind w:firstLine="709"/>
        <w:jc w:val="both"/>
      </w:pPr>
      <w:r>
        <w:rPr>
          <w:rFonts w:ascii="Times New Roman" w:cs="Times New Roman" w:eastAsia="Times New Roman" w:hAnsi="Times New Roman"/>
          <w:sz w:val="24"/>
          <w:szCs w:val="24"/>
        </w:rPr>
        <w:t xml:space="preserve">Protesta o alegado por todos os meios admitidos em direito, especialmente o depoimento pessoal da parte autora e das testemunhas que comparecerão em audiência, independente de intimação.</w:t>
      </w:r>
    </w:p>
    <w:p>
      <w:pPr>
        <w:keepNext/>
        <w:keepLines/>
        <w:widowControl/>
        <w:spacing w:after="160" w:line="360" w:lineRule="auto"/>
        <w:ind w:firstLine="709"/>
        <w:jc w:val="both"/>
      </w:pPr>
      <w:r>
        <w:rPr>
          <w:rFonts w:ascii="Times New Roman" w:cs="Times New Roman" w:eastAsia="Times New Roman" w:hAnsi="Times New Roman"/>
          <w:sz w:val="24"/>
          <w:szCs w:val="24"/>
        </w:rPr>
        <w:t xml:space="preserve">Dá-se à causa o valor de R$ 6.484,00 (seis mil, quatrocentos e oitenta e quatro reais), renunciando-se a eventual excedente da alçada do Juizado Especial Federal, especificamente para fins de fixação da competência.</w:t>
      </w:r>
    </w:p>
    <w:p>
      <w:pPr>
        <w:keepNext/>
        <w:keepLines/>
        <w:widowControl/>
        <w:spacing w:after="160" w:line="360" w:lineRule="auto"/>
        <w:ind w:firstLine="709"/>
        <w:jc w:val="both"/>
      </w:pPr>
      <w:r>
        <w:rPr>
          <w:rFonts w:ascii="Times New Roman" w:cs="Times New Roman" w:eastAsia="Times New Roman" w:hAnsi="Times New Roman"/>
          <w:sz w:val="24"/>
          <w:szCs w:val="24"/>
        </w:rPr>
        <w:t xml:space="preserve">Termos em que, pede e espera deferimento.</w:t>
      </w:r>
    </w:p>
    <w:p>
      <w:pPr>
        <w:keepNext/>
        <w:keepLines/>
        <w:spacing w:after="0" w:before="200"/>
        <w:jc w:val="center"/>
      </w:pPr>
      <w:r>
        <w:rPr>
          <w:rFonts w:ascii="Times New Roman" w:cs="Times New Roman" w:eastAsia="Times New Roman" w:hAnsi="Times New Roman"/>
          <w:sz w:val="24"/>
          <w:szCs w:val="24"/>
        </w:rPr>
        <w:t xml:space="preserve">São Luís/MA, 30 de setembro de 2026.</w:t>
      </w:r>
    </w:p>
    <w:p>
      <w:pPr>
        <w:keepNext/>
        <w:keepLines/>
        <w:spacing w:before="1417"/>
        <w:jc w:val="center"/>
      </w:pPr>
      <w:r>
        <w:rPr>
          <w:rFonts w:ascii="Times New Roman" w:cs="Times New Roman" w:eastAsia="Times New Roman" w:hAnsi="Times New Roman"/>
          <w:sz w:val="24"/>
          <w:szCs w:val="24"/>
        </w:rPr>
        <w:t xml:space="preserve">_______________________________</w:t>
      </w:r>
    </w:p>
    <w:p>
      <w:pPr>
        <w:keepNext/>
        <w:keepLines/>
        <w:spacing/>
        <w:jc w:val="center"/>
      </w:pPr>
      <w:r>
        <w:rPr>
          <w:rFonts w:ascii="Times New Roman" w:cs="Times New Roman" w:eastAsia="Times New Roman" w:hAnsi="Times New Roman"/>
          <w:b/>
          <w:bCs/>
          <w:sz w:val="24"/>
          <w:szCs w:val="24"/>
        </w:rPr>
        <w:t xml:space="preserve">PREV LABS</w:t>
      </w:r>
    </w:p>
    <w:p>
      <w:pPr>
        <w:keepNext w:val="false"/>
        <w:keepLines/>
        <w:spacing w:after="160"/>
        <w:jc w:val="center"/>
      </w:pPr>
      <w:r>
        <w:rPr>
          <w:rFonts w:ascii="Times New Roman" w:cs="Times New Roman" w:eastAsia="Times New Roman" w:hAnsi="Times New Roman"/>
          <w:sz w:val="20"/>
          <w:szCs w:val="20"/>
        </w:rPr>
        <w:t xml:space="preserve">OAB/MA nº 886/2016</w:t>
      </w:r>
    </w:p>
    <w:sectPr>
      <w:headerReference w:type="default" r:id="rId7"/>
      <w:headerReference w:type="first" r:id="rId8"/>
      <w:footerReference w:type="default" r:id="rId9"/>
      <w:footerReference w:type="first" r:id="rId10"/>
      <w:pgSz w:w="11906" w:h="16838" w:orient="portrait"/>
      <w:pgMar w:top="1418" w:right="1134"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8"/>
      </w:pBdr>
      <w:jc w:val="left"/>
    </w:pPr>
    <w:r>
      <w:rPr>
        <w:rFonts w:ascii="Times New Roman" w:cs="Times New Roman" w:eastAsia="Times New Roman" w:hAnsi="Times New Roman"/>
        <w:color w:val="555555"/>
        <w:sz w:val="16"/>
        <w:szCs w:val="16"/>
      </w:rPr>
      <w:t xml:space="preserve">PREV LABS | São Luís/MA  ·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8"/>
      </w:pBdr>
      <w:jc w:val="left"/>
    </w:pPr>
    <w:r>
      <w:rPr>
        <w:rFonts w:ascii="Times New Roman" w:cs="Times New Roman" w:eastAsia="Times New Roman" w:hAnsi="Times New Roman"/>
        <w:color w:val="555555"/>
        <w:sz w:val="16"/>
        <w:szCs w:val="16"/>
      </w:rPr>
      <w:t xml:space="preserve">PREV LABS | São Luís/MA  ·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28"/>
      <w:gridCol w:w="5443"/>
    </w:tblGrid>
    <w:tr>
      <w:trPr>
        <w:cantSplit/>
      </w:trPr>
      <w:tc>
        <w:tcPr>
          <w:tcW w:type="dxa" w:w="3628"/>
          <w:tcBorders>
            <w:top w:val="none" w:color="FFFFFF" w:sz="0"/>
            <w:left w:val="none" w:color="FFFFFF" w:sz="0"/>
            <w:bottom w:val="single" w:color="0A2540" w:sz="12"/>
            <w:right w:val="none" w:color="FFFFFF" w:sz="0"/>
          </w:tcBorders>
          <w:tcMar>
            <w:top w:type="dxa" w:w="0"/>
            <w:left w:type="dxa" w:w="0"/>
            <w:bottom w:type="dxa" w:w="40"/>
            <w:right w:type="dxa" w:w="0"/>
          </w:tcMar>
          <w:vAlign w:val="center"/>
        </w:tcPr>
        <w:p>
          <w:pPr>
            <w:spacing w:after="0" w:before="0"/>
            <w:jc w:val="left"/>
          </w:pPr>
          <w:r>
            <w:drawing>
              <wp:inline distT="0" distB="0" distL="0" distR="0">
                <wp:extent cx="44767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7675" cy="495300"/>
                        </a:xfrm>
                        <a:prstGeom prst="rect">
                          <a:avLst/>
                        </a:prstGeom>
                      </pic:spPr>
                    </pic:pic>
                  </a:graphicData>
                </a:graphic>
              </wp:inline>
            </w:drawing>
          </w:r>
        </w:p>
      </w:tc>
      <w:tc>
        <w:tcPr>
          <w:tcW w:type="dxa" w:w="5443"/>
          <w:tcBorders>
            <w:top w:val="none" w:color="FFFFFF" w:sz="0"/>
            <w:left w:val="none" w:color="FFFFFF" w:sz="0"/>
            <w:bottom w:val="single" w:color="0A2540" w:sz="12"/>
            <w:right w:val="none" w:color="FFFFFF" w:sz="0"/>
          </w:tcBorders>
          <w:tcMar>
            <w:top w:type="dxa" w:w="0"/>
            <w:left w:type="dxa" w:w="0"/>
            <w:bottom w:type="dxa" w:w="40"/>
            <w:right w:type="dxa" w:w="0"/>
          </w:tcMar>
          <w:vAlign w:val="center"/>
        </w:tcPr>
        <w:p>
          <w:pPr>
            <w:spacing w:after="0" w:before="0"/>
            <w:jc w:val="right"/>
          </w:pPr>
          <w:r>
            <w:rPr>
              <w:rFonts w:ascii="Times New Roman" w:cs="Times New Roman" w:eastAsia="Times New Roman" w:hAnsi="Times New Roman"/>
              <w:b/>
              <w:bCs/>
              <w:color w:val="0A2540"/>
              <w:sz w:val="22"/>
              <w:szCs w:val="22"/>
            </w:rPr>
            <w:t xml:space="preserve">PREV LABS</w:t>
          </w:r>
        </w:p>
        <w:p>
          <w:pPr>
            <w:spacing w:after="0" w:before="0"/>
            <w:jc w:val="right"/>
          </w:pPr>
          <w:r>
            <w:rPr>
              <w:rFonts w:ascii="Times New Roman" w:cs="Times New Roman" w:eastAsia="Times New Roman" w:hAnsi="Times New Roman"/>
              <w:sz w:val="18"/>
              <w:szCs w:val="18"/>
            </w:rPr>
            <w:t xml:space="preserve">OAB/MA nº  886/2016</w:t>
          </w:r>
        </w:p>
        <w:p>
          <w:pPr>
            <w:spacing w:after="0" w:before="0"/>
            <w:jc w:val="right"/>
          </w:pPr>
          <w:r>
            <w:rPr>
              <w:rFonts w:ascii="Times New Roman" w:cs="Times New Roman" w:eastAsia="Times New Roman" w:hAnsi="Times New Roman"/>
              <w:color w:val="1D4ED8"/>
              <w:sz w:val="16"/>
              <w:szCs w:val="16"/>
            </w:rPr>
            <w:t xml:space="preserve">kauaworkana1203@gmail.com</w:t>
          </w:r>
        </w:p>
      </w:tc>
    </w:tr>
  </w:tbl>
  <w:p>
    <w:pPr>
      <w:spacing w:after="0" w:before="0" w:line="20" w:lineRule="exact"/>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widowControl/>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widowControl/>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b50d016eee7547cafa80e3f26e1c431b2740c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46dd4182ee15e991634d4ecd267e0dfff35c88f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2026-09-30T14:15:29.806Z</dcterms:created>
  <dcterms:modified xsi:type="dcterms:W3CDTF">2026-09-30T14:15:29.806Z</dcterms:modified>
</cp:coreProperties>
</file>

<file path=docProps/custom.xml><?xml version="1.0" encoding="utf-8"?>
<Properties xmlns="http://schemas.openxmlformats.org/officeDocument/2006/custom-properties" xmlns:vt="http://schemas.openxmlformats.org/officeDocument/2006/docPropsVTypes"/>
</file>