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200" w:before="200" w:line="276"/>
        <w:jc w:val="both"/>
      </w:pPr>
      <w:r>
        <w:rPr>
          <w:rFonts w:ascii="Times New Roman" w:cs="Times New Roman" w:eastAsia="Times New Roman" w:hAnsi="Times New Roman"/>
          <w:b/>
          <w:bCs/>
          <w:sz w:val="24"/>
          <w:szCs w:val="24"/>
        </w:rPr>
        <w:t xml:space="preserve">AO JUÍZO FEDERAL DO JUIZADO ESPECIAL FEDERAL DA SUBSEÇÃO JUDICIÁRIA DE BACABAL/MA</w:t>
      </w:r>
    </w:p>
    <w:tbl>
      <w:tblPr>
        <w:tblW w:type="dxa" w:w="4898"/>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8"/>
      </w:tblGrid>
      <w:tr>
        <w:trPr>
          <w:cantSplit/>
        </w:trPr>
        <w:tc>
          <w:tcPr>
            <w:tcW w:type="dxa" w:w="4898"/>
            <w:tcBorders>
              <w:top w:val="dashed" w:color="0A2540" w:sz="12"/>
              <w:left w:val="dashed" w:color="0A2540" w:sz="12"/>
              <w:bottom w:val="dashed" w:color="0A2540" w:sz="12"/>
              <w:right w:val="dashed" w:color="0A2540" w:sz="12"/>
            </w:tcBorders>
            <w:tcMar>
              <w:left w:type="dxa" w:w="80"/>
              <w:right w:type="dxa" w:w="80"/>
            </w:tcMar>
          </w:tcPr>
          <w:p>
            <w:pPr>
              <w:keepNext/>
              <w:keepLines/>
              <w:spacing w:after="40"/>
            </w:pPr>
            <w:r>
              <w:rPr>
                <w:rFonts w:ascii="Times New Roman" w:cs="Times New Roman" w:eastAsia="Times New Roman" w:hAnsi="Times New Roman"/>
                <w:b/>
                <w:bCs/>
                <w:color w:val="0A2540"/>
                <w:sz w:val="19"/>
                <w:szCs w:val="19"/>
              </w:rPr>
              <w:t xml:space="preserve">SALÁRIO MATERNIDADE - SEGURADO ESPECIAL</w:t>
            </w:r>
          </w:p>
          <w:p>
            <w:pPr>
              <w:keepNext/>
              <w:keepLines/>
              <w:spacing w:after="40"/>
            </w:pPr>
            <w:r>
              <w:rPr>
                <w:rFonts w:ascii="Times New Roman" w:cs="Times New Roman" w:eastAsia="Times New Roman" w:hAnsi="Times New Roman"/>
                <w:b/>
                <w:bCs/>
                <w:color w:val="0A2540"/>
                <w:sz w:val="19"/>
                <w:szCs w:val="19"/>
              </w:rPr>
              <w:t xml:space="preserve">JUÍZO 100% DIGITAL</w:t>
            </w:r>
          </w:p>
          <w:p>
            <w:pPr>
              <w:keepNext/>
              <w:keepLines/>
              <w:spacing w:after="40"/>
            </w:pPr>
            <w:r>
              <w:rPr>
                <w:rFonts w:ascii="Times New Roman" w:cs="Times New Roman" w:eastAsia="Times New Roman" w:hAnsi="Times New Roman"/>
                <w:b/>
                <w:bCs/>
                <w:sz w:val="19"/>
                <w:szCs w:val="19"/>
              </w:rPr>
              <w:t xml:space="preserve">Prioridade Legal na tramitação processual:</w:t>
            </w:r>
          </w:p>
          <w:p>
            <w:pPr>
              <w:keepNext/>
              <w:keepLines/>
              <w:spacing w:after="40"/>
            </w:pPr>
            <w:r>
              <w:rPr>
                <w:rFonts w:ascii="Times New Roman" w:cs="Times New Roman" w:eastAsia="Times New Roman" w:hAnsi="Times New Roman"/>
                <w:b w:val="false"/>
                <w:bCs w:val="false"/>
                <w:sz w:val="19"/>
                <w:szCs w:val="19"/>
              </w:rPr>
              <w:t xml:space="preserve">( ) Idoso(a) maior de 60 anos – Lei 10.741/2003;</w:t>
            </w:r>
          </w:p>
          <w:p>
            <w:pPr>
              <w:keepNext/>
              <w:keepLines/>
              <w:spacing w:after="40"/>
            </w:pPr>
            <w:r>
              <w:rPr>
                <w:rFonts w:ascii="Times New Roman" w:cs="Times New Roman" w:eastAsia="Times New Roman" w:hAnsi="Times New Roman"/>
                <w:b w:val="false"/>
                <w:bCs w:val="false"/>
                <w:sz w:val="19"/>
                <w:szCs w:val="19"/>
              </w:rPr>
              <w:t xml:space="preserve">( ) Deficiente – Lei 12.008/2009 – Laudo em anexo;</w:t>
            </w:r>
          </w:p>
          <w:p>
            <w:pPr>
              <w:keepNext w:val="false"/>
              <w:keepLines/>
              <w:spacing w:after="40"/>
            </w:pPr>
            <w:r>
              <w:rPr>
                <w:rFonts w:ascii="Times New Roman" w:cs="Times New Roman" w:eastAsia="Times New Roman" w:hAnsi="Times New Roman"/>
                <w:b w:val="false"/>
                <w:bCs w:val="false"/>
                <w:sz w:val="19"/>
                <w:szCs w:val="19"/>
              </w:rPr>
              <w:t xml:space="preserve">( ) Menor nos termos do ECA – Lei 8.069/1990;</w:t>
            </w:r>
          </w:p>
        </w:tc>
      </w:tr>
    </w:tbl>
    <w:p>
      <w:pPr>
        <w:keepLines/>
        <w:widowControl/>
        <w:spacing w:after="160" w:before="200" w:line="360" w:lineRule="auto"/>
        <w:ind w:firstLine="709"/>
        <w:jc w:val="both"/>
      </w:pPr>
      <w:r>
        <w:rPr>
          <w:rFonts w:ascii="Times New Roman" w:cs="Times New Roman" w:eastAsia="Times New Roman" w:hAnsi="Times New Roman"/>
          <w:sz w:val="24"/>
          <w:szCs w:val="24"/>
        </w:rPr>
        <w:t xml:space="preserve">Raimunda Alves Pereira, agricultora, portadora do CPF nº 517.284.963-10, residente e domiciliada na Estrada do Povoado São Raimundo, s/n, Zona Rural, Lago do Junco/MA, CEP 65720-000, vem, respeitosamente, à presença de Vossa Excelência, com fundamento no art. 7º, XVIII, da Constituição Federal de 1988, nos arts. 39, parágrafo único, e 71 da Lei nº 8.213/1991, e no art. 14 da Lei nº 10.259/2001, propor a presente.</w:t>
      </w:r>
    </w:p>
    <w:p>
      <w:pPr>
        <w:keepNext/>
        <w:keepLines/>
        <w:spacing w:after="60" w:before="200"/>
        <w:jc w:val="center"/>
      </w:pPr>
      <w:r>
        <w:rPr>
          <w:rFonts w:ascii="Times New Roman" w:cs="Times New Roman" w:eastAsia="Times New Roman" w:hAnsi="Times New Roman"/>
          <w:b/>
          <w:bCs/>
          <w:color w:val="0A2540"/>
          <w:sz w:val="28"/>
          <w:szCs w:val="28"/>
        </w:rPr>
        <w:t xml:space="preserve">AÇÃO PREVIDENCIÁRIA DE CONCESSÃO DE SALÁRIO-MATERNIDADE</w:t>
      </w:r>
    </w:p>
    <w:p>
      <w:pPr>
        <w:keepNext/>
        <w:keepLines/>
        <w:spacing w:after="160"/>
        <w:jc w:val="center"/>
      </w:pPr>
      <w:r>
        <w:rPr>
          <w:rFonts w:ascii="Times New Roman" w:cs="Times New Roman" w:eastAsia="Times New Roman" w:hAnsi="Times New Roman"/>
          <w:b/>
          <w:bCs/>
          <w:sz w:val="24"/>
          <w:szCs w:val="24"/>
        </w:rPr>
        <w:t xml:space="preserve">(SEGURADA ESPECIAL – AGRICULTORA)</w:t>
      </w:r>
    </w:p>
    <w:p>
      <w:pPr>
        <w:keepLines/>
        <w:widowControl/>
        <w:spacing w:after="160" w:line="360" w:lineRule="auto"/>
        <w:ind w:firstLine="709"/>
        <w:jc w:val="both"/>
      </w:pPr>
      <w:r>
        <w:rPr>
          <w:rFonts w:ascii="Times New Roman" w:cs="Times New Roman" w:eastAsia="Times New Roman" w:hAnsi="Times New Roman"/>
          <w:sz w:val="24"/>
          <w:szCs w:val="24"/>
        </w:rPr>
        <w:t xml:space="preserve">Em face do Instituto Nacional do Seguro Social – INSS, autarquia federal vinculada ao Ministério da Previdência Social, a ser citado na pessoa de seu representante legal, por meio da Procuradoria Federal competente, pelos fatos e fundamentos jurídicos a seguir expostos.</w:t>
      </w:r>
    </w:p>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I – PRELIMINARMENTE</w:t>
      </w:r>
    </w:p>
    <w:p>
      <w:pPr>
        <w:keepNext/>
        <w:keepLines/>
        <w:spacing w:after="80" w:before="200"/>
        <w:ind w:left="0" w:firstLine="0"/>
        <w:jc w:val="left"/>
      </w:pPr>
      <w:r>
        <w:rPr>
          <w:rFonts w:ascii="Times New Roman" w:cs="Times New Roman" w:eastAsia="Times New Roman" w:hAnsi="Times New Roman"/>
          <w:b/>
          <w:bCs/>
          <w:sz w:val="23"/>
          <w:szCs w:val="23"/>
        </w:rPr>
        <w:t xml:space="preserve">DA GRATUIDADE DA JUSTIÇA:</w:t>
      </w:r>
    </w:p>
    <w:p>
      <w:pPr>
        <w:keepLines/>
        <w:widowControl/>
        <w:spacing w:after="160" w:line="360" w:lineRule="auto"/>
        <w:ind w:firstLine="709"/>
        <w:jc w:val="both"/>
      </w:pPr>
      <w:r>
        <w:rPr>
          <w:rFonts w:ascii="Times New Roman" w:cs="Times New Roman" w:eastAsia="Times New Roman" w:hAnsi="Times New Roman"/>
          <w:sz w:val="24"/>
          <w:szCs w:val="24"/>
        </w:rPr>
        <w:t xml:space="preserve">A autora não possui condições de arcar com as custas processuais e os honorários advocatícios sem prejuízo do próprio sustento e de sua família, fazendo jus, portanto, ao benefício da gratuidade da justiça, nos termos do art. 5º, LXXIV, da Constituição Federal de 1988, do art. 98 do Código de Processo Civil e da Lei nº 1.060/1950. Requer, assim, seja deferida a gratuidade da justiça, com isenção de todas as custas e despesas processuais, declarando, desde já, a hipossuficiência econômica da requerente, sob as penas da lei.</w:t>
      </w:r>
    </w:p>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II – QUADRO SINÓPTICO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0"/>
        <w:gridCol w:w="5261"/>
      </w:tblGrid>
      <w:tr>
        <w:trPr>
          <w:cantSplit/>
          <w:tblHeader/>
        </w:trPr>
        <w:tc>
          <w:tcPr>
            <w:tcW w:type="dxa" w:w="9071"/>
            <w:gridSpan w:val="2"/>
            <w:tcBorders>
              <w:top w:val="none" w:color="FFFFFF" w:sz="0"/>
              <w:left w:val="none" w:color="FFFFFF" w:sz="0"/>
              <w:bottom w:val="none" w:color="FFFFFF" w:sz="0"/>
              <w:right w:val="none" w:color="FFFFFF" w:sz="0"/>
            </w:tcBorders>
            <w:shd w:fill="1A3A5C" w:color="auto" w:val="clear"/>
          </w:tcPr>
          <w:p>
            <w:pPr>
              <w:keepNext/>
              <w:spacing w:after="60" w:before="60"/>
              <w:jc w:val="center"/>
            </w:pPr>
            <w:r>
              <w:rPr>
                <w:rFonts w:ascii="Times New Roman" w:cs="Times New Roman" w:eastAsia="Times New Roman" w:hAnsi="Times New Roman"/>
                <w:b/>
                <w:bCs/>
                <w:color w:val="FFFFFF"/>
                <w:sz w:val="21"/>
                <w:szCs w:val="21"/>
              </w:rPr>
              <w:t xml:space="preserve">RESUMO DAS PRINCIPAIS INFORMAÇÕES DO PROCESSO</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Nome</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Raimunda Alves Pereira</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Município/UF</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Lago do Junco/MA</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Idade no Req. Adm.</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Não informada</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Pedido</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Salário-Maternidade – Segurado Especial</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Criança</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Ana Clara Pereira dos Santos</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Data de Nascimento</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11/02/2026</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Data do Req. Adm.</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25/02/2026</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NB</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251.784.630-2</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Situação/Decisão INSS</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Indeferido</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Data do Indef. Adm.</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14/04/2026</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Motivo INSS</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Ausência de elementos suficientes para comprovar a qualidade de segurada especial na data do fato gerador</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Tempo de trabalho antes do parto</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Aproximadamente 4 anos e 11 meses</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Período de Segurado Especial declarado</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03/2021 a 02/2026</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Período de atividade rural</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03/2021 até atualmente</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val="false"/>
              <w:keepLines/>
            </w:pPr>
            <w:r>
              <w:rPr>
                <w:rFonts w:ascii="Times New Roman" w:cs="Times New Roman" w:eastAsia="Times New Roman" w:hAnsi="Times New Roman"/>
                <w:b/>
                <w:bCs/>
                <w:sz w:val="22"/>
                <w:szCs w:val="22"/>
              </w:rPr>
              <w:t xml:space="preserve">Ponto controvertido</w:t>
            </w:r>
          </w:p>
        </w:tc>
        <w:tc>
          <w:tcPr>
            <w:tcW w:type="dxa" w:w="5261"/>
            <w:tcBorders>
              <w:top w:val="single" w:color="C5D0E0" w:sz="4"/>
              <w:left w:val="single" w:color="C5D0E0" w:sz="4"/>
              <w:bottom w:val="single" w:color="C5D0E0" w:sz="4"/>
              <w:right w:val="single" w:color="C5D0E0" w:sz="4"/>
            </w:tcBorders>
            <w:shd w:fill="F5F5F5" w:color="auto" w:val="clear"/>
          </w:tcPr>
          <w:p>
            <w:pPr>
              <w:keepNext w:val="false"/>
              <w:keepLines/>
              <w:jc w:val="left"/>
            </w:pPr>
            <w:r>
              <w:rPr>
                <w:rFonts w:ascii="Times New Roman" w:cs="Times New Roman" w:eastAsia="Times New Roman" w:hAnsi="Times New Roman"/>
                <w:sz w:val="22"/>
                <w:szCs w:val="22"/>
              </w:rPr>
              <w:t xml:space="preserve">Comprovação da qualidade de segurada especial na data do nascimento da filha</w:t>
            </w:r>
          </w:p>
        </w:tc>
      </w:tr>
    </w:tbl>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III – SÍNTESE DO CONTEXTO FÁTICO</w:t>
      </w:r>
    </w:p>
    <w:p>
      <w:pPr>
        <w:keepLines/>
        <w:widowControl/>
        <w:spacing w:after="160" w:line="360" w:lineRule="auto"/>
        <w:ind w:firstLine="709"/>
        <w:jc w:val="both"/>
      </w:pPr>
      <w:r>
        <w:rPr>
          <w:rFonts w:ascii="Times New Roman" w:cs="Times New Roman" w:eastAsia="Times New Roman" w:hAnsi="Times New Roman"/>
          <w:sz w:val="24"/>
          <w:szCs w:val="24"/>
        </w:rPr>
        <w:t xml:space="preserve">Raimunda Alves Pereira é agricultora, residente e domiciliada na Zona Rural de Lago do Junco/MA, que desde março de 2021 exerce atividade agrícola em regime de economia familiar, juntamente com seus pais e companheiro, sem a utilização de empregados permanentes. Sua atividade compreende o plantio habitual de mandioca, milho, feijão e hortaliças, além da criação de galinhas para consumo familiar e venda eventual, constituindo a agricultura uma das principais fontes de subsistência do núcleo familiar.</w:t>
      </w:r>
    </w:p>
    <w:p>
      <w:pPr>
        <w:keepLines/>
        <w:widowControl/>
        <w:spacing w:after="160" w:line="360" w:lineRule="auto"/>
        <w:ind w:firstLine="709"/>
        <w:jc w:val="both"/>
      </w:pPr>
      <w:r>
        <w:rPr>
          <w:rFonts w:ascii="Times New Roman" w:cs="Times New Roman" w:eastAsia="Times New Roman" w:hAnsi="Times New Roman"/>
          <w:sz w:val="24"/>
          <w:szCs w:val="24"/>
        </w:rPr>
        <w:t xml:space="preserve">No dia 11 de fevereiro de 2026, a autora deu à luz sua filha Ana Clara Pereira dos Santos, fato gerador do salário-maternidade ora pleiteado. À época do parto, a requerente contava com aproximadamente 4 anos e 11 meses de exercício contínuo da atividade rural na condição de segurada especial — período que corresponde ao intervalo de março de 2021 a fevereiro de 2026 —, superando, portanto, a carência mínima de 10 contribuições mensais exigida pelo art. 39, parágrafo único, da Lei nº 8.213/1991 para as seguradas especiais.</w:t>
      </w:r>
    </w:p>
    <w:p>
      <w:pPr>
        <w:keepNext/>
        <w:keepLines/>
        <w:widowControl/>
        <w:spacing w:after="160" w:line="360" w:lineRule="auto"/>
        <w:ind w:firstLine="709"/>
        <w:jc w:val="both"/>
      </w:pPr>
      <w:r>
        <w:rPr>
          <w:rFonts w:ascii="Times New Roman" w:cs="Times New Roman" w:eastAsia="Times New Roman" w:hAnsi="Times New Roman"/>
          <w:sz w:val="24"/>
          <w:szCs w:val="24"/>
        </w:rPr>
        <w:t xml:space="preserve">Tão logo ocorreu o nascimento, a autora providenciou o requerimento administrativo junto ao INSS, protocolado em 25 de fevereiro de 2026, sob o NB 251.784.630-2. Não obstante a documentação apresentada, a autarquia previdenciária indeferiu o benefício em 14 de abril de 2026, sob o fundamento de ausência de elementos suficientes para comprovar a qualidade de segurada especial na data do fato gerador. A seguir, a linha do tempo dos fatos relevantes do caso:</w:t>
      </w:r>
    </w:p>
    <w:p>
      <w:pPr>
        <w:keepLines/>
        <w:spacing w:after="160" w:before="120"/>
        <w:jc w:val="center"/>
      </w:pPr>
      <w:r>
        <w:drawing>
          <wp:inline distT="0" distB="0" distL="0" distR="0">
            <wp:extent cx="5760085" cy="1806198"/>
            <wp:effectExtent t="0" r="0" b="0" l="0"/>
            <wp:docPr id="1" name="timeline-sm-rural" descr="LINHA DO TEMPO — RAIMUNDA ALVES PEREIRA | Agricultora • Lago do Junco/MA" title="Linha do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085" cy="1806198"/>
                    </a:xfrm>
                    <a:prstGeom prst="rect">
                      <a:avLst/>
                    </a:prstGeom>
                  </pic:spPr>
                </pic:pic>
              </a:graphicData>
            </a:graphic>
          </wp:inline>
        </w:drawing>
      </w:r>
    </w:p>
    <w:p>
      <w:pPr>
        <w:keepLines/>
        <w:widowControl/>
        <w:spacing w:after="160" w:line="360" w:lineRule="auto"/>
        <w:ind w:firstLine="709"/>
        <w:jc w:val="both"/>
      </w:pPr>
      <w:r>
        <w:rPr>
          <w:rFonts w:ascii="Times New Roman" w:cs="Times New Roman" w:eastAsia="Times New Roman" w:hAnsi="Times New Roman"/>
          <w:sz w:val="24"/>
          <w:szCs w:val="24"/>
        </w:rPr>
        <w:t xml:space="preserve">O nascimento de Ana Clara Pereira dos Santos, ocorrido em 11 de fevereiro de 2026, constitui o fato gerador do salário-maternidade previsto no art. 71 da Lei nº 8.213/1991, benefício assegurado constitucionalmente pelo art. 7º, XVIII, da Constituição Federal de 1988. Na data do parto, a autora se encontrava no pleno exercício da atividade rural em regime de economia familiar, na condição de segurada especial, conforme declarado e documentalmente amparado pelos elementos que instruem a presente ação.</w:t>
      </w:r>
    </w:p>
    <w:p>
      <w:pPr>
        <w:keepLines/>
        <w:widowControl/>
        <w:spacing w:after="160" w:line="360" w:lineRule="auto"/>
        <w:ind w:firstLine="709"/>
        <w:jc w:val="both"/>
      </w:pPr>
      <w:r>
        <w:rPr>
          <w:rFonts w:ascii="Times New Roman" w:cs="Times New Roman" w:eastAsia="Times New Roman" w:hAnsi="Times New Roman"/>
          <w:sz w:val="24"/>
          <w:szCs w:val="24"/>
        </w:rPr>
        <w:t xml:space="preserve">O requerimento administrativo foi apresentado em 25 de fevereiro de 2026 — apenas catorze dias após o nascimento —, demonstrando a diligência da requerente na busca pela proteção previdenciária a que faz jus. Contudo, em 14 de abril de 2026, o INSS indeferiu o benefício sob o genérico fundamento de que os elementos apresentados seriam insuficientes para comprovar a qualidade de segurada especial na data do fato gerador.</w:t>
      </w:r>
    </w:p>
    <w:p>
      <w:pPr>
        <w:keepLines/>
        <w:widowControl/>
        <w:spacing w:after="160" w:line="360" w:lineRule="auto"/>
        <w:ind w:firstLine="709"/>
        <w:jc w:val="both"/>
      </w:pPr>
      <w:r>
        <w:rPr>
          <w:rFonts w:ascii="Times New Roman" w:cs="Times New Roman" w:eastAsia="Times New Roman" w:hAnsi="Times New Roman"/>
          <w:sz w:val="24"/>
          <w:szCs w:val="24"/>
        </w:rPr>
        <w:t xml:space="preserve">A decisão administrativa merece ser revista. O entendimento consolidado na jurisprudência previdenciária é de que a prova da condição de segurada especial não exige documentação exaustiva e irrefutável, mas, sim, início de prova material contemporânea aos fatos, passível de complementação por prova testemunhal. A autora apresenta documentos que, analisados em conjunto — conforme determinam o art. 55, §3º, da Lei nº 8.213/1991 e a Súmula nº 14 da TNU —, são aptos a demonstrar o exercício contínuo da atividade agrícola em regime de economia familiar no período declarado. A recusa da autarquia em proceder a essa análise conjunta e contextualizada vulnera o princípio da proteção social e impõe à segurada o indevido ônus de socorrer-se do Poder Judiciário para ver reconhecido direito legalmente assegurado.</w:t>
      </w:r>
    </w:p>
    <w:p>
      <w:pPr>
        <w:keepLines/>
        <w:widowControl/>
        <w:spacing w:after="160" w:line="360" w:lineRule="auto"/>
        <w:ind w:firstLine="709"/>
        <w:jc w:val="both"/>
      </w:pPr>
      <w:r>
        <w:rPr>
          <w:rFonts w:ascii="Times New Roman" w:cs="Times New Roman" w:eastAsia="Times New Roman" w:hAnsi="Times New Roman"/>
          <w:sz w:val="24"/>
          <w:szCs w:val="24"/>
        </w:rPr>
        <w:t xml:space="preserve">Nesse contexto, a autora apresenta ao juízo o conjunto probatório que sustenta sua pretensão, composto por documentos e prova testemunhal, cuja apreciação harmônica e integrada revela, com suficiência, a qualidade de segurada especial na data do nascimento de sua filha.</w:t>
      </w:r>
    </w:p>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IV – DAS PROVAS JUNTADAS AOS AUTOS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
        <w:gridCol w:w="8527"/>
      </w:tblGrid>
      <w:tr>
        <w:trPr>
          <w:cantSplit/>
        </w:trPr>
        <w:tc>
          <w:tcPr>
            <w:tcW w:type="dxa" w:w="544"/>
            <w:tcBorders>
              <w:top w:val="single" w:color="E5E7EB" w:sz="2"/>
              <w:left w:val="single" w:color="E5E7EB" w:sz="2"/>
              <w:bottom w:val="single" w:color="E5E7EB" w:sz="2"/>
              <w:right w:val="single" w:color="E5E7EB" w:sz="2"/>
            </w:tcBorders>
            <w:shd w:fill="F5F5F5"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5F5F5" w:color="auto" w:val="clear"/>
          </w:tcPr>
          <w:p>
            <w:pPr>
              <w:keepNext/>
              <w:keepLines/>
              <w:spacing w:after="60" w:before="60"/>
            </w:pPr>
            <w:r>
              <w:rPr>
                <w:rFonts w:ascii="Times New Roman" w:cs="Times New Roman" w:eastAsia="Times New Roman" w:hAnsi="Times New Roman"/>
                <w:b/>
                <w:bCs/>
                <w:sz w:val="22"/>
                <w:szCs w:val="22"/>
              </w:rPr>
              <w:t xml:space="preserve">Certidão eleitoral (endereço rural)</w:t>
            </w:r>
            <w:r>
              <w:rPr>
                <w:rFonts w:ascii="Times New Roman" w:cs="Times New Roman" w:eastAsia="Times New Roman" w:hAnsi="Times New Roman"/>
                <w:sz w:val="22"/>
                <w:szCs w:val="22"/>
              </w:rPr>
              <w:t xml:space="preserve"> — constitui início de prova material da residência da autora em zona rural, corroborando o exercício da atividade agrícola no domicílio declarado</w:t>
            </w:r>
          </w:p>
        </w:tc>
      </w:tr>
      <w:tr>
        <w:trPr>
          <w:cantSplit/>
        </w:trPr>
        <w:tc>
          <w:tcPr>
            <w:tcW w:type="dxa" w:w="544"/>
            <w:tcBorders>
              <w:top w:val="single" w:color="E5E7EB" w:sz="2"/>
              <w:left w:val="single" w:color="E5E7EB" w:sz="2"/>
              <w:bottom w:val="single" w:color="E5E7EB" w:sz="2"/>
              <w:right w:val="single" w:color="E5E7EB" w:sz="2"/>
            </w:tcBorders>
            <w:shd w:fill="FFFFFF"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FFFFF" w:color="auto" w:val="clear"/>
          </w:tcPr>
          <w:p>
            <w:pPr>
              <w:keepNext/>
              <w:keepLines/>
              <w:spacing w:after="60" w:before="60"/>
            </w:pPr>
            <w:r>
              <w:rPr>
                <w:rFonts w:ascii="Times New Roman" w:cs="Times New Roman" w:eastAsia="Times New Roman" w:hAnsi="Times New Roman"/>
                <w:b/>
                <w:bCs/>
                <w:sz w:val="22"/>
                <w:szCs w:val="22"/>
              </w:rPr>
              <w:t xml:space="preserve">Autodeclaração de segurado especial (art. 38-B, §2º, Lei 8.213/91)</w:t>
            </w:r>
            <w:r>
              <w:rPr>
                <w:rFonts w:ascii="Times New Roman" w:cs="Times New Roman" w:eastAsia="Times New Roman" w:hAnsi="Times New Roman"/>
                <w:sz w:val="22"/>
                <w:szCs w:val="22"/>
              </w:rPr>
              <w:t xml:space="preserve"> — declara formalmente o exercício de atividade rural em regime de economia familiar no período de março de 2021 a fevereiro de 2026, com valor probatório expressamente reconhecido pela lei previdenciária</w:t>
            </w:r>
          </w:p>
        </w:tc>
      </w:tr>
      <w:tr>
        <w:trPr>
          <w:cantSplit/>
        </w:trPr>
        <w:tc>
          <w:tcPr>
            <w:tcW w:type="dxa" w:w="544"/>
            <w:tcBorders>
              <w:top w:val="single" w:color="E5E7EB" w:sz="2"/>
              <w:left w:val="single" w:color="E5E7EB" w:sz="2"/>
              <w:bottom w:val="single" w:color="E5E7EB" w:sz="2"/>
              <w:right w:val="single" w:color="E5E7EB" w:sz="2"/>
            </w:tcBorders>
            <w:shd w:fill="F5F5F5"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5F5F5" w:color="auto" w:val="clear"/>
          </w:tcPr>
          <w:p>
            <w:pPr>
              <w:keepNext/>
              <w:keepLines/>
              <w:spacing w:after="60" w:before="60"/>
            </w:pPr>
            <w:r>
              <w:rPr>
                <w:rFonts w:ascii="Times New Roman" w:cs="Times New Roman" w:eastAsia="Times New Roman" w:hAnsi="Times New Roman"/>
                <w:b/>
                <w:bCs/>
                <w:sz w:val="22"/>
                <w:szCs w:val="22"/>
              </w:rPr>
              <w:t xml:space="preserve">Declaração de associação de moradores</w:t>
            </w:r>
            <w:r>
              <w:rPr>
                <w:rFonts w:ascii="Times New Roman" w:cs="Times New Roman" w:eastAsia="Times New Roman" w:hAnsi="Times New Roman"/>
                <w:sz w:val="22"/>
                <w:szCs w:val="22"/>
              </w:rPr>
              <w:t xml:space="preserve"> — prova complementar que atesta o vínculo da autora com a comunidade rural de Lago do Junco/MA e o exercício de atividades agropastoris no núcleo familiar</w:t>
            </w:r>
          </w:p>
        </w:tc>
      </w:tr>
      <w:tr>
        <w:trPr>
          <w:cantSplit/>
        </w:trPr>
        <w:tc>
          <w:tcPr>
            <w:tcW w:type="dxa" w:w="544"/>
            <w:tcBorders>
              <w:top w:val="single" w:color="E5E7EB" w:sz="2"/>
              <w:left w:val="single" w:color="E5E7EB" w:sz="2"/>
              <w:bottom w:val="single" w:color="E5E7EB" w:sz="2"/>
              <w:right w:val="single" w:color="E5E7EB" w:sz="2"/>
            </w:tcBorders>
            <w:shd w:fill="FFFFFF"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FFFFF" w:color="auto" w:val="clear"/>
          </w:tcPr>
          <w:p>
            <w:pPr>
              <w:keepNext/>
              <w:keepLines/>
              <w:spacing w:after="60" w:before="60"/>
            </w:pPr>
            <w:r>
              <w:rPr>
                <w:rFonts w:ascii="Times New Roman" w:cs="Times New Roman" w:eastAsia="Times New Roman" w:hAnsi="Times New Roman"/>
                <w:b/>
                <w:bCs/>
                <w:sz w:val="22"/>
                <w:szCs w:val="22"/>
              </w:rPr>
              <w:t xml:space="preserve">Contrato de arrendamento ou parceria rural</w:t>
            </w:r>
            <w:r>
              <w:rPr>
                <w:rFonts w:ascii="Times New Roman" w:cs="Times New Roman" w:eastAsia="Times New Roman" w:hAnsi="Times New Roman"/>
                <w:sz w:val="22"/>
                <w:szCs w:val="22"/>
              </w:rPr>
              <w:t xml:space="preserve"> — demonstra o vínculo jurídico da autora com a terra e o exercício da atividade agrícola em regime de economia familiar, configurando início de prova material do período rural declarado</w:t>
            </w:r>
          </w:p>
        </w:tc>
      </w:tr>
      <w:tr>
        <w:trPr>
          <w:cantSplit/>
        </w:trPr>
        <w:tc>
          <w:tcPr>
            <w:tcW w:type="dxa" w:w="544"/>
            <w:tcBorders>
              <w:top w:val="single" w:color="E5E7EB" w:sz="2"/>
              <w:left w:val="single" w:color="E5E7EB" w:sz="2"/>
              <w:bottom w:val="single" w:color="E5E7EB" w:sz="2"/>
              <w:right w:val="single" w:color="E5E7EB" w:sz="2"/>
            </w:tcBorders>
            <w:shd w:fill="F5F5F5"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5F5F5" w:color="auto" w:val="clear"/>
          </w:tcPr>
          <w:p>
            <w:pPr>
              <w:keepNext/>
              <w:keepLines/>
              <w:spacing w:after="60" w:before="60"/>
            </w:pPr>
            <w:r>
              <w:rPr>
                <w:rFonts w:ascii="Times New Roman" w:cs="Times New Roman" w:eastAsia="Times New Roman" w:hAnsi="Times New Roman"/>
                <w:b/>
                <w:bCs/>
                <w:sz w:val="22"/>
                <w:szCs w:val="22"/>
              </w:rPr>
              <w:t xml:space="preserve">Notas de venda de produtos rurais</w:t>
            </w:r>
            <w:r>
              <w:rPr>
                <w:rFonts w:ascii="Times New Roman" w:cs="Times New Roman" w:eastAsia="Times New Roman" w:hAnsi="Times New Roman"/>
                <w:sz w:val="22"/>
                <w:szCs w:val="22"/>
              </w:rPr>
              <w:t xml:space="preserve"> — comprovam a comercialização da produção agrícola, evidenciando o caráter habitual e permanente da atividade rural exercida pela autora e o enquadramento como segurada especial</w:t>
            </w:r>
          </w:p>
        </w:tc>
      </w:tr>
      <w:tr>
        <w:trPr>
          <w:cantSplit/>
        </w:trPr>
        <w:tc>
          <w:tcPr>
            <w:tcW w:type="dxa" w:w="544"/>
            <w:tcBorders>
              <w:top w:val="single" w:color="E5E7EB" w:sz="2"/>
              <w:left w:val="single" w:color="E5E7EB" w:sz="2"/>
              <w:bottom w:val="single" w:color="E5E7EB" w:sz="2"/>
              <w:right w:val="single" w:color="E5E7EB" w:sz="2"/>
            </w:tcBorders>
            <w:shd w:fill="FFFFFF"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FFFFF" w:color="auto" w:val="clear"/>
          </w:tcPr>
          <w:p>
            <w:pPr>
              <w:keepNext/>
              <w:keepLines/>
              <w:spacing w:after="60" w:before="60"/>
            </w:pPr>
            <w:r>
              <w:rPr>
                <w:rFonts w:ascii="Times New Roman" w:cs="Times New Roman" w:eastAsia="Times New Roman" w:hAnsi="Times New Roman"/>
                <w:b/>
                <w:bCs/>
                <w:sz w:val="22"/>
                <w:szCs w:val="22"/>
              </w:rPr>
              <w:t xml:space="preserve">Fotos de atividade agrícola</w:t>
            </w:r>
            <w:r>
              <w:rPr>
                <w:rFonts w:ascii="Times New Roman" w:cs="Times New Roman" w:eastAsia="Times New Roman" w:hAnsi="Times New Roman"/>
                <w:sz w:val="22"/>
                <w:szCs w:val="22"/>
              </w:rPr>
              <w:t xml:space="preserve"> — prova complementar que ilustra o exercício concreto das atividades de plantio e criação, reforçando os demais elementos documentais apresentados</w:t>
            </w:r>
          </w:p>
        </w:tc>
      </w:tr>
      <w:tr>
        <w:trPr>
          <w:cantSplit/>
        </w:trPr>
        <w:tc>
          <w:tcPr>
            <w:tcW w:type="dxa" w:w="544"/>
            <w:tcBorders>
              <w:top w:val="single" w:color="E5E7EB" w:sz="2"/>
              <w:left w:val="single" w:color="E5E7EB" w:sz="2"/>
              <w:bottom w:val="single" w:color="E5E7EB" w:sz="2"/>
              <w:right w:val="single" w:color="E5E7EB" w:sz="2"/>
            </w:tcBorders>
            <w:shd w:fill="F5F5F5" w:color="auto" w:val="clear"/>
            <w:vAlign w:val="center"/>
          </w:tcPr>
          <w:p>
            <w:pPr>
              <w:keepNext w:val="false"/>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5F5F5" w:color="auto" w:val="clear"/>
          </w:tcPr>
          <w:p>
            <w:pPr>
              <w:keepNext w:val="false"/>
              <w:keepLines/>
              <w:spacing w:after="60" w:before="60"/>
            </w:pPr>
            <w:r>
              <w:rPr>
                <w:rFonts w:ascii="Times New Roman" w:cs="Times New Roman" w:eastAsia="Times New Roman" w:hAnsi="Times New Roman"/>
                <w:b/>
                <w:bCs/>
                <w:sz w:val="22"/>
                <w:szCs w:val="22"/>
              </w:rPr>
              <w:t xml:space="preserve">Testemunhas disponíveis</w:t>
            </w:r>
            <w:r>
              <w:rPr>
                <w:rFonts w:ascii="Times New Roman" w:cs="Times New Roman" w:eastAsia="Times New Roman" w:hAnsi="Times New Roman"/>
                <w:sz w:val="22"/>
                <w:szCs w:val="22"/>
              </w:rPr>
              <w:t xml:space="preserve"> — prova oral apta a complementar o início de prova material, nos termos do art. 55, §3º, da Lei nº 8.213/1991 e da Súmula nº 14 da TNU, confirmando o exercício contínuo da atividade rural em regime de economia familiar</w:t>
            </w:r>
          </w:p>
        </w:tc>
      </w:tr>
    </w:tbl>
    <w:p>
      <w:pPr>
        <w:keepLines/>
        <w:widowControl/>
        <w:spacing w:after="160" w:before="160" w:line="360" w:lineRule="auto"/>
        <w:ind w:firstLine="709"/>
        <w:jc w:val="both"/>
      </w:pPr>
      <w:r>
        <w:rPr>
          <w:rFonts w:ascii="Times New Roman" w:cs="Times New Roman" w:eastAsia="Times New Roman" w:hAnsi="Times New Roman"/>
          <w:sz w:val="24"/>
          <w:szCs w:val="24"/>
        </w:rPr>
        <w:t xml:space="preserve">O conjunto probatório ora apresentado demonstra, com suficiência, o preenchimento dos requisitos legais para a concessão do salário-maternidade na condição de segurada especial. A certidão eleitoral com endereço rural, o contrato de arrendamento ou parceria rural e as notas de venda de produtos rurais funcionam como início de prova material contemporânea ao período declarado — exigência assentada na Súmula nº 14 da TNU e no art. 55, §3º, da Lei nº 8.213/1991 —, ao passo que a autodeclaração de segurado especial, prevista no art. 38-B, §2º, da mesma lei, integra formalmente o quadro probatório com valor legalmente reconhecido. A declaração de associação de moradores e as fotografias da atividade agrícola reforçam, de forma complementar, o exercício habitual e permanente do labor rural em regime de economia familiar em Lago do Junco/MA, sem a utilização de empregados permanentes, tal como exige o art. 11, VII, da Lei nº 8.213/1991. A prova testemunhal, por sua vez, é admitida pela jurisprudência consolidada do STJ, dos Tribunais Regionais Federais e da TNU como meio legítimo de complementação do início de prova material, de modo que a análise integrada e contextualizada de todos esses elementos afasta a motivação genérica adotada pelo INSS no indeferimento administrativo e evidencia o pleno enquadramento da autora como segurada especial na data do nascimento de sua filha Ana Clara Pereira dos Santos, fato gerador do benefício ora pleiteado.</w:t>
      </w:r>
    </w:p>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V – FUNDAMENTAÇÃO JURÍDICA</w:t>
      </w:r>
    </w:p>
    <w:p>
      <w:pPr>
        <w:keepLines/>
        <w:widowControl/>
        <w:spacing w:after="160" w:line="360" w:lineRule="auto"/>
        <w:ind w:firstLine="709"/>
        <w:jc w:val="both"/>
      </w:pPr>
      <w:r>
        <w:rPr>
          <w:rFonts w:ascii="Times New Roman" w:cs="Times New Roman" w:eastAsia="Times New Roman" w:hAnsi="Times New Roman"/>
          <w:sz w:val="24"/>
          <w:szCs w:val="24"/>
        </w:rPr>
        <w:t xml:space="preserve">O salário-maternidade é direito fundamental assegurado pelo art. 7º, XVIII, da Constituição Federal de 1988, que garante à trabalhadora a licença à gestante, sem prejuízo do emprego e do salário, pelo prazo mínimo de cento e vinte dias. No plano infraconstitucional, o art. 71 da Lei nº 8.213/1991 disciplina o benefício, fixando o prazo de cento e vinte dias de pagamento, e o art. 39, parágrafo único, da mesma lei estende expressamente o salário-maternidade à segurada especial, calculado sobre o valor de um salário mínimo, dispensando contribuições vertidas ao Regime Geral de Previdência Social e exigindo, tão somente, a comprovação do exercício de atividade rural, ainda que de forma descontínua, pelo período equivalente à carência prevista para o benefício — dez meses imediatamente anteriores ao parto, nos termos do art. 93, §3º, do Decreto nº 3.048/1999.</w:t>
      </w:r>
    </w:p>
    <w:p>
      <w:pPr>
        <w:keepLines/>
        <w:widowControl/>
        <w:spacing w:after="160" w:line="360" w:lineRule="auto"/>
        <w:ind w:firstLine="709"/>
        <w:jc w:val="both"/>
      </w:pPr>
      <w:r>
        <w:rPr>
          <w:rFonts w:ascii="Times New Roman" w:cs="Times New Roman" w:eastAsia="Times New Roman" w:hAnsi="Times New Roman"/>
          <w:sz w:val="24"/>
          <w:szCs w:val="24"/>
        </w:rPr>
        <w:t xml:space="preserve">A segurada especial está definida no art. 11, VII, da Lei nº 8.213/1991 como a pessoa que exerce atividade agropecuária, pesqueira ou extrativista em regime de economia familiar, sem empregados permanentes, em condições de mútua dependência e colaboração entre os membros do grupo familiar. A autora enquadra-se precisamente nessa categoria: exerce, desde março de 2021, atividade agrícola em Lago do Junco/MA, em regime de economia familiar, juntamente com seus pais e companheiro, sem a utilização de empregados permanentes, conforme fartamente documentado nos autos. O período declarado de março de 2021 a fevereiro de 2026 — correspondente a aproximadamente 4 anos e 11 meses — supera com larga margem a carência mínima de dez meses exigida pela lei, de modo que o requisito temporal está inegavelmente preenchido.</w:t>
      </w:r>
    </w:p>
    <w:p>
      <w:pPr>
        <w:keepLines/>
        <w:widowControl/>
        <w:spacing w:after="160" w:line="360" w:lineRule="auto"/>
        <w:ind w:firstLine="709"/>
        <w:jc w:val="both"/>
      </w:pPr>
      <w:r>
        <w:rPr>
          <w:rFonts w:ascii="Times New Roman" w:cs="Times New Roman" w:eastAsia="Times New Roman" w:hAnsi="Times New Roman"/>
          <w:sz w:val="24"/>
          <w:szCs w:val="24"/>
        </w:rPr>
        <w:t xml:space="preserve">No que tange à prova da condição de segurada especial, o art. 55, §3º, da Lei nº 8.213/1991 exige início de prova material, não se admitindo prova exclusivamente testemunhal, salvo na ocorrência de motivo de força maior ou caso fortuito. A jurisprudência, contudo, é assente no sentido de que esse início de prova material não precisa ser robusto nem exaustivo — basta que seja contemporâneo ao período declarado e apto a indicar, ainda que de forma indireta, o exercício da atividade rural. Nessa linha, a Súmula nº 14 da Turma Nacional de Uniformização dos Juizados Especiais Federais consagra que "para a concessão de aposentadoria rural por idade, não se exige que o início de prova material corresponda a todo o período equivalente à carência do benefício", orientação igualmente aplicável ao salário-maternidade da segurada especial por identidade de razão. A jurisprudência do STJ, dos TRFs e da TNU é firme no sentido de que a prova material contemporânea, ainda que escassa, pode ser complementada por prova testemunhal.</w:t>
      </w:r>
    </w:p>
    <w:p>
      <w:pPr>
        <w:keepLines/>
        <w:widowControl/>
        <w:spacing w:after="160" w:line="360" w:lineRule="auto"/>
        <w:ind w:firstLine="709"/>
        <w:jc w:val="both"/>
      </w:pPr>
      <w:r>
        <w:rPr>
          <w:rFonts w:ascii="Times New Roman" w:cs="Times New Roman" w:eastAsia="Times New Roman" w:hAnsi="Times New Roman"/>
          <w:sz w:val="24"/>
          <w:szCs w:val="24"/>
        </w:rPr>
        <w:t xml:space="preserve">Além disso, o princípio da análise conjunta dos documentos — positivado no art. 55, §3º, da Lei nº 8.213/1991 e reiteradamente afirmado pela jurisprudência — impõe que os documentos apresentados sejam apreciados em seu conjunto e não isoladamente. A certidão eleitoral com endereço rural, o contrato de arrendamento ou parceria rural, as notas de venda de produtos rurais, a declaração de associação de moradores, a autodeclaração de segurado especial e as fotografias da atividade agrícola, somados à prova testemunhal a ser produzida em audiência, formam um acervo probatório coeso e suficiente para demonstrar o exercício habitual da atividade rural em regime de economia familiar durante todo o período declarado. A autodeclaração de segurado especial, em particular, possui valor probatório expressamente reconhecido pelo art. 38-B, §2º, da Lei nº 8.213/1991, introduzido pela Lei nº 13.846/2019, não podendo ser desconsiderada pela autarquia sem motivação específica e fundamentada.</w:t>
      </w:r>
    </w:p>
    <w:p>
      <w:pPr>
        <w:keepLines/>
        <w:widowControl/>
        <w:spacing w:after="160" w:line="360" w:lineRule="auto"/>
        <w:ind w:firstLine="709"/>
        <w:jc w:val="both"/>
      </w:pPr>
      <w:r>
        <w:rPr>
          <w:rFonts w:ascii="Times New Roman" w:cs="Times New Roman" w:eastAsia="Times New Roman" w:hAnsi="Times New Roman"/>
          <w:sz w:val="24"/>
          <w:szCs w:val="24"/>
        </w:rPr>
        <w:t xml:space="preserve">O Supremo Tribunal Federal, nas ADIs 2.110 e 2.111 (j. 28/03/2024), reafirmou a proteção à maternidade como valor constitucional de especial envergadura, reconhecendo a imperatividade das normas que asseguram o salário-maternidade e vedando interpretações restritivas que esvaziem a proteção conferida à trabalhadora no período gravídico-puerperal. Esse entendimento reforça a necessidade de interpretação sistemática e teleológica das normas previdenciárias aplicáveis à segurada especial, em consonância com o princípio da máxima efetividade dos direitos fundamentais sociais. O indeferimento administrativo calcado em motivação genérica — "ausência de elementos suficientes" —, sem análise individualizada e contextualizada dos documentos apresentados, contraria frontalmente essa orientação e legitima a intervenção judicial para a proteção do direito da autora.</w:t>
      </w:r>
    </w:p>
    <w:p>
      <w:pPr>
        <w:keepLines/>
        <w:widowControl/>
        <w:spacing w:after="160" w:line="360" w:lineRule="auto"/>
        <w:ind w:firstLine="709"/>
        <w:jc w:val="both"/>
      </w:pPr>
      <w:r>
        <w:rPr>
          <w:rFonts w:ascii="Times New Roman" w:cs="Times New Roman" w:eastAsia="Times New Roman" w:hAnsi="Times New Roman"/>
          <w:sz w:val="24"/>
          <w:szCs w:val="24"/>
        </w:rPr>
        <w:t xml:space="preserve">Presentes, portanto, todos os requisitos legais: a qualidade de segurada especial de Raimunda Alves Pereira na data do fato gerador (11 de fevereiro de 2026), o cumprimento da carência de dez meses anteriores ao parto e o nascimento com vida de Ana Clara Pereira dos Santos, impõe-se a concessão do salário-maternidade no valor de um salário mínimo mensal — R$ 1.621,00 (um mil, seiscentos e vinte e um reais), vigente desde 1º de janeiro de 2026 —, pelo prazo de cento e vinte dias, a contar da data legalmente devida, com as atualizações monetárias e os acréscimos legais aplicáveis, nos termos do Manual de Cálculos da Justiça Federal e da EC nº 113/2021, que determina a incidência da taxa SELIC como índice único de atualização monetária e juros de mora a partir de dezembro de 2021.</w:t>
      </w:r>
    </w:p>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VI – PEDIDO / REQUERIMENTOS</w:t>
      </w:r>
    </w:p>
    <w:p>
      <w:pPr>
        <w:keepLines/>
        <w:widowControl/>
        <w:spacing w:after="160" w:line="360" w:lineRule="auto"/>
        <w:jc w:val="both"/>
      </w:pPr>
      <w:r>
        <w:rPr>
          <w:rFonts w:ascii="Times New Roman" w:cs="Times New Roman" w:eastAsia="Times New Roman" w:hAnsi="Times New Roman"/>
          <w:sz w:val="24"/>
          <w:szCs w:val="24"/>
        </w:rPr>
        <w:t xml:space="preserve">Diante do exposto, requer:</w:t>
      </w:r>
    </w:p>
    <w:p>
      <w:pPr>
        <w:keepLines/>
        <w:widowControl/>
        <w:spacing w:after="120" w:line="360" w:lineRule="auto"/>
        <w:jc w:val="both"/>
      </w:pPr>
      <w:r>
        <w:rPr>
          <w:rFonts w:ascii="Times New Roman" w:cs="Times New Roman" w:eastAsia="Times New Roman" w:hAnsi="Times New Roman"/>
          <w:sz w:val="24"/>
          <w:szCs w:val="24"/>
        </w:rPr>
        <w:t xml:space="preserve">i. Que todas as comunicações e intimações processuais sejam dirigidas aos advogados signatários da presente, nos termos do art. 272, §5º, do Código de Processo Civil;</w:t>
      </w:r>
    </w:p>
    <w:p>
      <w:pPr>
        <w:keepLines/>
        <w:widowControl/>
        <w:spacing w:after="120" w:line="360" w:lineRule="auto"/>
        <w:jc w:val="both"/>
      </w:pPr>
      <w:r>
        <w:rPr>
          <w:rFonts w:ascii="Times New Roman" w:cs="Times New Roman" w:eastAsia="Times New Roman" w:hAnsi="Times New Roman"/>
          <w:sz w:val="24"/>
          <w:szCs w:val="24"/>
        </w:rPr>
        <w:t xml:space="preserve">ii. A procedência do pedido, com a condenação do INSS a conceder o benefício de salário-maternidade em favor de Raimunda Alves Pereira, na condição de segurada especial, em razão do nascimento de Ana Clara Pereira dos Santos, ocorrido em 11 de fevereiro de 2026, pelo prazo de 120 (cento e vinte) dias, no valor de um salário mínimo mensal (R$ 1.621,00), a contar da data legalmente devida;</w:t>
      </w:r>
    </w:p>
    <w:p>
      <w:pPr>
        <w:keepLines/>
        <w:widowControl/>
        <w:spacing w:after="120" w:line="360" w:lineRule="auto"/>
        <w:jc w:val="both"/>
      </w:pPr>
      <w:r>
        <w:rPr>
          <w:rFonts w:ascii="Times New Roman" w:cs="Times New Roman" w:eastAsia="Times New Roman" w:hAnsi="Times New Roman"/>
          <w:sz w:val="24"/>
          <w:szCs w:val="24"/>
        </w:rPr>
        <w:t xml:space="preserve">iii. A averbação do período de atividade rural no CNIS da autora, compreendendo o intervalo de março de 2021 a fevereiro de 2026, reconhecido na condição de segurada especial, para todos os fins previdenciários pertinentes;</w:t>
      </w:r>
    </w:p>
    <w:p>
      <w:pPr>
        <w:keepLines/>
        <w:widowControl/>
        <w:spacing w:after="120" w:line="360" w:lineRule="auto"/>
        <w:jc w:val="both"/>
      </w:pPr>
      <w:r>
        <w:rPr>
          <w:rFonts w:ascii="Times New Roman" w:cs="Times New Roman" w:eastAsia="Times New Roman" w:hAnsi="Times New Roman"/>
          <w:sz w:val="24"/>
          <w:szCs w:val="24"/>
        </w:rPr>
        <w:t xml:space="preserve">iv. A citação do Instituto Nacional do Seguro Social – INSS para apresentar contestação, bem como a juntada do Processo Administrativo correspondente ao NB 251.784.630-2, para instrução dos autos;</w:t>
      </w:r>
    </w:p>
    <w:p>
      <w:pPr>
        <w:keepLines/>
        <w:widowControl/>
        <w:spacing w:after="120" w:line="360" w:lineRule="auto"/>
        <w:jc w:val="both"/>
      </w:pPr>
      <w:r>
        <w:rPr>
          <w:rFonts w:ascii="Times New Roman" w:cs="Times New Roman" w:eastAsia="Times New Roman" w:hAnsi="Times New Roman"/>
          <w:sz w:val="24"/>
          <w:szCs w:val="24"/>
        </w:rPr>
        <w:t xml:space="preserve">v. O pagamento das parcelas vencidas e vincendas do benefício, devidamente atualizadas nos termos do Manual de Cálculos da Justiça Federal, com incidência da taxa SELIC a partir de dezembro de 2021, conforme art. 3º da Emenda Constitucional nº 113/2021;</w:t>
      </w:r>
    </w:p>
    <w:p>
      <w:pPr>
        <w:keepLines/>
        <w:widowControl/>
        <w:spacing w:after="120" w:line="360" w:lineRule="auto"/>
        <w:jc w:val="both"/>
      </w:pPr>
      <w:r>
        <w:rPr>
          <w:rFonts w:ascii="Times New Roman" w:cs="Times New Roman" w:eastAsia="Times New Roman" w:hAnsi="Times New Roman"/>
          <w:sz w:val="24"/>
          <w:szCs w:val="24"/>
        </w:rPr>
        <w:t xml:space="preserve">vi. A designação de audiência una de instrução e julgamento, com a oitiva da parte autora e das testemunhas que serão oportunamente arroladas, para fins de complementação da prova material já carreada aos autos;</w:t>
      </w:r>
    </w:p>
    <w:p>
      <w:pPr>
        <w:keepLines/>
        <w:widowControl/>
        <w:spacing w:after="120" w:line="360" w:lineRule="auto"/>
        <w:jc w:val="both"/>
      </w:pPr>
      <w:r>
        <w:rPr>
          <w:rFonts w:ascii="Times New Roman" w:cs="Times New Roman" w:eastAsia="Times New Roman" w:hAnsi="Times New Roman"/>
          <w:sz w:val="24"/>
          <w:szCs w:val="24"/>
        </w:rPr>
        <w:t xml:space="preserve">vii. A concessão dos benefícios da justiça gratuita, nos termos do art. 98 do Código de Processo Civil e do art. 5º, LXXIV, da Constituição Federal de 1988, ante a hipossuficiência econômica da autora, declarada nos termos da lei;</w:t>
      </w:r>
    </w:p>
    <w:p>
      <w:pPr>
        <w:keepLines/>
        <w:widowControl/>
        <w:spacing w:after="120" w:line="360" w:lineRule="auto"/>
        <w:jc w:val="both"/>
      </w:pPr>
      <w:r>
        <w:rPr>
          <w:rFonts w:ascii="Times New Roman" w:cs="Times New Roman" w:eastAsia="Times New Roman" w:hAnsi="Times New Roman"/>
          <w:sz w:val="24"/>
          <w:szCs w:val="24"/>
        </w:rPr>
        <w:t xml:space="preserve">viii. O destaque e pagamento dos honorários advocatícios contratuais, a serem levantados diretamente em favor do escritório patrono, nos termos do contrato de honorários firmado entre as partes, observado o percentual pactuado sobre o valor do benefício concedido.</w:t>
      </w:r>
    </w:p>
    <w:p>
      <w:pPr>
        <w:keepNext/>
        <w:keepLines/>
        <w:spacing w:after="80" w:before="200"/>
        <w:jc w:val="center"/>
      </w:pPr>
      <w:r>
        <w:rPr>
          <w:rFonts w:ascii="Times New Roman" w:cs="Times New Roman" w:eastAsia="Times New Roman" w:hAnsi="Times New Roman"/>
          <w:b/>
          <w:bCs/>
          <w:sz w:val="22"/>
          <w:szCs w:val="22"/>
        </w:rPr>
        <w:t xml:space="preserve">ANEXO – PLANILHA DE CÁLCULO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0"/>
        <w:gridCol w:w="5261"/>
      </w:tblGrid>
      <w:tr>
        <w:trPr>
          <w:cantSplit/>
          <w:tblHeader/>
        </w:trPr>
        <w:tc>
          <w:tcPr>
            <w:tcW w:type="dxa" w:w="9071"/>
            <w:gridSpan w:val="2"/>
            <w:tcBorders>
              <w:top w:val="none" w:color="FFFFFF" w:sz="0"/>
              <w:left w:val="none" w:color="FFFFFF" w:sz="0"/>
              <w:bottom w:val="none" w:color="FFFFFF" w:sz="0"/>
              <w:right w:val="none" w:color="FFFFFF" w:sz="0"/>
            </w:tcBorders>
            <w:shd w:fill="1A3A5C" w:color="auto" w:val="clear"/>
          </w:tcPr>
          <w:p>
            <w:pPr>
              <w:keepNext/>
              <w:spacing w:after="60" w:before="60"/>
              <w:jc w:val="center"/>
            </w:pPr>
            <w:r>
              <w:rPr>
                <w:rFonts w:ascii="Times New Roman" w:cs="Times New Roman" w:eastAsia="Times New Roman" w:hAnsi="Times New Roman"/>
                <w:b/>
                <w:bCs/>
                <w:color w:val="FFFFFF"/>
                <w:sz w:val="21"/>
                <w:szCs w:val="21"/>
              </w:rPr>
              <w:t xml:space="preserve">PLANILHA DE CÁLCULO</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1º Mês de benefício</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right"/>
            </w:pPr>
            <w:r>
              <w:rPr>
                <w:rFonts w:ascii="Times New Roman" w:cs="Times New Roman" w:eastAsia="Times New Roman" w:hAnsi="Times New Roman"/>
                <w:b w:val="false"/>
                <w:bCs w:val="false"/>
                <w:sz w:val="22"/>
                <w:szCs w:val="22"/>
              </w:rPr>
              <w:t xml:space="preserve">R$ 1.621,00</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2º Mês de benefício</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right"/>
            </w:pPr>
            <w:r>
              <w:rPr>
                <w:rFonts w:ascii="Times New Roman" w:cs="Times New Roman" w:eastAsia="Times New Roman" w:hAnsi="Times New Roman"/>
                <w:b w:val="false"/>
                <w:bCs w:val="false"/>
                <w:sz w:val="22"/>
                <w:szCs w:val="22"/>
              </w:rPr>
              <w:t xml:space="preserve">R$ 1.621,00</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3º Mês de benefício</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right"/>
            </w:pPr>
            <w:r>
              <w:rPr>
                <w:rFonts w:ascii="Times New Roman" w:cs="Times New Roman" w:eastAsia="Times New Roman" w:hAnsi="Times New Roman"/>
                <w:b w:val="false"/>
                <w:bCs w:val="false"/>
                <w:sz w:val="22"/>
                <w:szCs w:val="22"/>
              </w:rPr>
              <w:t xml:space="preserve">R$ 1.621,00</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4º Mês de benefício</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right"/>
            </w:pPr>
            <w:r>
              <w:rPr>
                <w:rFonts w:ascii="Times New Roman" w:cs="Times New Roman" w:eastAsia="Times New Roman" w:hAnsi="Times New Roman"/>
                <w:b w:val="false"/>
                <w:bCs w:val="false"/>
                <w:sz w:val="22"/>
                <w:szCs w:val="22"/>
              </w:rPr>
              <w:t xml:space="preserve">R$ 1.621,00</w:t>
            </w:r>
          </w:p>
        </w:tc>
      </w:tr>
      <w:tr>
        <w:trPr>
          <w:cantSplit/>
        </w:trPr>
        <w:tc>
          <w:tcPr>
            <w:tcW w:type="dxa" w:w="3810"/>
            <w:tcBorders>
              <w:top w:val="single" w:color="C5D0E0" w:sz="4"/>
              <w:left w:val="single" w:color="C5D0E0" w:sz="4"/>
              <w:bottom w:val="single" w:color="C5D0E0" w:sz="4"/>
              <w:right w:val="single" w:color="C5D0E0" w:sz="4"/>
            </w:tcBorders>
            <w:shd w:fill="C8A951" w:color="auto" w:val="clear"/>
          </w:tcPr>
          <w:p>
            <w:pPr>
              <w:keepNext/>
              <w:keepLines/>
            </w:pPr>
            <w:r>
              <w:rPr>
                <w:rFonts w:ascii="Times New Roman" w:cs="Times New Roman" w:eastAsia="Times New Roman" w:hAnsi="Times New Roman"/>
                <w:b/>
                <w:bCs/>
                <w:sz w:val="22"/>
                <w:szCs w:val="22"/>
              </w:rPr>
              <w:t xml:space="preserve">TOTAL</w:t>
            </w:r>
          </w:p>
        </w:tc>
        <w:tc>
          <w:tcPr>
            <w:tcW w:type="dxa" w:w="5261"/>
            <w:tcBorders>
              <w:top w:val="single" w:color="C5D0E0" w:sz="4"/>
              <w:left w:val="single" w:color="C5D0E0" w:sz="4"/>
              <w:bottom w:val="single" w:color="C5D0E0" w:sz="4"/>
              <w:right w:val="single" w:color="C5D0E0" w:sz="4"/>
            </w:tcBorders>
            <w:shd w:fill="C8A951" w:color="auto" w:val="clear"/>
          </w:tcPr>
          <w:p>
            <w:pPr>
              <w:keepNext/>
              <w:keepLines/>
              <w:jc w:val="right"/>
            </w:pPr>
            <w:r>
              <w:rPr>
                <w:rFonts w:ascii="Times New Roman" w:cs="Times New Roman" w:eastAsia="Times New Roman" w:hAnsi="Times New Roman"/>
                <w:b/>
                <w:bCs/>
                <w:sz w:val="22"/>
                <w:szCs w:val="22"/>
              </w:rPr>
              <w:t xml:space="preserve">R$ 6.484,00</w:t>
            </w:r>
          </w:p>
        </w:tc>
      </w:tr>
    </w:tbl>
    <w:p>
      <w:pPr>
        <w:keepNext/>
        <w:keepLines/>
        <w:spacing w:before="160"/>
        <w:jc w:val="center"/>
      </w:pPr>
      <w:r>
        <w:rPr>
          <w:rFonts w:ascii="Times New Roman" w:cs="Times New Roman" w:eastAsia="Times New Roman" w:hAnsi="Times New Roman"/>
          <w:i/>
          <w:iCs/>
          <w:color w:val="555555"/>
          <w:sz w:val="19"/>
          <w:szCs w:val="19"/>
        </w:rPr>
        <w:t xml:space="preserve">Referência do valor: salário mínimo vigente desde 01/01/2026 (data do parto/fato gerador); quantia devida por fato gerador (cada nascimento)</w:t>
      </w:r>
    </w:p>
    <w:p>
      <w:pPr>
        <w:keepLines/>
        <w:spacing w:before="160"/>
        <w:jc w:val="center"/>
      </w:pPr>
      <w:r>
        <w:rPr>
          <w:rFonts w:ascii="Times New Roman" w:cs="Times New Roman" w:eastAsia="Times New Roman" w:hAnsi="Times New Roman"/>
          <w:color w:val="888888"/>
          <w:sz w:val="16"/>
          <w:szCs w:val="16"/>
        </w:rPr>
        <w:t xml:space="preserve">Documento gerado em 30 de setembro de 2026 pela plataforma Marple</w:t>
      </w:r>
    </w:p>
    <w:p>
      <w:pPr>
        <w:keepNext/>
        <w:keepLines/>
        <w:widowControl/>
        <w:spacing w:after="160" w:line="360" w:lineRule="auto"/>
        <w:ind w:firstLine="709"/>
        <w:jc w:val="both"/>
      </w:pPr>
      <w:r>
        <w:rPr>
          <w:rFonts w:ascii="Times New Roman" w:cs="Times New Roman" w:eastAsia="Times New Roman" w:hAnsi="Times New Roman"/>
          <w:sz w:val="24"/>
          <w:szCs w:val="24"/>
        </w:rPr>
        <w:t xml:space="preserve">Protesta o alegado por todos os meios admitidos em direito, especialmente o depoimento pessoal da parte autora e das testemunhas que comparecerão em audiência, independente de intimação.</w:t>
      </w:r>
    </w:p>
    <w:p>
      <w:pPr>
        <w:keepNext/>
        <w:keepLines/>
        <w:widowControl/>
        <w:spacing w:after="160" w:line="360" w:lineRule="auto"/>
        <w:ind w:firstLine="709"/>
        <w:jc w:val="both"/>
      </w:pPr>
      <w:r>
        <w:rPr>
          <w:rFonts w:ascii="Times New Roman" w:cs="Times New Roman" w:eastAsia="Times New Roman" w:hAnsi="Times New Roman"/>
          <w:sz w:val="24"/>
          <w:szCs w:val="24"/>
        </w:rPr>
        <w:t xml:space="preserve">Dá-se à causa o valor de R$ 6.484,00 (seis mil, quatrocentos e oitenta e quatro reais), renunciando-se a eventual excedente da alçada do Juizado Especial Federal, especificamente para fins de fixação da competência.</w:t>
      </w:r>
    </w:p>
    <w:p>
      <w:pPr>
        <w:keepNext/>
        <w:keepLines/>
        <w:widowControl/>
        <w:spacing w:after="160" w:line="360" w:lineRule="auto"/>
        <w:ind w:firstLine="709"/>
        <w:jc w:val="both"/>
      </w:pPr>
      <w:r>
        <w:rPr>
          <w:rFonts w:ascii="Times New Roman" w:cs="Times New Roman" w:eastAsia="Times New Roman" w:hAnsi="Times New Roman"/>
          <w:sz w:val="24"/>
          <w:szCs w:val="24"/>
        </w:rPr>
        <w:t xml:space="preserve">Termos em que, pede e espera deferimento.</w:t>
      </w:r>
    </w:p>
    <w:p>
      <w:pPr>
        <w:keepNext/>
        <w:keepLines/>
        <w:spacing w:after="0" w:before="200"/>
        <w:jc w:val="center"/>
      </w:pPr>
      <w:r>
        <w:rPr>
          <w:rFonts w:ascii="Times New Roman" w:cs="Times New Roman" w:eastAsia="Times New Roman" w:hAnsi="Times New Roman"/>
          <w:sz w:val="24"/>
          <w:szCs w:val="24"/>
        </w:rPr>
        <w:t xml:space="preserve">São Luís/MA, 30 de setembro de 2026.</w:t>
      </w:r>
    </w:p>
    <w:p>
      <w:pPr>
        <w:keepNext/>
        <w:keepLines/>
        <w:spacing w:before="1417"/>
        <w:jc w:val="center"/>
      </w:pPr>
      <w:r>
        <w:rPr>
          <w:rFonts w:ascii="Times New Roman" w:cs="Times New Roman" w:eastAsia="Times New Roman" w:hAnsi="Times New Roman"/>
          <w:sz w:val="24"/>
          <w:szCs w:val="24"/>
        </w:rPr>
        <w:t xml:space="preserve">_______________________________</w:t>
      </w:r>
    </w:p>
    <w:p>
      <w:pPr>
        <w:keepNext/>
        <w:keepLines/>
        <w:spacing/>
        <w:jc w:val="center"/>
      </w:pPr>
      <w:r>
        <w:rPr>
          <w:rFonts w:ascii="Times New Roman" w:cs="Times New Roman" w:eastAsia="Times New Roman" w:hAnsi="Times New Roman"/>
          <w:b/>
          <w:bCs/>
          <w:sz w:val="24"/>
          <w:szCs w:val="24"/>
        </w:rPr>
        <w:t xml:space="preserve">PREV LABS</w:t>
      </w:r>
    </w:p>
    <w:p>
      <w:pPr>
        <w:keepNext w:val="false"/>
        <w:keepLines/>
        <w:spacing w:after="160"/>
        <w:jc w:val="center"/>
      </w:pPr>
      <w:r>
        <w:rPr>
          <w:rFonts w:ascii="Times New Roman" w:cs="Times New Roman" w:eastAsia="Times New Roman" w:hAnsi="Times New Roman"/>
          <w:sz w:val="20"/>
          <w:szCs w:val="20"/>
        </w:rPr>
        <w:t xml:space="preserve">OAB/MA nº 886/2016</w:t>
      </w:r>
    </w:p>
    <w:sectPr>
      <w:headerReference w:type="default" r:id="rId7"/>
      <w:headerReference w:type="first" r:id="rId8"/>
      <w:footerReference w:type="default" r:id="rId9"/>
      <w:footerReference w:type="first" r:id="rId10"/>
      <w:pgSz w:w="11906" w:h="16838" w:orient="portrait"/>
      <w:pgMar w:top="1418" w:right="1134" w:bottom="1134" w:left="170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8"/>
      </w:pBdr>
      <w:jc w:val="left"/>
    </w:pPr>
    <w:r>
      <w:rPr>
        <w:rFonts w:ascii="Times New Roman" w:cs="Times New Roman" w:eastAsia="Times New Roman" w:hAnsi="Times New Roman"/>
        <w:color w:val="555555"/>
        <w:sz w:val="16"/>
        <w:szCs w:val="16"/>
      </w:rPr>
      <w:t xml:space="preserve">PREV LABS | São Luís/MA  ·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8"/>
      </w:pBdr>
      <w:jc w:val="left"/>
    </w:pPr>
    <w:r>
      <w:rPr>
        <w:rFonts w:ascii="Times New Roman" w:cs="Times New Roman" w:eastAsia="Times New Roman" w:hAnsi="Times New Roman"/>
        <w:color w:val="555555"/>
        <w:sz w:val="16"/>
        <w:szCs w:val="16"/>
      </w:rPr>
      <w:t xml:space="preserve">PREV LABS | São Luís/MA  ·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28"/>
      <w:gridCol w:w="5443"/>
    </w:tblGrid>
    <w:tr>
      <w:trPr>
        <w:cantSplit/>
      </w:trPr>
      <w:tc>
        <w:tcPr>
          <w:tcW w:type="dxa" w:w="3628"/>
          <w:tcBorders>
            <w:top w:val="none" w:color="FFFFFF" w:sz="0"/>
            <w:left w:val="none" w:color="FFFFFF" w:sz="0"/>
            <w:bottom w:val="single" w:color="0A2540" w:sz="12"/>
            <w:right w:val="none" w:color="FFFFFF" w:sz="0"/>
          </w:tcBorders>
          <w:tcMar>
            <w:top w:type="dxa" w:w="0"/>
            <w:left w:type="dxa" w:w="0"/>
            <w:bottom w:type="dxa" w:w="40"/>
            <w:right w:type="dxa" w:w="0"/>
          </w:tcMar>
          <w:vAlign w:val="center"/>
        </w:tcPr>
        <w:p>
          <w:pPr>
            <w:spacing w:after="0" w:before="0"/>
            <w:jc w:val="left"/>
          </w:pPr>
          <w:r>
            <w:drawing>
              <wp:inline distT="0" distB="0" distL="0" distR="0">
                <wp:extent cx="447675"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47675" cy="495300"/>
                        </a:xfrm>
                        <a:prstGeom prst="rect">
                          <a:avLst/>
                        </a:prstGeom>
                      </pic:spPr>
                    </pic:pic>
                  </a:graphicData>
                </a:graphic>
              </wp:inline>
            </w:drawing>
          </w:r>
        </w:p>
      </w:tc>
      <w:tc>
        <w:tcPr>
          <w:tcW w:type="dxa" w:w="5443"/>
          <w:tcBorders>
            <w:top w:val="none" w:color="FFFFFF" w:sz="0"/>
            <w:left w:val="none" w:color="FFFFFF" w:sz="0"/>
            <w:bottom w:val="single" w:color="0A2540" w:sz="12"/>
            <w:right w:val="none" w:color="FFFFFF" w:sz="0"/>
          </w:tcBorders>
          <w:tcMar>
            <w:top w:type="dxa" w:w="0"/>
            <w:left w:type="dxa" w:w="0"/>
            <w:bottom w:type="dxa" w:w="40"/>
            <w:right w:type="dxa" w:w="0"/>
          </w:tcMar>
          <w:vAlign w:val="center"/>
        </w:tcPr>
        <w:p>
          <w:pPr>
            <w:spacing w:after="0" w:before="0"/>
            <w:jc w:val="right"/>
          </w:pPr>
          <w:r>
            <w:rPr>
              <w:rFonts w:ascii="Times New Roman" w:cs="Times New Roman" w:eastAsia="Times New Roman" w:hAnsi="Times New Roman"/>
              <w:b/>
              <w:bCs/>
              <w:color w:val="0A2540"/>
              <w:sz w:val="22"/>
              <w:szCs w:val="22"/>
            </w:rPr>
            <w:t xml:space="preserve">PREV LABS</w:t>
          </w:r>
        </w:p>
        <w:p>
          <w:pPr>
            <w:spacing w:after="0" w:before="0"/>
            <w:jc w:val="right"/>
          </w:pPr>
          <w:r>
            <w:rPr>
              <w:rFonts w:ascii="Times New Roman" w:cs="Times New Roman" w:eastAsia="Times New Roman" w:hAnsi="Times New Roman"/>
              <w:sz w:val="18"/>
              <w:szCs w:val="18"/>
            </w:rPr>
            <w:t xml:space="preserve">OAB/MA nº  886/2016</w:t>
          </w:r>
        </w:p>
        <w:p>
          <w:pPr>
            <w:spacing w:after="0" w:before="0"/>
            <w:jc w:val="right"/>
          </w:pPr>
          <w:r>
            <w:rPr>
              <w:rFonts w:ascii="Times New Roman" w:cs="Times New Roman" w:eastAsia="Times New Roman" w:hAnsi="Times New Roman"/>
              <w:color w:val="1D4ED8"/>
              <w:sz w:val="16"/>
              <w:szCs w:val="16"/>
            </w:rPr>
            <w:t xml:space="preserve">kauaworkana1203@gmail.com</w:t>
          </w:r>
        </w:p>
      </w:tc>
    </w:tr>
  </w:tbl>
  <w:p>
    <w:pPr>
      <w:spacing w:after="0" w:before="0" w:line="20" w:lineRule="exact"/>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widowControl/>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widowControl/>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05c3e12410c3446245c32151f233c954fe0c9c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46dd4182ee15e991634d4ecd267e0dfff35c88f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2026-09-30T14:15:29.258Z</dcterms:created>
  <dcterms:modified xsi:type="dcterms:W3CDTF">2026-09-30T14:15:29.258Z</dcterms:modified>
</cp:coreProperties>
</file>

<file path=docProps/custom.xml><?xml version="1.0" encoding="utf-8"?>
<Properties xmlns="http://schemas.openxmlformats.org/officeDocument/2006/custom-properties" xmlns:vt="http://schemas.openxmlformats.org/officeDocument/2006/docPropsVTypes"/>
</file>