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D66E" w14:textId="77777777" w:rsidR="00FD0BB9" w:rsidRDefault="00000000">
      <w:pPr>
        <w:spacing w:after="80"/>
      </w:pPr>
      <w:r>
        <w:rPr>
          <w:b/>
          <w:bCs/>
          <w:sz w:val="32"/>
          <w:szCs w:val="32"/>
        </w:rPr>
        <w:t>Construction and Classification of the South African Merger Transaction Sample</w:t>
      </w:r>
    </w:p>
    <w:p w14:paraId="2F790531" w14:textId="77777777" w:rsidR="00FD0BB9" w:rsidRDefault="00000000">
      <w:pPr>
        <w:spacing w:after="400"/>
      </w:pPr>
      <w:r>
        <w:rPr>
          <w:i/>
          <w:iCs/>
          <w:color w:val="555555"/>
          <w:sz w:val="22"/>
          <w:szCs w:val="22"/>
        </w:rPr>
        <w:t>Data cleaning, point-in-time reconstruction, and threshold classification methodology</w:t>
      </w:r>
    </w:p>
    <w:p w14:paraId="50C8EA5D" w14:textId="77777777" w:rsidR="00FD0BB9" w:rsidRDefault="00000000">
      <w:pPr>
        <w:pStyle w:val="Heading1"/>
        <w:spacing w:before="320" w:after="160"/>
      </w:pPr>
      <w:r>
        <w:t>1. Source and Initial Consolidation</w:t>
      </w:r>
    </w:p>
    <w:p w14:paraId="46D3C927" w14:textId="77777777" w:rsidR="00FD0BB9" w:rsidRDefault="00000000">
      <w:pPr>
        <w:spacing w:after="200" w:line="300" w:lineRule="auto"/>
      </w:pPr>
      <w:r>
        <w:t>The underlying transaction records were extracted from Bloomberg's M&amp;A screen across a series of exports issued between 4 January 1999 and 15 September 2026, covering deal-level attributes, deal-list financial columns, and asset-breakdown fields in separate batches. Each export was matched to the others on Action ID, Bloomberg's unique deal identifier, rather than on deal name or date, since the same transaction could otherwise appear under slightly different descriptions across exports.</w:t>
      </w:r>
    </w:p>
    <w:p w14:paraId="24C0E71C" w14:textId="77777777" w:rsidR="00FD0BB9" w:rsidRDefault="00000000">
      <w:pPr>
        <w:spacing w:after="200" w:line="300" w:lineRule="auto"/>
      </w:pPr>
      <w:r>
        <w:t>Consolidation produced 7,118 unique transactions spanning six Bloomberg deal-type codes: 3,685 M&amp;A, 1,619 AST (asset transactions), 1,575 INV (investments), 106 JV (joint ventures), 102 SPIN (spin-offs) and 31 BUY (buybacks). Duplicate rows arising from overlapping exports were resolved by retaining, for each Action ID, whichever version of the row carried the most non-missing fields.</w:t>
      </w:r>
    </w:p>
    <w:p w14:paraId="176EDF09" w14:textId="77777777" w:rsidR="00FD0BB9" w:rsidRDefault="00000000">
      <w:pPr>
        <w:pStyle w:val="Heading1"/>
        <w:spacing w:before="320" w:after="160"/>
      </w:pPr>
      <w:r>
        <w:t>2. Point-in-Time versus Current-Value Financial Data</w:t>
      </w:r>
    </w:p>
    <w:p w14:paraId="136F2926" w14:textId="77777777" w:rsidR="00FD0BB9" w:rsidRDefault="00000000">
      <w:pPr>
        <w:spacing w:after="200" w:line="300" w:lineRule="auto"/>
      </w:pPr>
      <w:r>
        <w:t>An early inspection of company-level financial columns (Total Assets, Sales/Revenue/Turnover) returned by Bloomberg's deal-list export raised a specific concern: these figures appeared identical for a given company across every transaction in which it appeared, regardless of the year of the deal. A confirmatory test was carried out on a known repeat acquirer (Bidvest Group, ticker BVT SJ, appearing in 41 transactions in the dataset between 2000 and 2026); the same Total Assets figure was returned irrespective of transaction year.</w:t>
      </w:r>
    </w:p>
    <w:p w14:paraId="2A8A5838" w14:textId="77777777" w:rsidR="00FD0BB9" w:rsidRDefault="00000000">
      <w:pPr>
        <w:spacing w:after="200" w:line="300" w:lineRule="auto"/>
      </w:pPr>
      <w:r>
        <w:t>A support query to Bloomberg (reference H#1324939395) confirmed this directly: deal-level fields anchored to the transaction itself, such as implied multiples, are calculated as at announcement, but company-level attributes added as columns — including Total Assets and Turnover — return the security's latest available reported figure, not its position at the announcement date. Bloomberg further confirmed that for companies which have stopped reporting (through delisting or acquisition), the last available figure is carried forward and can be returned unchanged for periods long after the company ceased to report.</w:t>
      </w:r>
    </w:p>
    <w:p w14:paraId="186725C7" w14:textId="77777777" w:rsidR="00FD0BB9" w:rsidRDefault="00000000">
      <w:pPr>
        <w:spacing w:after="200" w:line="300" w:lineRule="auto"/>
        <w:ind w:left="360"/>
      </w:pPr>
      <w:r>
        <w:rPr>
          <w:i/>
          <w:iCs/>
          <w:color w:val="555555"/>
        </w:rPr>
        <w:t>This has direct consequences for a threshold-classification exercise keyed to the announcement date: a transaction from 2001 tested against a company's 2026 balance sheet will systematically appear larger than it was at the time, and thresholds calibrated to the regime in force in 2001 would be tested against the wrong measurement basis entirely.</w:t>
      </w:r>
    </w:p>
    <w:p w14:paraId="4820F711" w14:textId="77777777" w:rsidR="00FD0BB9" w:rsidRDefault="00000000">
      <w:pPr>
        <w:spacing w:after="200" w:line="300" w:lineRule="auto"/>
      </w:pPr>
      <w:r>
        <w:t>To address this, target and acquirer financials were instead retrieved via the Bloomberg Excel Add-in using the BDP function with the EQY_FUND_YEAR override, requesting the fiscal year immediately preceding each deal's announcement date (Announce Date year minus one) rather than the default current value. Because many companies recur across multiple transactions, a deduplicated lookup table of unique (security, fiscal year) pairs — 9,528 combinations drawn from 6,351 unique tickers across both target and acquirer roles — was constructed so that each company-year combination was queried once and joined back to every transaction in which it appeared, rather than re-queried per transaction.</w:t>
      </w:r>
    </w:p>
    <w:p w14:paraId="33B334B9" w14:textId="77777777" w:rsidR="00FD0BB9" w:rsidRDefault="00000000">
      <w:pPr>
        <w:spacing w:after="200" w:line="300" w:lineRule="auto"/>
      </w:pPr>
      <w:r>
        <w:t xml:space="preserve">A two-company validation test was run before the full pull: a private-company target (PostNet Holdings, ticker 1220287D SJ) and the listed control (Bidvest). Bloomberg resolved the company name for both but returned no historical revenue or asset figures at all for the private target across a 2010–2014 test window, while the listed control returned a full historical series once formula layout issues (array-spill blocking) were corrected. This </w:t>
      </w:r>
      <w:r>
        <w:lastRenderedPageBreak/>
        <w:t>confirmed that the point-in-time retrieval method itself functions correctly, and that the absence of historical financials for private targets is a genuine Bloomberg coverage limitation rather than a retrieval defect.</w:t>
      </w:r>
    </w:p>
    <w:p w14:paraId="7CFA661C" w14:textId="77777777" w:rsidR="00FD0BB9" w:rsidRDefault="00000000">
      <w:pPr>
        <w:pStyle w:val="Heading1"/>
        <w:spacing w:before="320" w:after="160"/>
      </w:pPr>
      <w:r>
        <w:t>3. Coverage, Cross-Checks and Rejected Derivations</w:t>
      </w:r>
    </w:p>
    <w:p w14:paraId="2D2C3643" w14:textId="77777777" w:rsidR="00FD0BB9" w:rsidRDefault="00000000">
      <w:pPr>
        <w:spacing w:after="200" w:line="300" w:lineRule="auto"/>
      </w:pPr>
      <w:r>
        <w:t>Two independently sourced measures of the same quantities — the point-in-time pull described above, and the MA-screen “current-value” columns — were compared directly on the subset of transactions where both were available. The two diverged substantially: a median absolute difference of 35 per cent for target Total Assets and 85 per cent for acquirer Total Assets, with only 158 of 952 target observations and 38 of 3,383 acquirer observations agreeing within 0.5 per cent. This confirmed empirically, rather than only by Bloomberg's own account, that the two sources are not interchangeable.</w:t>
      </w:r>
    </w:p>
    <w:p w14:paraId="142A6602" w14:textId="77777777" w:rsidR="00FD0BB9" w:rsidRDefault="00000000">
      <w:pPr>
        <w:spacing w:after="200" w:line="300" w:lineRule="auto"/>
      </w:pPr>
      <w:r>
        <w:t>A separate deal-value field (Announced Total Value, R million) was obtained keyed to Action ID and achieved substantially better coverage — 4,147 of 7,118 transactions (58.3 per cent) — than either financial-statement source, and was retained as a supplementary size indicator.</w:t>
      </w:r>
    </w:p>
    <w:p w14:paraId="39982103" w14:textId="77777777" w:rsidR="00FD0BB9" w:rsidRDefault="00000000">
      <w:pPr>
        <w:spacing w:after="200" w:line="300" w:lineRule="auto"/>
      </w:pPr>
      <w:r>
        <w:t>Two candidate methods of reconstructing missing Total Assets values from other available fields were tested and rejected. Reported Current Assets divided by the Current-Assets-to-Total-Assets ratio reproduced the reported Total Assets figure almost exactly (median error below 0.01 per cent) wherever all three fields were present — but in every such case Total Assets was already directly available, so the derivation added no new coverage. Gross Fixed Assets showed the identical pattern: never present without Total Assets also being present. Neither field therefore functioned as a genuine backfill source, and both were later dropped from the working dataset as redundant.</w:t>
      </w:r>
    </w:p>
    <w:p w14:paraId="1C37321B" w14:textId="77777777" w:rsidR="00FD0BB9" w:rsidRDefault="00000000">
      <w:pPr>
        <w:pStyle w:val="Heading1"/>
        <w:spacing w:before="320" w:after="160"/>
      </w:pPr>
      <w:r>
        <w:t>4. Sample Selection and the Statutory Window</w:t>
      </w:r>
    </w:p>
    <w:p w14:paraId="0C89EA43" w14:textId="77777777" w:rsidR="00FD0BB9" w:rsidRDefault="00000000">
      <w:pPr>
        <w:spacing w:after="200" w:line="300" w:lineRule="auto"/>
      </w:pPr>
      <w:r>
        <w:t>Because a combined-value or target-value test requires information on both parties to a transaction, the working sample was restricted to deals with at least one financial variable (assets or turnover) available for both the target and the acquirer. Applied to the point-in-time data this yielded 539 transactions; applied to the MA-screen data, 542.</w:t>
      </w:r>
    </w:p>
    <w:p w14:paraId="21ECC583" w14:textId="77777777" w:rsidR="00FD0BB9" w:rsidRDefault="00000000">
      <w:pPr>
        <w:spacing w:after="200" w:line="300" w:lineRule="auto"/>
      </w:pPr>
      <w:r>
        <w:t>The sample was further restricted to the period in which a single, well-defined threshold notice applied throughout: from 24 December 1999, when the relevant threshold notice took effect, to 30 April 2026, the day before a revised threshold regime came into force on 1 May 2026. Thirty transactions preceding 24 December 1999 and five following 30 April 2026 were initially retained under a “transition” label and, once confirmed as falling outside any single defined regime, dropped from the sample entirely. This left 504 transactions in the point-in-time sample (6 January 2000 to 13 April 2026) and 542 in the MA-screen sample.</w:t>
      </w:r>
    </w:p>
    <w:p w14:paraId="1361FCC6" w14:textId="77777777" w:rsidR="00FD0BB9" w:rsidRDefault="00000000">
      <w:pPr>
        <w:spacing w:after="200" w:line="300" w:lineRule="auto"/>
      </w:pPr>
      <w:r>
        <w:t>Each transaction's target was further classified as Public or Private based on Bloomberg's security-type field: listed types (Common Stock, REIT, Unit, Preference, Closed-End Fund, ETP, GDR) were coded Public; targets tagged “Private Comp”, or lacking a target ticker altogether, were coded Private.</w:t>
      </w:r>
    </w:p>
    <w:p w14:paraId="312AE4AA" w14:textId="77777777" w:rsidR="00FD0BB9" w:rsidRDefault="00000000">
      <w:pPr>
        <w:pStyle w:val="Heading2"/>
        <w:spacing w:before="260" w:after="120"/>
      </w:pPr>
      <w:r>
        <w:t>Table 1. Sample construction funnel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FD0BB9" w14:paraId="5BB4BEB4"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5931217" w14:textId="77777777" w:rsidR="00FD0BB9" w:rsidRDefault="00000000">
            <w:r>
              <w:rPr>
                <w:b/>
                <w:bCs/>
                <w:color w:val="FFFFFF"/>
              </w:rPr>
              <w:t>Stage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629EF60" w14:textId="77777777" w:rsidR="00FD0BB9" w:rsidRDefault="00000000">
            <w:r>
              <w:rPr>
                <w:b/>
                <w:bCs/>
                <w:color w:val="FFFFFF"/>
              </w:rPr>
              <w:t>Point-in-time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1D0E263" w14:textId="77777777" w:rsidR="00FD0BB9" w:rsidRDefault="00000000">
            <w:r>
              <w:rPr>
                <w:b/>
                <w:bCs/>
                <w:color w:val="FFFFFF"/>
              </w:rPr>
              <w:t>MA-screen</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5899F66" w14:textId="77777777" w:rsidR="00FD0BB9" w:rsidRDefault="00000000">
            <w:r>
              <w:rPr>
                <w:b/>
                <w:bCs/>
                <w:color w:val="FFFFFF"/>
              </w:rPr>
              <w:t>Blended</w:t>
            </w:r>
          </w:p>
        </w:tc>
      </w:tr>
      <w:tr w:rsidR="00FD0BB9" w14:paraId="1A6445F1"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04F780" w14:textId="77777777" w:rsidR="00FD0BB9" w:rsidRDefault="00000000">
            <w:r>
              <w:t>Unique transactions (merged, Action ID)</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97C9DC" w14:textId="77777777" w:rsidR="00FD0BB9" w:rsidRDefault="00000000">
            <w:pPr>
              <w:jc w:val="right"/>
            </w:pPr>
            <w:r>
              <w:t>7,118</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F27C706" w14:textId="77777777" w:rsidR="00FD0BB9" w:rsidRDefault="00000000">
            <w:pPr>
              <w:jc w:val="right"/>
            </w:pPr>
            <w:r>
              <w:t>7,118</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40B23AB" w14:textId="77777777" w:rsidR="00FD0BB9" w:rsidRDefault="00000000">
            <w:pPr>
              <w:jc w:val="right"/>
            </w:pPr>
            <w:r>
              <w:t>7,118</w:t>
            </w:r>
          </w:p>
        </w:tc>
      </w:tr>
      <w:tr w:rsidR="00FD0BB9" w14:paraId="4D1F1E8D"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3DBFAD5" w14:textId="77777777" w:rsidR="00FD0BB9" w:rsidRDefault="00000000">
            <w:r>
              <w:t>Both target and acquirer represented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9326D68" w14:textId="77777777" w:rsidR="00FD0BB9" w:rsidRDefault="00000000">
            <w:pPr>
              <w:jc w:val="right"/>
            </w:pPr>
            <w:r>
              <w:t>539</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E9C192F" w14:textId="77777777" w:rsidR="00FD0BB9" w:rsidRDefault="00000000">
            <w:pPr>
              <w:jc w:val="right"/>
            </w:pPr>
            <w:r>
              <w:t>—</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57ED0DA" w14:textId="77777777" w:rsidR="00FD0BB9" w:rsidRDefault="00000000">
            <w:pPr>
              <w:jc w:val="right"/>
            </w:pPr>
            <w:r>
              <w:t>—</w:t>
            </w:r>
          </w:p>
        </w:tc>
      </w:tr>
      <w:tr w:rsidR="00FD0BB9" w14:paraId="166E3B75"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E3DB84" w14:textId="77777777" w:rsidR="00FD0BB9" w:rsidRDefault="00000000">
            <w:r>
              <w:t>After window restriction (24 Dec 1999–30 Apr 2026)</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693E0D" w14:textId="77777777" w:rsidR="00FD0BB9" w:rsidRDefault="00000000">
            <w:pPr>
              <w:jc w:val="right"/>
            </w:pPr>
            <w:r>
              <w:t>504</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7E7688" w14:textId="77777777" w:rsidR="00FD0BB9" w:rsidRDefault="00000000">
            <w:pPr>
              <w:jc w:val="right"/>
            </w:pPr>
            <w:r>
              <w:t>542</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95F1E8" w14:textId="77777777" w:rsidR="00FD0BB9" w:rsidRDefault="00000000">
            <w:pPr>
              <w:jc w:val="right"/>
            </w:pPr>
            <w:r>
              <w:t>633</w:t>
            </w:r>
          </w:p>
        </w:tc>
      </w:tr>
      <w:tr w:rsidR="00FD0BB9" w14:paraId="5E315E0C"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DEBB9BE" w14:textId="77777777" w:rsidR="00FD0BB9" w:rsidRDefault="00000000">
            <w:r>
              <w:lastRenderedPageBreak/>
              <w:t xml:space="preserve">  Public (listed target)</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7417760" w14:textId="77777777" w:rsidR="00FD0BB9" w:rsidRDefault="00000000">
            <w:pPr>
              <w:jc w:val="right"/>
            </w:pPr>
            <w:r>
              <w:t>480</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58D9769" w14:textId="77777777" w:rsidR="00FD0BB9" w:rsidRDefault="00000000">
            <w:pPr>
              <w:jc w:val="right"/>
            </w:pPr>
            <w:r>
              <w:t>504</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3F66299" w14:textId="77777777" w:rsidR="00FD0BB9" w:rsidRDefault="00000000">
            <w:pPr>
              <w:jc w:val="right"/>
            </w:pPr>
            <w:r>
              <w:t>591</w:t>
            </w:r>
          </w:p>
        </w:tc>
      </w:tr>
      <w:tr w:rsidR="00FD0BB9" w14:paraId="3E0CB333"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F1E3BA" w14:textId="77777777" w:rsidR="00FD0BB9" w:rsidRDefault="00000000">
            <w:r>
              <w:t xml:space="preserve">  Private (unlisted or no ticker)</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BA2998" w14:textId="77777777" w:rsidR="00FD0BB9" w:rsidRDefault="00000000">
            <w:pPr>
              <w:jc w:val="right"/>
            </w:pPr>
            <w:r>
              <w:t>24</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8DA6997" w14:textId="77777777" w:rsidR="00FD0BB9" w:rsidRDefault="00000000">
            <w:pPr>
              <w:jc w:val="right"/>
            </w:pPr>
            <w:r>
              <w:t>38</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E117044" w14:textId="77777777" w:rsidR="00FD0BB9" w:rsidRDefault="00000000">
            <w:pPr>
              <w:jc w:val="right"/>
            </w:pPr>
            <w:r>
              <w:t>42</w:t>
            </w:r>
          </w:p>
        </w:tc>
      </w:tr>
    </w:tbl>
    <w:p w14:paraId="084384D8" w14:textId="77777777" w:rsidR="00FD0BB9" w:rsidRDefault="00000000">
      <w:pPr>
        <w:spacing w:after="200" w:line="300" w:lineRule="auto"/>
        <w:ind w:left="360"/>
      </w:pPr>
      <w:r>
        <w:rPr>
          <w:i/>
          <w:iCs/>
          <w:color w:val="555555"/>
        </w:rPr>
        <w:t>The blended sample (Section 8) draws on both sources simultaneously and is therefore not reducible to a single “both sides represented” intermediate count in the same way; its funnel begins directly from the merged 7,118-transaction dataset.</w:t>
      </w:r>
    </w:p>
    <w:p w14:paraId="214C19BA" w14:textId="77777777" w:rsidR="00FD0BB9" w:rsidRDefault="00000000">
      <w:r>
        <w:br w:type="page"/>
      </w:r>
    </w:p>
    <w:p w14:paraId="7F83C471" w14:textId="77777777" w:rsidR="00FD0BB9" w:rsidRDefault="00000000">
      <w:pPr>
        <w:pStyle w:val="Heading1"/>
        <w:spacing w:before="320" w:after="160"/>
      </w:pPr>
      <w:r>
        <w:lastRenderedPageBreak/>
        <w:t>5. Threshold Regime and Classification Methodology</w:t>
      </w:r>
    </w:p>
    <w:p w14:paraId="7D141503" w14:textId="77777777" w:rsidR="00FD0BB9" w:rsidRDefault="00000000">
      <w:pPr>
        <w:spacing w:after="200" w:line="300" w:lineRule="auto"/>
      </w:pPr>
      <w:r>
        <w:t>An initial classification pass used a simplified rule — a single combined-value figure tested against a combined threshold, met either by that combined figure or by the target's value alone — against a four-period regime table. This was superseded once the correct statutory test was clarified.</w:t>
      </w:r>
    </w:p>
    <w:p w14:paraId="06771EF0" w14:textId="77777777" w:rsidR="00FD0BB9" w:rsidRDefault="00000000">
      <w:pPr>
        <w:spacing w:after="200" w:line="300" w:lineRule="auto"/>
      </w:pPr>
      <w:r>
        <w:t>The applicable rule requires a transaction to satisfy two limbs simultaneously. The combined limb allows the threshold to be met by any of four statutory combinations of the two parties' turnover and asset figures: turnover plus turnover, assets plus assets, acquirer turnover plus target assets, or acquirer assets plus target turnover; the highest of the four is taken. The target limb is met if the target's assets or its turnover, whichever is higher, clears the target threshold. A transaction is Large only if both limbs clear the Large thresholds; failing that, it is Intermediate if both limbs clear the Intermediate thresholds; otherwise it is Small. Large is always tested before Intermediate.</w:t>
      </w:r>
    </w:p>
    <w:p w14:paraId="22EA80A1" w14:textId="77777777" w:rsidR="00FD0BB9" w:rsidRDefault="00000000">
      <w:pPr>
        <w:spacing w:after="200" w:line="300" w:lineRule="auto"/>
      </w:pPr>
      <w:r>
        <w:t>The regime table itself was corrected from four periods to five, splitting what had been treated as a single 1999–2009 regime into its two distinct statutory periods, and adding the regime effective from 1 May 2026:</w:t>
      </w:r>
    </w:p>
    <w:p w14:paraId="1955771C" w14:textId="77777777" w:rsidR="00FD0BB9" w:rsidRDefault="00000000">
      <w:pPr>
        <w:pStyle w:val="Heading2"/>
        <w:spacing w:before="260" w:after="120"/>
      </w:pPr>
      <w:r>
        <w:t>Table 2. Threshold regimes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0"/>
        <w:gridCol w:w="1450"/>
        <w:gridCol w:w="1450"/>
        <w:gridCol w:w="1450"/>
      </w:tblGrid>
      <w:tr w:rsidR="00FD0BB9" w14:paraId="7050944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EC71FBF" w14:textId="77777777" w:rsidR="00FD0BB9" w:rsidRDefault="00000000">
            <w:r>
              <w:rPr>
                <w:b/>
                <w:bCs/>
                <w:color w:val="FFFFFF"/>
              </w:rPr>
              <w:t>Announcement date</w:t>
            </w:r>
          </w:p>
        </w:tc>
        <w:tc>
          <w:tcPr>
            <w:tcW w:w="145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819D387" w14:textId="77777777" w:rsidR="00FD0BB9" w:rsidRDefault="00000000">
            <w:r>
              <w:rPr>
                <w:b/>
                <w:bCs/>
                <w:color w:val="FFFFFF"/>
              </w:rPr>
              <w:t>Interm. combined</w:t>
            </w:r>
          </w:p>
        </w:tc>
        <w:tc>
          <w:tcPr>
            <w:tcW w:w="145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1D4C6AC" w14:textId="77777777" w:rsidR="00FD0BB9" w:rsidRDefault="00000000">
            <w:r>
              <w:rPr>
                <w:b/>
                <w:bCs/>
                <w:color w:val="FFFFFF"/>
              </w:rPr>
              <w:t>Interm. target</w:t>
            </w:r>
          </w:p>
        </w:tc>
        <w:tc>
          <w:tcPr>
            <w:tcW w:w="145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AD68C26" w14:textId="77777777" w:rsidR="00FD0BB9" w:rsidRDefault="00000000">
            <w:r>
              <w:rPr>
                <w:b/>
                <w:bCs/>
                <w:color w:val="FFFFFF"/>
              </w:rPr>
              <w:t>Large combined</w:t>
            </w:r>
          </w:p>
        </w:tc>
        <w:tc>
          <w:tcPr>
            <w:tcW w:w="145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3CB7B93" w14:textId="77777777" w:rsidR="00FD0BB9" w:rsidRDefault="00000000">
            <w:r>
              <w:rPr>
                <w:b/>
                <w:bCs/>
                <w:color w:val="FFFFFF"/>
              </w:rPr>
              <w:t>Large target</w:t>
            </w:r>
          </w:p>
        </w:tc>
      </w:tr>
      <w:tr w:rsidR="00FD0BB9" w14:paraId="677CE682"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E55A536" w14:textId="77777777" w:rsidR="00FD0BB9" w:rsidRDefault="00000000">
            <w:r>
              <w:t>24 Dec 1999 – 31 Jan 2001</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AFE9A7" w14:textId="77777777" w:rsidR="00FD0BB9" w:rsidRDefault="00000000">
            <w:pPr>
              <w:jc w:val="right"/>
            </w:pPr>
            <w:r>
              <w:t>R50m</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A367C2" w14:textId="77777777" w:rsidR="00FD0BB9" w:rsidRDefault="00000000">
            <w:pPr>
              <w:jc w:val="right"/>
            </w:pPr>
            <w:r>
              <w:t>R5m</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8D0713E" w14:textId="77777777" w:rsidR="00FD0BB9" w:rsidRDefault="00000000">
            <w:pPr>
              <w:jc w:val="right"/>
            </w:pPr>
            <w:r>
              <w:t>R3.5bn</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95236E" w14:textId="77777777" w:rsidR="00FD0BB9" w:rsidRDefault="00000000">
            <w:pPr>
              <w:jc w:val="right"/>
            </w:pPr>
            <w:r>
              <w:t>R100m</w:t>
            </w:r>
          </w:p>
        </w:tc>
      </w:tr>
      <w:tr w:rsidR="00FD0BB9" w14:paraId="35854957"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DA4083B" w14:textId="77777777" w:rsidR="00FD0BB9" w:rsidRDefault="00000000">
            <w:r>
              <w:t>1 Feb 2001 – 31 Mar 2009</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8DC94B3" w14:textId="77777777" w:rsidR="00FD0BB9" w:rsidRDefault="00000000">
            <w:pPr>
              <w:jc w:val="right"/>
            </w:pPr>
            <w:r>
              <w:t>R200m</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1418BFE" w14:textId="77777777" w:rsidR="00FD0BB9" w:rsidRDefault="00000000">
            <w:pPr>
              <w:jc w:val="right"/>
            </w:pPr>
            <w:r>
              <w:t>R30m</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AA45781" w14:textId="77777777" w:rsidR="00FD0BB9" w:rsidRDefault="00000000">
            <w:pPr>
              <w:jc w:val="right"/>
            </w:pPr>
            <w:r>
              <w:t>R3.5bn</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DBDCD99" w14:textId="77777777" w:rsidR="00FD0BB9" w:rsidRDefault="00000000">
            <w:pPr>
              <w:jc w:val="right"/>
            </w:pPr>
            <w:r>
              <w:t>R100m</w:t>
            </w:r>
          </w:p>
        </w:tc>
      </w:tr>
      <w:tr w:rsidR="00FD0BB9" w14:paraId="68EF652C"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55B5184" w14:textId="77777777" w:rsidR="00FD0BB9" w:rsidRDefault="00000000">
            <w:r>
              <w:t>1 Apr 2009 – 30 Sep 2017</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B5316A9" w14:textId="77777777" w:rsidR="00FD0BB9" w:rsidRDefault="00000000">
            <w:pPr>
              <w:jc w:val="right"/>
            </w:pPr>
            <w:r>
              <w:t>R560m</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D9925D7" w14:textId="77777777" w:rsidR="00FD0BB9" w:rsidRDefault="00000000">
            <w:pPr>
              <w:jc w:val="right"/>
            </w:pPr>
            <w:r>
              <w:t>R80m</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4D77C7" w14:textId="77777777" w:rsidR="00FD0BB9" w:rsidRDefault="00000000">
            <w:pPr>
              <w:jc w:val="right"/>
            </w:pPr>
            <w:r>
              <w:t>R6.6bn</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1F902DC" w14:textId="77777777" w:rsidR="00FD0BB9" w:rsidRDefault="00000000">
            <w:pPr>
              <w:jc w:val="right"/>
            </w:pPr>
            <w:r>
              <w:t>R190m</w:t>
            </w:r>
          </w:p>
        </w:tc>
      </w:tr>
      <w:tr w:rsidR="00FD0BB9" w14:paraId="72568ED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3092C1D" w14:textId="77777777" w:rsidR="00FD0BB9" w:rsidRDefault="00000000">
            <w:r>
              <w:t>1 Oct 2017 – 30 Apr 2026</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1EE3A49" w14:textId="77777777" w:rsidR="00FD0BB9" w:rsidRDefault="00000000">
            <w:pPr>
              <w:jc w:val="right"/>
            </w:pPr>
            <w:r>
              <w:t>R600m</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B3EF5FC" w14:textId="77777777" w:rsidR="00FD0BB9" w:rsidRDefault="00000000">
            <w:pPr>
              <w:jc w:val="right"/>
            </w:pPr>
            <w:r>
              <w:t>R100m</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96F9ADC" w14:textId="77777777" w:rsidR="00FD0BB9" w:rsidRDefault="00000000">
            <w:pPr>
              <w:jc w:val="right"/>
            </w:pPr>
            <w:r>
              <w:t>R6.6bn</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994F3B7" w14:textId="77777777" w:rsidR="00FD0BB9" w:rsidRDefault="00000000">
            <w:pPr>
              <w:jc w:val="right"/>
            </w:pPr>
            <w:r>
              <w:t>R190m</w:t>
            </w:r>
          </w:p>
        </w:tc>
      </w:tr>
      <w:tr w:rsidR="00FD0BB9" w14:paraId="1AE0774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DB1D1DF" w14:textId="77777777" w:rsidR="00FD0BB9" w:rsidRDefault="00000000">
            <w:r>
              <w:t>From 1 May 2026</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9CD5239" w14:textId="77777777" w:rsidR="00FD0BB9" w:rsidRDefault="00000000">
            <w:pPr>
              <w:jc w:val="right"/>
            </w:pPr>
            <w:r>
              <w:t>R1bn</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4D81213" w14:textId="77777777" w:rsidR="00FD0BB9" w:rsidRDefault="00000000">
            <w:pPr>
              <w:jc w:val="right"/>
            </w:pPr>
            <w:r>
              <w:t>R200m</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03A33AD" w14:textId="77777777" w:rsidR="00FD0BB9" w:rsidRDefault="00000000">
            <w:pPr>
              <w:jc w:val="right"/>
            </w:pPr>
            <w:r>
              <w:t>R9.5bn</w:t>
            </w:r>
          </w:p>
        </w:tc>
        <w:tc>
          <w:tcPr>
            <w:tcW w:w="14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DD4658" w14:textId="77777777" w:rsidR="00FD0BB9" w:rsidRDefault="00000000">
            <w:pPr>
              <w:jc w:val="right"/>
            </w:pPr>
            <w:r>
              <w:t>R280m</w:t>
            </w:r>
          </w:p>
        </w:tc>
      </w:tr>
    </w:tbl>
    <w:p w14:paraId="304CF2C7" w14:textId="77777777" w:rsidR="00FD0BB9" w:rsidRDefault="00000000">
      <w:pPr>
        <w:spacing w:after="200" w:line="300" w:lineRule="auto"/>
      </w:pPr>
      <w:r>
        <w:t>Applied to the point-in-time sample, the corrected two-limb rule classified 335 transactions (66.5 per cent) as Large, 138 (27.4 per cent) as Intermediate and 31 (6.2 per cent) as Small. Applied to the MA-screen sample, the equivalent figures were 425 (78.4 per cent), 102 (18.8 per cent) and 15 (2.8 per cent).</w:t>
      </w:r>
    </w:p>
    <w:p w14:paraId="130A8C2B" w14:textId="77777777" w:rsidR="00FD0BB9" w:rsidRDefault="00000000">
      <w:pPr>
        <w:spacing w:after="200" w:line="300" w:lineRule="auto"/>
        <w:ind w:left="360"/>
      </w:pPr>
      <w:r>
        <w:rPr>
          <w:i/>
          <w:iCs/>
          <w:color w:val="555555"/>
        </w:rPr>
        <w:t>The MA-screen sample's heavier skew toward Large — and correspondingly thinner Small category — is consistent with the current-value contamination identified in Section 2: using a company's present-day, larger balance sheet systematically inflates older transactions into a higher classification tier than they would have occupied when tested against the regime actually in force at the time.</w:t>
      </w:r>
    </w:p>
    <w:p w14:paraId="16B0193A" w14:textId="77777777" w:rsidR="00FD0BB9" w:rsidRDefault="00000000">
      <w:pPr>
        <w:pStyle w:val="Heading2"/>
        <w:spacing w:before="260" w:after="120"/>
      </w:pPr>
      <w:r>
        <w:t>Table 3. Classification results by source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FD0BB9" w14:paraId="35FFE6E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CC4841C" w14:textId="77777777" w:rsidR="00FD0BB9" w:rsidRDefault="00000000">
            <w:r>
              <w:rPr>
                <w:b/>
                <w:bCs/>
                <w:color w:val="FFFFFF"/>
              </w:rPr>
              <w:t>Classification</w:t>
            </w:r>
          </w:p>
        </w:tc>
        <w:tc>
          <w:tcPr>
            <w:tcW w:w="2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A0D0F4D" w14:textId="77777777" w:rsidR="00FD0BB9" w:rsidRDefault="00000000">
            <w:r>
              <w:rPr>
                <w:b/>
                <w:bCs/>
                <w:color w:val="FFFFFF"/>
              </w:rPr>
              <w:t>Point-in-time (n=504)</w:t>
            </w:r>
          </w:p>
        </w:tc>
        <w:tc>
          <w:tcPr>
            <w:tcW w:w="2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210AA75" w14:textId="77777777" w:rsidR="00FD0BB9" w:rsidRDefault="00000000">
            <w:r>
              <w:rPr>
                <w:b/>
                <w:bCs/>
                <w:color w:val="FFFFFF"/>
              </w:rPr>
              <w:t>MA-screen (n=542)</w:t>
            </w:r>
          </w:p>
        </w:tc>
        <w:tc>
          <w:tcPr>
            <w:tcW w:w="2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46807CB" w14:textId="77777777" w:rsidR="00FD0BB9" w:rsidRDefault="00000000">
            <w:r>
              <w:rPr>
                <w:b/>
                <w:bCs/>
                <w:color w:val="FFFFFF"/>
              </w:rPr>
              <w:t>Blended (n=633)</w:t>
            </w:r>
          </w:p>
        </w:tc>
      </w:tr>
      <w:tr w:rsidR="00FD0BB9" w14:paraId="4E3E604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4A8CA1" w14:textId="77777777" w:rsidR="00FD0BB9" w:rsidRDefault="00000000">
            <w:r>
              <w:t>Large</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801CC5E" w14:textId="77777777" w:rsidR="00FD0BB9" w:rsidRDefault="00000000">
            <w:pPr>
              <w:jc w:val="right"/>
            </w:pPr>
            <w:r>
              <w:t>335  (66.5%)</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809D763" w14:textId="77777777" w:rsidR="00FD0BB9" w:rsidRDefault="00000000">
            <w:pPr>
              <w:jc w:val="right"/>
            </w:pPr>
            <w:r>
              <w:t>425  (78.4%)</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98D55F" w14:textId="77777777" w:rsidR="00FD0BB9" w:rsidRDefault="00000000">
            <w:pPr>
              <w:jc w:val="right"/>
            </w:pPr>
            <w:r>
              <w:t>428  (67.6%)</w:t>
            </w:r>
          </w:p>
        </w:tc>
      </w:tr>
      <w:tr w:rsidR="00FD0BB9" w14:paraId="0AFA0C2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A003133" w14:textId="77777777" w:rsidR="00FD0BB9" w:rsidRDefault="00000000">
            <w:r>
              <w:t>Intermediate</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46C4E38" w14:textId="77777777" w:rsidR="00FD0BB9" w:rsidRDefault="00000000">
            <w:pPr>
              <w:jc w:val="right"/>
            </w:pPr>
            <w:r>
              <w:t>138  (27.4%)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A0161E8" w14:textId="77777777" w:rsidR="00FD0BB9" w:rsidRDefault="00000000">
            <w:pPr>
              <w:jc w:val="right"/>
            </w:pPr>
            <w:r>
              <w:t>102  (18.8%)</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215D786" w14:textId="77777777" w:rsidR="00FD0BB9" w:rsidRDefault="00000000">
            <w:pPr>
              <w:jc w:val="right"/>
            </w:pPr>
            <w:r>
              <w:t>170  (26.9%)</w:t>
            </w:r>
          </w:p>
        </w:tc>
      </w:tr>
      <w:tr w:rsidR="00FD0BB9" w14:paraId="4935970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B0A076" w14:textId="77777777" w:rsidR="00FD0BB9" w:rsidRDefault="00000000">
            <w:r>
              <w:t>Small</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08B179" w14:textId="77777777" w:rsidR="00FD0BB9" w:rsidRDefault="00000000">
            <w:pPr>
              <w:jc w:val="right"/>
            </w:pPr>
            <w:r>
              <w:t>31  (6.2%)</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C8D4A4B" w14:textId="77777777" w:rsidR="00FD0BB9" w:rsidRDefault="00000000">
            <w:pPr>
              <w:jc w:val="right"/>
            </w:pPr>
            <w:r>
              <w:t>15  (2.8%)</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3680933" w14:textId="77777777" w:rsidR="00FD0BB9" w:rsidRDefault="00000000">
            <w:pPr>
              <w:jc w:val="right"/>
            </w:pPr>
            <w:r>
              <w:t>35  (5.5%)</w:t>
            </w:r>
          </w:p>
        </w:tc>
      </w:tr>
    </w:tbl>
    <w:p w14:paraId="27EF0B62" w14:textId="77777777" w:rsidR="00FD0BB9" w:rsidRDefault="00000000">
      <w:pPr>
        <w:pStyle w:val="Heading1"/>
        <w:spacing w:before="320" w:after="160"/>
      </w:pPr>
      <w:r>
        <w:t>6. Ownership and Control Considerations</w:t>
      </w:r>
    </w:p>
    <w:p w14:paraId="18947869" w14:textId="77777777" w:rsidR="00FD0BB9" w:rsidRDefault="00000000">
      <w:pPr>
        <w:spacing w:after="200" w:line="300" w:lineRule="auto"/>
      </w:pPr>
      <w:r>
        <w:t xml:space="preserve">The size-based classification in Section 5 determines whether a transaction meets the statutory thresholds, but is silent on whether the transaction actually results in a change of control, which is a separate precondition for a transaction to constitute a notifiable merger at all. Percent Owned (the acquirer's stake before the transaction) </w:t>
      </w:r>
      <w:r>
        <w:lastRenderedPageBreak/>
        <w:t>and Percent Sought (the stake being acquired in the transaction) were combined into a resulting-stake variable for this purpose.</w:t>
      </w:r>
    </w:p>
    <w:p w14:paraId="12DC0467" w14:textId="77777777" w:rsidR="00FD0BB9" w:rsidRDefault="00000000">
      <w:pPr>
        <w:spacing w:after="200" w:line="300" w:lineRule="auto"/>
      </w:pPr>
      <w:r>
        <w:t>Where the resulting stake reaches 50 per cent or more, control can be treated as established. Below that level, control cannot be confirmed from ownership percentages alone, since joint control or material influence can arise from board representation, veto rights or shareholder agreements that are not captured in Bloomberg's ownership fields; a resulting stake below 50 per cent is therefore ambiguous rather than negative. Of the 504 point-in-time transactions, 303 (60.1 per cent) reach a resulting stake of 50 per cent or more; of these, 282 are also classified Large and 13 Intermediate under the size test. This distinction was retained as a diagnostic variable rather than folded into the primary classification, so that the sensitivity of notifiable-merger counts to the control question can be assessed explicitly rather than assumed away.</w:t>
      </w:r>
    </w:p>
    <w:p w14:paraId="1DA195FF" w14:textId="77777777" w:rsidR="00FD0BB9" w:rsidRDefault="00000000">
      <w:pPr>
        <w:spacing w:after="200" w:line="300" w:lineRule="auto"/>
      </w:pPr>
      <w:r>
        <w:t>A related concern is that Total Assets and Turnover, as retrieved, describe the target company in its entirety rather than the specific proportion being acquired. This is the correct basis for a share acquisition, since gaining control of a majority stake brings the whole entity's balance sheet under new control regardless of the exact percentage of shares bought; it would not be correct for a transaction structured as an asset purchase, where only the specific assets transferred should count. Of the 504 point-in-time transactions, only one is tagged as an asset sale rather than a share acquisition (Action ID 7655458); it is flagged individually as a known limitation rather than addressed with a general adjustment rule built around a single case.</w:t>
      </w:r>
    </w:p>
    <w:p w14:paraId="5B04226A" w14:textId="77777777" w:rsidR="00FD0BB9" w:rsidRDefault="00000000">
      <w:pPr>
        <w:pStyle w:val="Heading1"/>
        <w:spacing w:before="320" w:after="160"/>
      </w:pPr>
      <w:r>
        <w:t>7. Deal Attribute Variables</w:t>
      </w:r>
    </w:p>
    <w:p w14:paraId="48A920FD" w14:textId="77777777" w:rsidR="00FD0BB9" w:rsidRDefault="00000000">
      <w:pPr>
        <w:spacing w:after="200" w:line="300" w:lineRule="auto"/>
      </w:pPr>
      <w:r>
        <w:t>Bloomberg's Deal Attributes field records a free-form, comma-separated set of tags per transaction (for example, “Company Takeover, Cross Border, Tender Offer”). This field was parsed into twenty-one individual binary indicator variables, one per distinct tag observed across the sample, together with three composite indicators grouping related tags: private-equity involvement (Private Equity, PE Buyout, PE Exit, PE Seller), any stake-change designation (Minority Purchase, Majority Purchase, Additional Stake Purchase), and formal offer process (Tender Offer, Mandatory Offer, Squeeze Out).</w:t>
      </w:r>
    </w:p>
    <w:p w14:paraId="1B6353A4" w14:textId="77777777" w:rsidR="00FD0BB9" w:rsidRDefault="00000000">
      <w:pPr>
        <w:pStyle w:val="Heading2"/>
        <w:spacing w:before="260" w:after="120"/>
      </w:pPr>
      <w:r>
        <w:t>Table 4. Deal attribute tag frequency (point-in-time sample, n=504)</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600"/>
        <w:gridCol w:w="1300"/>
      </w:tblGrid>
      <w:tr w:rsidR="00FD0BB9" w14:paraId="743E1CD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C8C8A3A" w14:textId="77777777" w:rsidR="00FD0BB9" w:rsidRDefault="00000000">
            <w:r>
              <w:rPr>
                <w:b/>
                <w:bCs/>
                <w:color w:val="FFFFFF"/>
              </w:rPr>
              <w:t>Tag</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69FB022" w14:textId="77777777" w:rsidR="00FD0BB9" w:rsidRDefault="00000000">
            <w:r>
              <w:rPr>
                <w:b/>
                <w:bCs/>
                <w:color w:val="FFFFFF"/>
              </w:rPr>
              <w:t>Count</w:t>
            </w:r>
          </w:p>
        </w:tc>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734D2C1" w14:textId="77777777" w:rsidR="00FD0BB9" w:rsidRDefault="00000000">
            <w:r>
              <w:rPr>
                <w:b/>
                <w:bCs/>
                <w:color w:val="FFFFFF"/>
              </w:rPr>
              <w:t>Tag</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0861E1D" w14:textId="77777777" w:rsidR="00FD0BB9" w:rsidRDefault="00000000">
            <w:r>
              <w:rPr>
                <w:b/>
                <w:bCs/>
                <w:color w:val="FFFFFF"/>
              </w:rPr>
              <w:t>Count</w:t>
            </w:r>
          </w:p>
        </w:tc>
      </w:tr>
      <w:tr w:rsidR="00FD0BB9" w14:paraId="048F54C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E664CA" w14:textId="77777777" w:rsidR="00FD0BB9" w:rsidRDefault="00000000">
            <w:r>
              <w:t>Company Takeover</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AB561D6" w14:textId="77777777" w:rsidR="00FD0BB9" w:rsidRDefault="00000000">
            <w:pPr>
              <w:jc w:val="right"/>
            </w:pPr>
            <w:r>
              <w:t>244</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B774161" w14:textId="77777777" w:rsidR="00FD0BB9" w:rsidRDefault="00000000">
            <w:pPr>
              <w:jc w:val="right"/>
            </w:pPr>
            <w:r>
              <w:t>Squeeze Out</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91422FF" w14:textId="77777777" w:rsidR="00FD0BB9" w:rsidRDefault="00000000">
            <w:pPr>
              <w:jc w:val="right"/>
            </w:pPr>
            <w:r>
              <w:t>5</w:t>
            </w:r>
          </w:p>
        </w:tc>
      </w:tr>
      <w:tr w:rsidR="00FD0BB9" w14:paraId="3D67551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9B30180" w14:textId="77777777" w:rsidR="00FD0BB9" w:rsidRDefault="00000000">
            <w:r>
              <w:t>Additional Stake Purchase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34D445F" w14:textId="77777777" w:rsidR="00FD0BB9" w:rsidRDefault="00000000">
            <w:pPr>
              <w:jc w:val="right"/>
            </w:pPr>
            <w:r>
              <w:t>176</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644C52E" w14:textId="77777777" w:rsidR="00FD0BB9" w:rsidRDefault="00000000">
            <w:pPr>
              <w:jc w:val="right"/>
            </w:pPr>
            <w:r>
              <w:t>PE Buyout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74D594B" w14:textId="77777777" w:rsidR="00FD0BB9" w:rsidRDefault="00000000">
            <w:pPr>
              <w:jc w:val="right"/>
            </w:pPr>
            <w:r>
              <w:t>5</w:t>
            </w:r>
          </w:p>
        </w:tc>
      </w:tr>
      <w:tr w:rsidR="00FD0BB9" w14:paraId="63CCF11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37E15E" w14:textId="77777777" w:rsidR="00FD0BB9" w:rsidRDefault="00000000">
            <w:r>
              <w:t>Cross Border</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ACDABB7" w14:textId="77777777" w:rsidR="00FD0BB9" w:rsidRDefault="00000000">
            <w:pPr>
              <w:jc w:val="right"/>
            </w:pPr>
            <w:r>
              <w:t>147</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4159C7" w14:textId="77777777" w:rsidR="00FD0BB9" w:rsidRDefault="00000000">
            <w:pPr>
              <w:jc w:val="right"/>
            </w:pPr>
            <w:r>
              <w:t>Competing Bid</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1E2061" w14:textId="77777777" w:rsidR="00FD0BB9" w:rsidRDefault="00000000">
            <w:pPr>
              <w:jc w:val="right"/>
            </w:pPr>
            <w:r>
              <w:t>4</w:t>
            </w:r>
          </w:p>
        </w:tc>
      </w:tr>
      <w:tr w:rsidR="00FD0BB9" w14:paraId="1C23C4F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84A06FA" w14:textId="77777777" w:rsidR="00FD0BB9" w:rsidRDefault="00000000">
            <w:r>
              <w:t>Minority Purchase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AFA75D1" w14:textId="77777777" w:rsidR="00FD0BB9" w:rsidRDefault="00000000">
            <w:pPr>
              <w:jc w:val="right"/>
            </w:pPr>
            <w:r>
              <w:t>132</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586BA53" w14:textId="77777777" w:rsidR="00FD0BB9" w:rsidRDefault="00000000">
            <w:pPr>
              <w:jc w:val="right"/>
            </w:pPr>
            <w:r>
              <w:t>PE Seller</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CA6F578" w14:textId="77777777" w:rsidR="00FD0BB9" w:rsidRDefault="00000000">
            <w:pPr>
              <w:jc w:val="right"/>
            </w:pPr>
            <w:r>
              <w:t>4</w:t>
            </w:r>
          </w:p>
        </w:tc>
      </w:tr>
      <w:tr w:rsidR="00FD0BB9" w14:paraId="45621891"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487022" w14:textId="77777777" w:rsidR="00FD0BB9" w:rsidRDefault="00000000">
            <w:r>
              <w:t>Tender Offer</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D027C81" w14:textId="77777777" w:rsidR="00FD0BB9" w:rsidRDefault="00000000">
            <w:pPr>
              <w:jc w:val="right"/>
            </w:pPr>
            <w:r>
              <w:t>83</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36F2486" w14:textId="77777777" w:rsidR="00FD0BB9" w:rsidRDefault="00000000">
            <w:pPr>
              <w:jc w:val="right"/>
            </w:pPr>
            <w:r>
              <w:t>Option Agreement</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D90357" w14:textId="77777777" w:rsidR="00FD0BB9" w:rsidRDefault="00000000">
            <w:pPr>
              <w:jc w:val="right"/>
            </w:pPr>
            <w:r>
              <w:t>2</w:t>
            </w:r>
          </w:p>
        </w:tc>
      </w:tr>
      <w:tr w:rsidR="00FD0BB9" w14:paraId="690D98E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F554518" w14:textId="77777777" w:rsidR="00FD0BB9" w:rsidRDefault="00000000">
            <w:r>
              <w:t>Majority Purchase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548A26D" w14:textId="77777777" w:rsidR="00FD0BB9" w:rsidRDefault="00000000">
            <w:pPr>
              <w:jc w:val="right"/>
            </w:pPr>
            <w:r>
              <w:t>48</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E8C2157" w14:textId="77777777" w:rsidR="00FD0BB9" w:rsidRDefault="00000000">
            <w:pPr>
              <w:jc w:val="right"/>
            </w:pPr>
            <w:r>
              <w:t>Going Private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0E7D61B" w14:textId="77777777" w:rsidR="00FD0BB9" w:rsidRDefault="00000000">
            <w:pPr>
              <w:jc w:val="right"/>
            </w:pPr>
            <w:r>
              <w:t>2</w:t>
            </w:r>
          </w:p>
        </w:tc>
      </w:tr>
      <w:tr w:rsidR="00FD0BB9" w14:paraId="12DEFE11"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9B0DB78" w14:textId="77777777" w:rsidR="00FD0BB9" w:rsidRDefault="00000000">
            <w:r>
              <w:t>Private Equity</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0E071D9" w14:textId="77777777" w:rsidR="00FD0BB9" w:rsidRDefault="00000000">
            <w:pPr>
              <w:jc w:val="right"/>
            </w:pPr>
            <w:r>
              <w:t>22</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7C50D8" w14:textId="77777777" w:rsidR="00FD0BB9" w:rsidRDefault="00000000">
            <w:pPr>
              <w:jc w:val="right"/>
            </w:pPr>
            <w:r>
              <w:t>PE Exit</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5366575" w14:textId="77777777" w:rsidR="00FD0BB9" w:rsidRDefault="00000000">
            <w:pPr>
              <w:jc w:val="right"/>
            </w:pPr>
            <w:r>
              <w:t>2</w:t>
            </w:r>
          </w:p>
        </w:tc>
      </w:tr>
      <w:tr w:rsidR="00FD0BB9" w14:paraId="5473440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FC58D5F" w14:textId="77777777" w:rsidR="00FD0BB9" w:rsidRDefault="00000000">
            <w:r>
              <w:t>Mandatory Offer</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8CD3C05" w14:textId="77777777" w:rsidR="00FD0BB9" w:rsidRDefault="00000000">
            <w:pPr>
              <w:jc w:val="right"/>
            </w:pPr>
            <w:r>
              <w:t>12</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48462BB" w14:textId="77777777" w:rsidR="00FD0BB9" w:rsidRDefault="00000000">
            <w:pPr>
              <w:jc w:val="right"/>
            </w:pPr>
            <w:r>
              <w:t>Government Privatization</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5CC94BF" w14:textId="77777777" w:rsidR="00FD0BB9" w:rsidRDefault="00000000">
            <w:pPr>
              <w:jc w:val="right"/>
            </w:pPr>
            <w:r>
              <w:t>2</w:t>
            </w:r>
          </w:p>
        </w:tc>
      </w:tr>
      <w:tr w:rsidR="00FD0BB9" w14:paraId="40C8043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5063FF9" w14:textId="77777777" w:rsidR="00FD0BB9" w:rsidRDefault="00000000">
            <w:r>
              <w:t>Private Placement</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BD11577" w14:textId="77777777" w:rsidR="00FD0BB9" w:rsidRDefault="00000000">
            <w:pPr>
              <w:jc w:val="right"/>
            </w:pPr>
            <w:r>
              <w:t>11</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31402F" w14:textId="77777777" w:rsidR="00FD0BB9" w:rsidRDefault="00000000">
            <w:pPr>
              <w:jc w:val="right"/>
            </w:pPr>
            <w:r>
              <w:t>Reverse Merger</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782FA0" w14:textId="77777777" w:rsidR="00FD0BB9" w:rsidRDefault="00000000">
            <w:pPr>
              <w:jc w:val="right"/>
            </w:pPr>
            <w:r>
              <w:t>1</w:t>
            </w:r>
          </w:p>
        </w:tc>
      </w:tr>
      <w:tr w:rsidR="00FD0BB9" w14:paraId="2959D06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455710A" w14:textId="77777777" w:rsidR="00FD0BB9" w:rsidRDefault="00FD0BB9"/>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CDE7109" w14:textId="77777777" w:rsidR="00FD0BB9" w:rsidRDefault="00FD0BB9">
            <w:pPr>
              <w:jc w:val="right"/>
            </w:pP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CA34F65" w14:textId="77777777" w:rsidR="00FD0BB9" w:rsidRDefault="00000000">
            <w:pPr>
              <w:jc w:val="right"/>
            </w:pPr>
            <w:r>
              <w:t>Recapitalization</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029A98A" w14:textId="77777777" w:rsidR="00FD0BB9" w:rsidRDefault="00000000">
            <w:pPr>
              <w:jc w:val="right"/>
            </w:pPr>
            <w:r>
              <w:t>1</w:t>
            </w:r>
          </w:p>
        </w:tc>
      </w:tr>
      <w:tr w:rsidR="00FD0BB9" w14:paraId="39AFA052"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9DAF66" w14:textId="77777777" w:rsidR="00FD0BB9" w:rsidRDefault="00FD0BB9"/>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5ED909" w14:textId="77777777" w:rsidR="00FD0BB9" w:rsidRDefault="00FD0BB9">
            <w:pPr>
              <w:jc w:val="right"/>
            </w:pP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AB90735" w14:textId="77777777" w:rsidR="00FD0BB9" w:rsidRDefault="00000000">
            <w:pPr>
              <w:jc w:val="right"/>
            </w:pPr>
            <w:r>
              <w:t>Asset Sale</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566D66" w14:textId="77777777" w:rsidR="00FD0BB9" w:rsidRDefault="00000000">
            <w:pPr>
              <w:jc w:val="right"/>
            </w:pPr>
            <w:r>
              <w:t>1</w:t>
            </w:r>
          </w:p>
        </w:tc>
      </w:tr>
      <w:tr w:rsidR="00FD0BB9" w14:paraId="1AAEFD72"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1A64175" w14:textId="77777777" w:rsidR="00FD0BB9" w:rsidRDefault="00FD0BB9"/>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229ECEA" w14:textId="77777777" w:rsidR="00FD0BB9" w:rsidRDefault="00FD0BB9">
            <w:pPr>
              <w:jc w:val="right"/>
            </w:pP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D728475" w14:textId="77777777" w:rsidR="00FD0BB9" w:rsidRDefault="00000000">
            <w:pPr>
              <w:jc w:val="right"/>
            </w:pPr>
            <w:r>
              <w:t>Bankruptcy/Liquidation</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03FDE" w14:textId="77777777" w:rsidR="00FD0BB9" w:rsidRDefault="00000000">
            <w:pPr>
              <w:jc w:val="right"/>
            </w:pPr>
            <w:r>
              <w:t>1</w:t>
            </w:r>
          </w:p>
        </w:tc>
      </w:tr>
    </w:tbl>
    <w:p w14:paraId="463DB111" w14:textId="77777777" w:rsidR="00FD0BB9" w:rsidRDefault="00000000">
      <w:pPr>
        <w:spacing w:after="200" w:line="300" w:lineRule="auto"/>
      </w:pPr>
      <w:r>
        <w:lastRenderedPageBreak/>
        <w:t>Of these, Cross Border is of particular relevance to the research question, since it distinguishes transactions occurring wholly within South Africa from those into or from South Africa, directly bearing on the population the sample is intended to represent.</w:t>
      </w:r>
    </w:p>
    <w:p w14:paraId="47BEAAEC" w14:textId="77777777" w:rsidR="00FD0BB9" w:rsidRDefault="00000000">
      <w:pPr>
        <w:pStyle w:val="Heading1"/>
        <w:spacing w:before="320" w:after="160"/>
      </w:pPr>
      <w:r>
        <w:t>8. Final Variable Set and Column Pruning</w:t>
      </w:r>
    </w:p>
    <w:p w14:paraId="78B00017" w14:textId="77777777" w:rsidR="00FD0BB9" w:rsidRDefault="00000000">
      <w:pPr>
        <w:spacing w:after="200" w:line="300" w:lineRule="auto"/>
      </w:pPr>
      <w:r>
        <w:t>Two rounds of column removal were applied to the working files. The first removed any column with more than 75 per cent of values missing — predominantly adviser names and fees, deal premiums, and amendment or proposal dates — with the deliberate exception of the four core financial variables (target and acquirer assets and turnover), whose incompleteness is a substantive finding documented in Sections 2 and 3 rather than a data-quality defect to be concealed by removal.</w:t>
      </w:r>
    </w:p>
    <w:p w14:paraId="130062D3" w14:textId="77777777" w:rsidR="00FD0BB9" w:rsidRDefault="00000000">
      <w:pPr>
        <w:spacing w:after="200" w:line="300" w:lineRule="auto"/>
      </w:pPr>
      <w:r>
        <w:t>The second round removed columns judged unnecessary for the analysis once their information had been captured elsewhere: ticker identifiers and the target and acquirer security-description and security-type fields were dropped once used to construct the standalone Ownership Type (Public/Private) variable, and disaggregated balance-sheet fields (Gross Fixed Assets, Current Assets Reported, Current Assets to Total Assets) were dropped as neither used in classification nor, per Section 3, a usable source of additional coverage.</w:t>
      </w:r>
    </w:p>
    <w:p w14:paraId="10DC04DC" w14:textId="77777777" w:rsidR="00FD0BB9" w:rsidRDefault="00000000">
      <w:pPr>
        <w:spacing w:after="200" w:line="300" w:lineRule="auto"/>
      </w:pPr>
      <w:r>
        <w:t>Each working file was also split into three views — the full sample, Public targets only, and Private targets only — held as separate sheets within a single workbook, so that the private-company coverage limitation documented throughout this note can be isolated from the results without maintaining separate files.</w:t>
      </w:r>
    </w:p>
    <w:p w14:paraId="63B314FB" w14:textId="77777777" w:rsidR="00FD0BB9" w:rsidRDefault="00000000">
      <w:pPr>
        <w:pStyle w:val="Heading1"/>
        <w:spacing w:before="320" w:after="160"/>
      </w:pPr>
      <w:r>
        <w:t>9. Robustness Comparison</w:t>
      </w:r>
    </w:p>
    <w:p w14:paraId="6838CFB3" w14:textId="77777777" w:rsidR="00FD0BB9" w:rsidRDefault="00000000">
      <w:pPr>
        <w:spacing w:after="200" w:line="300" w:lineRule="auto"/>
      </w:pPr>
      <w:r>
        <w:t>Descriptive statistics, Pearson correlation matrices and box plots were produced separately for the point-in-time and MA-screen samples to characterise the practical consequences of the measurement-basis choice. Mean values for every financial variable were three to eight times higher in the MA-screen sample than in the point-in-time sample (for example, mean target Total Assets of R87.2 billion against R25.0 billion), consistent with the current-value inflation already identified.</w:t>
      </w:r>
    </w:p>
    <w:p w14:paraId="66850328" w14:textId="77777777" w:rsidR="00FD0BB9" w:rsidRDefault="00000000">
      <w:pPr>
        <w:spacing w:after="200" w:line="300" w:lineRule="auto"/>
      </w:pPr>
      <w:r>
        <w:t>The correlation structure also differed between the two sources, not only their level. Target Revenue correlated with Announced Deal Value at 0.51 in the MA-screen sample against only 0.22 in the point-in-time sample — a relationship consistent with both figures being jointly inflated by the passage of time for older transactions, rather than reflecting a genuine relationship between a deal's original size and its target's turnover at the time.</w:t>
      </w:r>
    </w:p>
    <w:p w14:paraId="17D6FC69" w14:textId="77777777" w:rsidR="00FD0BB9" w:rsidRDefault="00000000">
      <w:pPr>
        <w:pStyle w:val="Heading1"/>
        <w:spacing w:before="320" w:after="160"/>
      </w:pPr>
      <w:r>
        <w:t>10. Blended Dataset</w:t>
      </w:r>
    </w:p>
    <w:p w14:paraId="2D9E0AAF" w14:textId="77777777" w:rsidR="00FD0BB9" w:rsidRDefault="00000000">
      <w:pPr>
        <w:spacing w:after="200" w:line="300" w:lineRule="auto"/>
      </w:pPr>
      <w:r>
        <w:t>A blended dataset was constructed by preferring the point-in-time value for each of the four financial variables and falling back to the MA-screen value only where the point-in-time figure was missing, with the source of each figure — point-in-time or MA-screen — retained as an explicit indicator alongside every financial variable. Applying the same both-sides-represented selection and window restriction as the two single-source samples yielded 633 qualifying transactions, of which 591 involve a public target and 42 a private one.</w:t>
      </w:r>
    </w:p>
    <w:p w14:paraId="230C9A71" w14:textId="77777777" w:rsidR="00FD0BB9" w:rsidRDefault="00000000">
      <w:pPr>
        <w:spacing w:after="200" w:line="300" w:lineRule="auto"/>
      </w:pPr>
      <w:r>
        <w:t>The blended sample's classification distribution (Table 3) sits closer to the point-in-time sample's proportions than to the MA-screen sample's, despite drawing on both sources: 67.6 per cent Large against 66.5 per cent for point-in-time and 78.4 per cent for MA-screen alone. This indicates that most of the additional transactions the blend contributes are genuinely new point-in-time observations with no MA-screen equivalent, rather than point-in-time gaps filled by current-value figures, so the blend's extra coverage is not primarily bought at the cost of measurement contamination — though a minority of rows do carry MA-screen-sourced figures, identifiable via the retained source indicators.</w:t>
      </w:r>
    </w:p>
    <w:p w14:paraId="358DA3BD" w14:textId="77777777" w:rsidR="00FD0BB9" w:rsidRDefault="00000000">
      <w:pPr>
        <w:spacing w:after="200" w:line="300" w:lineRule="auto"/>
      </w:pPr>
      <w:r>
        <w:lastRenderedPageBreak/>
        <w:t>The blended dataset is the primary working file going forward. The pure point-in-time and pure MA-screen samples are retained unchanged as bracketing robustness checks, allowing any result obtained on the blended data to be re-run on either single-source sample to assess its sensitivity to the inclusion of current-value figures.</w:t>
      </w:r>
    </w:p>
    <w:sectPr w:rsidR="00FD0B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432D0"/>
    <w:multiLevelType w:val="hybridMultilevel"/>
    <w:tmpl w:val="682A9C54"/>
    <w:lvl w:ilvl="0" w:tplc="E6108664">
      <w:start w:val="1"/>
      <w:numFmt w:val="bullet"/>
      <w:lvlText w:val="●"/>
      <w:lvlJc w:val="left"/>
      <w:pPr>
        <w:ind w:left="720" w:hanging="360"/>
      </w:pPr>
    </w:lvl>
    <w:lvl w:ilvl="1" w:tplc="453EC0AE">
      <w:start w:val="1"/>
      <w:numFmt w:val="bullet"/>
      <w:lvlText w:val="○"/>
      <w:lvlJc w:val="left"/>
      <w:pPr>
        <w:ind w:left="1440" w:hanging="360"/>
      </w:pPr>
    </w:lvl>
    <w:lvl w:ilvl="2" w:tplc="6DDC2B3A">
      <w:start w:val="1"/>
      <w:numFmt w:val="bullet"/>
      <w:lvlText w:val="■"/>
      <w:lvlJc w:val="left"/>
      <w:pPr>
        <w:ind w:left="2160" w:hanging="360"/>
      </w:pPr>
    </w:lvl>
    <w:lvl w:ilvl="3" w:tplc="B0485D8C">
      <w:start w:val="1"/>
      <w:numFmt w:val="bullet"/>
      <w:lvlText w:val="●"/>
      <w:lvlJc w:val="left"/>
      <w:pPr>
        <w:ind w:left="2880" w:hanging="360"/>
      </w:pPr>
    </w:lvl>
    <w:lvl w:ilvl="4" w:tplc="235AABA2">
      <w:start w:val="1"/>
      <w:numFmt w:val="bullet"/>
      <w:lvlText w:val="○"/>
      <w:lvlJc w:val="left"/>
      <w:pPr>
        <w:ind w:left="3600" w:hanging="360"/>
      </w:pPr>
    </w:lvl>
    <w:lvl w:ilvl="5" w:tplc="ED28CFEE">
      <w:start w:val="1"/>
      <w:numFmt w:val="bullet"/>
      <w:lvlText w:val="■"/>
      <w:lvlJc w:val="left"/>
      <w:pPr>
        <w:ind w:left="4320" w:hanging="360"/>
      </w:pPr>
    </w:lvl>
    <w:lvl w:ilvl="6" w:tplc="94EEFEF4">
      <w:start w:val="1"/>
      <w:numFmt w:val="bullet"/>
      <w:lvlText w:val="●"/>
      <w:lvlJc w:val="left"/>
      <w:pPr>
        <w:ind w:left="5040" w:hanging="360"/>
      </w:pPr>
    </w:lvl>
    <w:lvl w:ilvl="7" w:tplc="723CD2BE">
      <w:start w:val="1"/>
      <w:numFmt w:val="bullet"/>
      <w:lvlText w:val="●"/>
      <w:lvlJc w:val="left"/>
      <w:pPr>
        <w:ind w:left="5760" w:hanging="360"/>
      </w:pPr>
    </w:lvl>
    <w:lvl w:ilvl="8" w:tplc="5A7EF350">
      <w:start w:val="1"/>
      <w:numFmt w:val="bullet"/>
      <w:lvlText w:val="●"/>
      <w:lvlJc w:val="left"/>
      <w:pPr>
        <w:ind w:left="6480" w:hanging="360"/>
      </w:pPr>
    </w:lvl>
  </w:abstractNum>
  <w:num w:numId="1" w16cid:durableId="547572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BB9"/>
    <w:rsid w:val="00117FB1"/>
    <w:rsid w:val="00737876"/>
    <w:rsid w:val="00FD0B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98C9"/>
  <w15:docId w15:val="{0BC1704B-0FA0-4A61-9EEB-82292076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2610</Words>
  <Characters>14881</Characters>
  <Application>Microsoft Office Word</Application>
  <DocSecurity>0</DocSecurity>
  <Lines>124</Lines>
  <Paragraphs>34</Paragraphs>
  <ScaleCrop>false</ScaleCrop>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Nhamo, Precious, Mej [22660348@sun.ac.za]</cp:lastModifiedBy>
  <cp:revision>3</cp:revision>
  <dcterms:created xsi:type="dcterms:W3CDTF">2026-09-18T09:35:00Z</dcterms:created>
  <dcterms:modified xsi:type="dcterms:W3CDTF">2026-09-18T09:40:00Z</dcterms:modified>
</cp:coreProperties>
</file>