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6184" w14:textId="77777777" w:rsidR="00273087" w:rsidRPr="00273087" w:rsidRDefault="00273087" w:rsidP="00273087">
      <w:r w:rsidRPr="00273087">
        <w:rPr>
          <w:b/>
          <w:bCs/>
          <w:sz w:val="56"/>
          <w:szCs w:val="56"/>
        </w:rPr>
        <w:t>BANK OF AMERICA</w:t>
      </w:r>
      <w:r w:rsidRPr="00273087">
        <w:br/>
      </w:r>
      <w:r w:rsidRPr="00273087">
        <w:rPr>
          <w:b/>
          <w:bCs/>
          <w:sz w:val="48"/>
          <w:szCs w:val="48"/>
        </w:rPr>
        <w:t>Financial Forecasting Report</w:t>
      </w:r>
    </w:p>
    <w:p w14:paraId="562BE23D" w14:textId="77777777" w:rsidR="00273087" w:rsidRPr="00273087" w:rsidRDefault="00273087" w:rsidP="00273087">
      <w:pPr>
        <w:rPr>
          <w:sz w:val="24"/>
          <w:szCs w:val="24"/>
        </w:rPr>
      </w:pPr>
      <w:r w:rsidRPr="00273087">
        <w:rPr>
          <w:b/>
          <w:bCs/>
          <w:sz w:val="24"/>
          <w:szCs w:val="24"/>
        </w:rPr>
        <w:t>Week 2: Creating Financial Forecasts</w:t>
      </w:r>
    </w:p>
    <w:p w14:paraId="6C931D77" w14:textId="77777777" w:rsidR="00273087" w:rsidRPr="00273087" w:rsidRDefault="00273087" w:rsidP="00273087">
      <w:pPr>
        <w:rPr>
          <w:sz w:val="24"/>
          <w:szCs w:val="24"/>
        </w:rPr>
      </w:pPr>
      <w:r w:rsidRPr="00273087">
        <w:rPr>
          <w:sz w:val="24"/>
          <w:szCs w:val="24"/>
        </w:rPr>
        <w:t xml:space="preserve">Prepared by: </w:t>
      </w:r>
      <w:r w:rsidRPr="00273087">
        <w:rPr>
          <w:b/>
          <w:bCs/>
          <w:sz w:val="24"/>
          <w:szCs w:val="24"/>
        </w:rPr>
        <w:t>Preyash Gandhi</w:t>
      </w:r>
      <w:r w:rsidRPr="00273087">
        <w:rPr>
          <w:sz w:val="24"/>
          <w:szCs w:val="24"/>
        </w:rPr>
        <w:br/>
        <w:t xml:space="preserve">Role: </w:t>
      </w:r>
      <w:r w:rsidRPr="00273087">
        <w:rPr>
          <w:b/>
          <w:bCs/>
          <w:sz w:val="24"/>
          <w:szCs w:val="24"/>
        </w:rPr>
        <w:t>Fintech Analyst Intern</w:t>
      </w:r>
    </w:p>
    <w:p w14:paraId="62DE603B" w14:textId="77777777" w:rsidR="00273087" w:rsidRPr="00273087" w:rsidRDefault="00273087" w:rsidP="00273087">
      <w:r w:rsidRPr="00273087">
        <w:rPr>
          <w:b/>
          <w:bCs/>
          <w:sz w:val="24"/>
          <w:szCs w:val="24"/>
        </w:rPr>
        <w:t>Project Overview</w:t>
      </w:r>
    </w:p>
    <w:p w14:paraId="081E96F9" w14:textId="77777777" w:rsidR="00273087" w:rsidRPr="005C36D2" w:rsidRDefault="00273087" w:rsidP="00273087">
      <w:pPr>
        <w:rPr>
          <w:sz w:val="24"/>
          <w:szCs w:val="24"/>
        </w:rPr>
      </w:pPr>
      <w:r w:rsidRPr="005C36D2">
        <w:rPr>
          <w:sz w:val="24"/>
          <w:szCs w:val="24"/>
        </w:rPr>
        <w:t>This project uses the cleaned Week 1 dataset to forecast Bank of America’s closing stock price. Two simple methods—a naive forecast and a 20-session average forecast—are evaluated on the final 60 trading sessions using MAE and RMSE. The report explains the model design, compares forecast performance, and presents a 60-session forecast based on data available through 31 December 2025.</w:t>
      </w:r>
    </w:p>
    <w:p w14:paraId="5CC6C42D" w14:textId="77777777" w:rsidR="000B167E" w:rsidRDefault="000B167E"/>
    <w:p w14:paraId="273AEAFE" w14:textId="1A55E346" w:rsidR="00273087" w:rsidRDefault="00273087">
      <w:r>
        <w:br w:type="page"/>
      </w:r>
    </w:p>
    <w:p w14:paraId="4540D3CC" w14:textId="77777777" w:rsidR="00273087" w:rsidRPr="00273087" w:rsidRDefault="00273087" w:rsidP="00273087">
      <w:pPr>
        <w:rPr>
          <w:sz w:val="32"/>
          <w:szCs w:val="32"/>
        </w:rPr>
      </w:pPr>
      <w:r w:rsidRPr="00273087">
        <w:rPr>
          <w:b/>
          <w:bCs/>
          <w:sz w:val="32"/>
          <w:szCs w:val="32"/>
        </w:rPr>
        <w:lastRenderedPageBreak/>
        <w:t>1. Project Objective</w:t>
      </w:r>
    </w:p>
    <w:p w14:paraId="630A12A6" w14:textId="77777777" w:rsidR="00273087" w:rsidRPr="005C36D2" w:rsidRDefault="00273087" w:rsidP="00273087">
      <w:pPr>
        <w:rPr>
          <w:sz w:val="24"/>
          <w:szCs w:val="24"/>
        </w:rPr>
      </w:pPr>
      <w:r w:rsidRPr="005C36D2">
        <w:rPr>
          <w:sz w:val="24"/>
          <w:szCs w:val="24"/>
        </w:rPr>
        <w:t>The objective of this project is to develop and evaluate a basic forecasting model for Bank of America’s closing stock price using the cleaned Week 1 dataset. A 20-session average forecast is compared with a naive benchmark. Performance is measured using Mean Absolute Error (MAE) and Root Mean Squared Error (RMSE).</w:t>
      </w:r>
    </w:p>
    <w:p w14:paraId="147A4678" w14:textId="77777777" w:rsidR="00273087" w:rsidRPr="005C36D2" w:rsidRDefault="00273087" w:rsidP="00273087">
      <w:pPr>
        <w:rPr>
          <w:sz w:val="24"/>
          <w:szCs w:val="24"/>
        </w:rPr>
      </w:pPr>
      <w:r w:rsidRPr="005C36D2">
        <w:rPr>
          <w:sz w:val="24"/>
          <w:szCs w:val="24"/>
        </w:rPr>
        <w:t>After evaluation, a forecast is generated for the next 60 trading sessions beyond the dataset’s final date.</w:t>
      </w:r>
    </w:p>
    <w:p w14:paraId="31EE2D1B" w14:textId="77777777" w:rsidR="00273087" w:rsidRDefault="00273087" w:rsidP="00273087">
      <w:pPr>
        <w:rPr>
          <w:b/>
          <w:bCs/>
          <w:sz w:val="32"/>
          <w:szCs w:val="32"/>
        </w:rPr>
      </w:pPr>
      <w:r w:rsidRPr="00273087">
        <w:rPr>
          <w:b/>
          <w:bCs/>
          <w:sz w:val="32"/>
          <w:szCs w:val="32"/>
        </w:rPr>
        <w:t>2. Dataset Overview</w:t>
      </w:r>
    </w:p>
    <w:tbl>
      <w:tblPr>
        <w:tblStyle w:val="TableGrid"/>
        <w:tblW w:w="4082" w:type="pct"/>
        <w:tblLook w:val="04A0" w:firstRow="1" w:lastRow="0" w:firstColumn="1" w:lastColumn="0" w:noHBand="0" w:noVBand="1"/>
      </w:tblPr>
      <w:tblGrid>
        <w:gridCol w:w="2332"/>
        <w:gridCol w:w="5029"/>
      </w:tblGrid>
      <w:tr w:rsidR="0011448B" w14:paraId="722D5812" w14:textId="77777777" w:rsidTr="0011448B">
        <w:trPr>
          <w:trHeight w:val="383"/>
        </w:trPr>
        <w:tc>
          <w:tcPr>
            <w:tcW w:w="1584" w:type="pct"/>
            <w:vAlign w:val="center"/>
          </w:tcPr>
          <w:p w14:paraId="155A5361" w14:textId="495B610F" w:rsidR="0011448B" w:rsidRDefault="0011448B" w:rsidP="0011448B">
            <w:pPr>
              <w:rPr>
                <w:sz w:val="32"/>
                <w:szCs w:val="32"/>
              </w:rPr>
            </w:pPr>
            <w:r w:rsidRPr="00273087">
              <w:rPr>
                <w:b/>
                <w:bCs/>
              </w:rPr>
              <w:t>Item</w:t>
            </w:r>
          </w:p>
        </w:tc>
        <w:tc>
          <w:tcPr>
            <w:tcW w:w="3416" w:type="pct"/>
            <w:vAlign w:val="center"/>
          </w:tcPr>
          <w:p w14:paraId="453D70D4" w14:textId="51A75AA2" w:rsidR="0011448B" w:rsidRDefault="0011448B" w:rsidP="0011448B">
            <w:pPr>
              <w:rPr>
                <w:sz w:val="32"/>
                <w:szCs w:val="32"/>
              </w:rPr>
            </w:pPr>
            <w:r w:rsidRPr="00273087">
              <w:rPr>
                <w:b/>
                <w:bCs/>
              </w:rPr>
              <w:t>Details</w:t>
            </w:r>
          </w:p>
        </w:tc>
      </w:tr>
      <w:tr w:rsidR="0011448B" w14:paraId="4216CE42" w14:textId="77777777" w:rsidTr="0011448B">
        <w:trPr>
          <w:trHeight w:val="539"/>
        </w:trPr>
        <w:tc>
          <w:tcPr>
            <w:tcW w:w="1584" w:type="pct"/>
            <w:vAlign w:val="center"/>
          </w:tcPr>
          <w:p w14:paraId="6051556C" w14:textId="1C4CDF0E" w:rsidR="0011448B" w:rsidRDefault="0011448B" w:rsidP="0011448B">
            <w:pPr>
              <w:rPr>
                <w:sz w:val="32"/>
                <w:szCs w:val="32"/>
              </w:rPr>
            </w:pPr>
            <w:r w:rsidRPr="00273087">
              <w:t>Dataset</w:t>
            </w:r>
          </w:p>
        </w:tc>
        <w:tc>
          <w:tcPr>
            <w:tcW w:w="3416" w:type="pct"/>
            <w:vAlign w:val="center"/>
          </w:tcPr>
          <w:p w14:paraId="2B46F9A9" w14:textId="4C15ECA2" w:rsidR="0011448B" w:rsidRDefault="0011448B" w:rsidP="0011448B">
            <w:pPr>
              <w:rPr>
                <w:sz w:val="32"/>
                <w:szCs w:val="32"/>
              </w:rPr>
            </w:pPr>
            <w:r w:rsidRPr="00273087">
              <w:t>Bank of America historical stock data</w:t>
            </w:r>
          </w:p>
        </w:tc>
      </w:tr>
      <w:tr w:rsidR="0011448B" w14:paraId="606568F1" w14:textId="77777777" w:rsidTr="0011448B">
        <w:trPr>
          <w:trHeight w:val="539"/>
        </w:trPr>
        <w:tc>
          <w:tcPr>
            <w:tcW w:w="1584" w:type="pct"/>
            <w:vAlign w:val="center"/>
          </w:tcPr>
          <w:p w14:paraId="47B5660D" w14:textId="0023E6CF" w:rsidR="0011448B" w:rsidRDefault="0011448B" w:rsidP="0011448B">
            <w:pPr>
              <w:rPr>
                <w:sz w:val="32"/>
                <w:szCs w:val="32"/>
              </w:rPr>
            </w:pPr>
            <w:r w:rsidRPr="00273087">
              <w:t>Source</w:t>
            </w:r>
          </w:p>
        </w:tc>
        <w:tc>
          <w:tcPr>
            <w:tcW w:w="3416" w:type="pct"/>
            <w:vAlign w:val="center"/>
          </w:tcPr>
          <w:p w14:paraId="1518D026" w14:textId="7C5A5283" w:rsidR="0011448B" w:rsidRDefault="0011448B" w:rsidP="0011448B">
            <w:pPr>
              <w:rPr>
                <w:sz w:val="32"/>
                <w:szCs w:val="32"/>
              </w:rPr>
            </w:pPr>
            <w:r w:rsidRPr="00273087">
              <w:t>Kaggle — dataset published by isaaclopgu</w:t>
            </w:r>
          </w:p>
        </w:tc>
      </w:tr>
      <w:tr w:rsidR="0011448B" w14:paraId="57680933" w14:textId="77777777" w:rsidTr="0011448B">
        <w:trPr>
          <w:trHeight w:val="383"/>
        </w:trPr>
        <w:tc>
          <w:tcPr>
            <w:tcW w:w="1584" w:type="pct"/>
            <w:vAlign w:val="center"/>
          </w:tcPr>
          <w:p w14:paraId="40E8F922" w14:textId="301C5817" w:rsidR="0011448B" w:rsidRDefault="0011448B" w:rsidP="0011448B">
            <w:pPr>
              <w:rPr>
                <w:sz w:val="32"/>
                <w:szCs w:val="32"/>
              </w:rPr>
            </w:pPr>
            <w:r w:rsidRPr="00273087">
              <w:t>Input file</w:t>
            </w:r>
          </w:p>
        </w:tc>
        <w:tc>
          <w:tcPr>
            <w:tcW w:w="3416" w:type="pct"/>
            <w:vAlign w:val="center"/>
          </w:tcPr>
          <w:p w14:paraId="44AA7461" w14:textId="4A6C2CD1" w:rsidR="0011448B" w:rsidRDefault="0011448B" w:rsidP="0011448B">
            <w:pPr>
              <w:rPr>
                <w:sz w:val="32"/>
                <w:szCs w:val="32"/>
              </w:rPr>
            </w:pPr>
            <w:r w:rsidRPr="00273087">
              <w:t>Bank_of_America_Cleaned.csv</w:t>
            </w:r>
          </w:p>
        </w:tc>
      </w:tr>
      <w:tr w:rsidR="0011448B" w14:paraId="1586D0A1" w14:textId="77777777" w:rsidTr="0011448B">
        <w:trPr>
          <w:trHeight w:val="383"/>
        </w:trPr>
        <w:tc>
          <w:tcPr>
            <w:tcW w:w="1584" w:type="pct"/>
            <w:vAlign w:val="center"/>
          </w:tcPr>
          <w:p w14:paraId="50C68C1A" w14:textId="33002C30" w:rsidR="0011448B" w:rsidRDefault="0011448B" w:rsidP="0011448B">
            <w:pPr>
              <w:rPr>
                <w:sz w:val="32"/>
                <w:szCs w:val="32"/>
              </w:rPr>
            </w:pPr>
            <w:r w:rsidRPr="00273087">
              <w:t>Total records</w:t>
            </w:r>
          </w:p>
        </w:tc>
        <w:tc>
          <w:tcPr>
            <w:tcW w:w="3416" w:type="pct"/>
            <w:vAlign w:val="center"/>
          </w:tcPr>
          <w:p w14:paraId="6BF9AB3E" w14:textId="28ABF43F" w:rsidR="0011448B" w:rsidRDefault="0011448B" w:rsidP="0011448B">
            <w:pPr>
              <w:rPr>
                <w:sz w:val="32"/>
                <w:szCs w:val="32"/>
              </w:rPr>
            </w:pPr>
            <w:r w:rsidRPr="00273087">
              <w:t>13,329</w:t>
            </w:r>
          </w:p>
        </w:tc>
      </w:tr>
      <w:tr w:rsidR="0011448B" w14:paraId="4CF11488" w14:textId="77777777" w:rsidTr="0011448B">
        <w:trPr>
          <w:trHeight w:val="539"/>
        </w:trPr>
        <w:tc>
          <w:tcPr>
            <w:tcW w:w="1584" w:type="pct"/>
            <w:vAlign w:val="center"/>
          </w:tcPr>
          <w:p w14:paraId="6D8178F9" w14:textId="67C5E150" w:rsidR="0011448B" w:rsidRDefault="0011448B" w:rsidP="0011448B">
            <w:pPr>
              <w:rPr>
                <w:sz w:val="32"/>
                <w:szCs w:val="32"/>
              </w:rPr>
            </w:pPr>
            <w:r w:rsidRPr="00273087">
              <w:t>Date range</w:t>
            </w:r>
          </w:p>
        </w:tc>
        <w:tc>
          <w:tcPr>
            <w:tcW w:w="3416" w:type="pct"/>
            <w:vAlign w:val="center"/>
          </w:tcPr>
          <w:p w14:paraId="1B0AE717" w14:textId="2D619E65" w:rsidR="0011448B" w:rsidRDefault="0011448B" w:rsidP="0011448B">
            <w:pPr>
              <w:rPr>
                <w:sz w:val="32"/>
                <w:szCs w:val="32"/>
              </w:rPr>
            </w:pPr>
            <w:r w:rsidRPr="00273087">
              <w:t>21 February 1973–31 December 2025</w:t>
            </w:r>
          </w:p>
        </w:tc>
      </w:tr>
      <w:tr w:rsidR="0011448B" w14:paraId="31BB3154" w14:textId="77777777" w:rsidTr="0011448B">
        <w:trPr>
          <w:trHeight w:val="383"/>
        </w:trPr>
        <w:tc>
          <w:tcPr>
            <w:tcW w:w="1584" w:type="pct"/>
            <w:vAlign w:val="center"/>
          </w:tcPr>
          <w:p w14:paraId="76800E9A" w14:textId="1506447D" w:rsidR="0011448B" w:rsidRDefault="0011448B" w:rsidP="0011448B">
            <w:pPr>
              <w:rPr>
                <w:sz w:val="32"/>
                <w:szCs w:val="32"/>
              </w:rPr>
            </w:pPr>
            <w:r w:rsidRPr="00273087">
              <w:t>Columns used</w:t>
            </w:r>
          </w:p>
        </w:tc>
        <w:tc>
          <w:tcPr>
            <w:tcW w:w="3416" w:type="pct"/>
            <w:vAlign w:val="center"/>
          </w:tcPr>
          <w:p w14:paraId="29BD0E6D" w14:textId="2C7E20F0" w:rsidR="0011448B" w:rsidRDefault="0011448B" w:rsidP="0011448B">
            <w:pPr>
              <w:rPr>
                <w:sz w:val="32"/>
                <w:szCs w:val="32"/>
              </w:rPr>
            </w:pPr>
            <w:r w:rsidRPr="00273087">
              <w:t>Date and Close</w:t>
            </w:r>
          </w:p>
        </w:tc>
      </w:tr>
      <w:tr w:rsidR="0011448B" w14:paraId="15C82059" w14:textId="77777777" w:rsidTr="0011448B">
        <w:trPr>
          <w:trHeight w:val="395"/>
        </w:trPr>
        <w:tc>
          <w:tcPr>
            <w:tcW w:w="1584" w:type="pct"/>
            <w:vAlign w:val="center"/>
          </w:tcPr>
          <w:p w14:paraId="1210870A" w14:textId="7DC2737F" w:rsidR="0011448B" w:rsidRDefault="0011448B" w:rsidP="0011448B">
            <w:pPr>
              <w:rPr>
                <w:sz w:val="32"/>
                <w:szCs w:val="32"/>
              </w:rPr>
            </w:pPr>
            <w:r w:rsidRPr="00273087">
              <w:t>Forecast target</w:t>
            </w:r>
          </w:p>
        </w:tc>
        <w:tc>
          <w:tcPr>
            <w:tcW w:w="3416" w:type="pct"/>
            <w:vAlign w:val="center"/>
          </w:tcPr>
          <w:p w14:paraId="1F193D36" w14:textId="27D5C6F3" w:rsidR="0011448B" w:rsidRDefault="0011448B" w:rsidP="0011448B">
            <w:pPr>
              <w:rPr>
                <w:sz w:val="32"/>
                <w:szCs w:val="32"/>
              </w:rPr>
            </w:pPr>
            <w:r w:rsidRPr="00273087">
              <w:t>Closing stock price in USD</w:t>
            </w:r>
          </w:p>
        </w:tc>
      </w:tr>
    </w:tbl>
    <w:p w14:paraId="226C1BC0" w14:textId="31C68204" w:rsidR="00273087" w:rsidRPr="00273087" w:rsidRDefault="00273087" w:rsidP="00273087">
      <w:pPr>
        <w:rPr>
          <w:sz w:val="32"/>
          <w:szCs w:val="32"/>
        </w:rPr>
      </w:pPr>
      <w:r>
        <w:rPr>
          <w:b/>
          <w:bCs/>
          <w:sz w:val="32"/>
          <w:szCs w:val="32"/>
        </w:rPr>
        <w:br w:type="textWrapping" w:clear="all"/>
      </w:r>
      <w:r w:rsidRPr="00273087">
        <w:rPr>
          <w:b/>
          <w:bCs/>
          <w:sz w:val="32"/>
          <w:szCs w:val="32"/>
        </w:rPr>
        <w:t>3. Data Preparation and Split</w:t>
      </w:r>
    </w:p>
    <w:p w14:paraId="28716659" w14:textId="77777777" w:rsidR="00273087" w:rsidRPr="005C36D2" w:rsidRDefault="00273087" w:rsidP="00273087">
      <w:pPr>
        <w:rPr>
          <w:sz w:val="24"/>
          <w:szCs w:val="24"/>
        </w:rPr>
      </w:pPr>
      <w:r w:rsidRPr="005C36D2">
        <w:rPr>
          <w:sz w:val="24"/>
          <w:szCs w:val="24"/>
        </w:rPr>
        <w:t>The cleaned dataset from Week 1 was loaded into Python. Dates were converted to datetime format in the America/New_York timezone, and observations were sorted chronologically. Only the Date and Close columns were selected for forecasting.</w:t>
      </w:r>
    </w:p>
    <w:p w14:paraId="4EF88742" w14:textId="30132975" w:rsidR="0011448B" w:rsidRDefault="00273087" w:rsidP="00273087">
      <w:pPr>
        <w:rPr>
          <w:sz w:val="24"/>
          <w:szCs w:val="24"/>
        </w:rPr>
      </w:pPr>
      <w:r w:rsidRPr="005C36D2">
        <w:rPr>
          <w:sz w:val="24"/>
          <w:szCs w:val="24"/>
        </w:rPr>
        <w:t>The final 60 trading sessions were reserved for testing. All earlier observations formed the training dataset.</w:t>
      </w:r>
    </w:p>
    <w:tbl>
      <w:tblPr>
        <w:tblStyle w:val="TableGrid"/>
        <w:tblW w:w="4850" w:type="pct"/>
        <w:tblLook w:val="04A0" w:firstRow="1" w:lastRow="0" w:firstColumn="1" w:lastColumn="0" w:noHBand="0" w:noVBand="1"/>
      </w:tblPr>
      <w:tblGrid>
        <w:gridCol w:w="2916"/>
        <w:gridCol w:w="2916"/>
        <w:gridCol w:w="2914"/>
      </w:tblGrid>
      <w:tr w:rsidR="005C36D2" w14:paraId="23B67A94" w14:textId="77777777" w:rsidTr="005C36D2">
        <w:trPr>
          <w:trHeight w:val="300"/>
        </w:trPr>
        <w:tc>
          <w:tcPr>
            <w:tcW w:w="1667" w:type="pct"/>
            <w:vAlign w:val="center"/>
          </w:tcPr>
          <w:p w14:paraId="2133DA4B" w14:textId="00DE3CC0" w:rsidR="005C36D2" w:rsidRDefault="005C36D2" w:rsidP="005C36D2">
            <w:pPr>
              <w:rPr>
                <w:sz w:val="24"/>
                <w:szCs w:val="24"/>
              </w:rPr>
            </w:pPr>
            <w:r w:rsidRPr="005C36D2">
              <w:rPr>
                <w:b/>
                <w:bCs/>
                <w:sz w:val="24"/>
                <w:szCs w:val="24"/>
              </w:rPr>
              <w:t>Dataset</w:t>
            </w:r>
          </w:p>
        </w:tc>
        <w:tc>
          <w:tcPr>
            <w:tcW w:w="1667" w:type="pct"/>
            <w:vAlign w:val="center"/>
          </w:tcPr>
          <w:p w14:paraId="5D4A43FD" w14:textId="68CD4A2B" w:rsidR="005C36D2" w:rsidRDefault="005C36D2" w:rsidP="005C36D2">
            <w:pPr>
              <w:rPr>
                <w:sz w:val="24"/>
                <w:szCs w:val="24"/>
              </w:rPr>
            </w:pPr>
            <w:r w:rsidRPr="005C36D2">
              <w:rPr>
                <w:b/>
                <w:bCs/>
                <w:sz w:val="24"/>
                <w:szCs w:val="24"/>
              </w:rPr>
              <w:t>Records</w:t>
            </w:r>
          </w:p>
        </w:tc>
        <w:tc>
          <w:tcPr>
            <w:tcW w:w="1666" w:type="pct"/>
            <w:vAlign w:val="center"/>
          </w:tcPr>
          <w:p w14:paraId="051F2B76" w14:textId="26A34B36" w:rsidR="005C36D2" w:rsidRDefault="005C36D2" w:rsidP="005C36D2">
            <w:pPr>
              <w:rPr>
                <w:sz w:val="24"/>
                <w:szCs w:val="24"/>
              </w:rPr>
            </w:pPr>
            <w:r w:rsidRPr="005C36D2">
              <w:rPr>
                <w:b/>
                <w:bCs/>
                <w:sz w:val="24"/>
                <w:szCs w:val="24"/>
              </w:rPr>
              <w:t>Period</w:t>
            </w:r>
          </w:p>
        </w:tc>
      </w:tr>
      <w:tr w:rsidR="005C36D2" w14:paraId="2C5E9E3B" w14:textId="77777777" w:rsidTr="005C36D2">
        <w:trPr>
          <w:trHeight w:val="1228"/>
        </w:trPr>
        <w:tc>
          <w:tcPr>
            <w:tcW w:w="1667" w:type="pct"/>
            <w:vAlign w:val="center"/>
          </w:tcPr>
          <w:p w14:paraId="16968B3F" w14:textId="618911A9" w:rsidR="005C36D2" w:rsidRDefault="005C36D2" w:rsidP="005C36D2">
            <w:pPr>
              <w:rPr>
                <w:sz w:val="24"/>
                <w:szCs w:val="24"/>
              </w:rPr>
            </w:pPr>
            <w:r w:rsidRPr="005C36D2">
              <w:rPr>
                <w:sz w:val="24"/>
                <w:szCs w:val="24"/>
              </w:rPr>
              <w:t>Training</w:t>
            </w:r>
          </w:p>
        </w:tc>
        <w:tc>
          <w:tcPr>
            <w:tcW w:w="1667" w:type="pct"/>
            <w:vAlign w:val="center"/>
          </w:tcPr>
          <w:p w14:paraId="28689E92" w14:textId="62775F54" w:rsidR="005C36D2" w:rsidRDefault="005C36D2" w:rsidP="005C36D2">
            <w:pPr>
              <w:rPr>
                <w:sz w:val="24"/>
                <w:szCs w:val="24"/>
              </w:rPr>
            </w:pPr>
            <w:r w:rsidRPr="005C36D2">
              <w:rPr>
                <w:sz w:val="24"/>
                <w:szCs w:val="24"/>
              </w:rPr>
              <w:t>13,269</w:t>
            </w:r>
          </w:p>
        </w:tc>
        <w:tc>
          <w:tcPr>
            <w:tcW w:w="1666" w:type="pct"/>
            <w:vAlign w:val="center"/>
          </w:tcPr>
          <w:p w14:paraId="509800BC" w14:textId="1890F8AD" w:rsidR="005C36D2" w:rsidRDefault="005C36D2" w:rsidP="005C36D2">
            <w:pPr>
              <w:rPr>
                <w:sz w:val="24"/>
                <w:szCs w:val="24"/>
              </w:rPr>
            </w:pPr>
            <w:r w:rsidRPr="005C36D2">
              <w:rPr>
                <w:sz w:val="24"/>
                <w:szCs w:val="24"/>
              </w:rPr>
              <w:t>21 February 1973–6 October 2025</w:t>
            </w:r>
          </w:p>
        </w:tc>
      </w:tr>
      <w:tr w:rsidR="005C36D2" w14:paraId="559C5A3C" w14:textId="77777777" w:rsidTr="005C36D2">
        <w:trPr>
          <w:trHeight w:val="1216"/>
        </w:trPr>
        <w:tc>
          <w:tcPr>
            <w:tcW w:w="1667" w:type="pct"/>
            <w:vAlign w:val="center"/>
          </w:tcPr>
          <w:p w14:paraId="0E6C0771" w14:textId="0CA0D28D" w:rsidR="005C36D2" w:rsidRDefault="005C36D2" w:rsidP="005C36D2">
            <w:pPr>
              <w:rPr>
                <w:sz w:val="24"/>
                <w:szCs w:val="24"/>
              </w:rPr>
            </w:pPr>
            <w:r w:rsidRPr="005C36D2">
              <w:rPr>
                <w:sz w:val="24"/>
                <w:szCs w:val="24"/>
              </w:rPr>
              <w:t>Testing</w:t>
            </w:r>
          </w:p>
        </w:tc>
        <w:tc>
          <w:tcPr>
            <w:tcW w:w="1667" w:type="pct"/>
            <w:vAlign w:val="center"/>
          </w:tcPr>
          <w:p w14:paraId="61664102" w14:textId="10BA2C90" w:rsidR="005C36D2" w:rsidRDefault="005C36D2" w:rsidP="005C36D2">
            <w:pPr>
              <w:rPr>
                <w:sz w:val="24"/>
                <w:szCs w:val="24"/>
              </w:rPr>
            </w:pPr>
            <w:r w:rsidRPr="005C36D2">
              <w:rPr>
                <w:sz w:val="24"/>
                <w:szCs w:val="24"/>
              </w:rPr>
              <w:t>60</w:t>
            </w:r>
          </w:p>
        </w:tc>
        <w:tc>
          <w:tcPr>
            <w:tcW w:w="1666" w:type="pct"/>
            <w:vAlign w:val="center"/>
          </w:tcPr>
          <w:p w14:paraId="2AD8C417" w14:textId="514C52C6" w:rsidR="005C36D2" w:rsidRDefault="005C36D2" w:rsidP="005C36D2">
            <w:pPr>
              <w:rPr>
                <w:sz w:val="24"/>
                <w:szCs w:val="24"/>
              </w:rPr>
            </w:pPr>
            <w:r w:rsidRPr="005C36D2">
              <w:rPr>
                <w:sz w:val="24"/>
                <w:szCs w:val="24"/>
              </w:rPr>
              <w:t>7 October–31 December 2025</w:t>
            </w:r>
          </w:p>
        </w:tc>
      </w:tr>
    </w:tbl>
    <w:p w14:paraId="0BAE3615" w14:textId="77EB63C5" w:rsidR="00273087" w:rsidRPr="005C36D2" w:rsidRDefault="005C36D2">
      <w:pPr>
        <w:rPr>
          <w:sz w:val="24"/>
          <w:szCs w:val="24"/>
        </w:rPr>
      </w:pPr>
      <w:r w:rsidRPr="005C36D2">
        <w:rPr>
          <w:sz w:val="24"/>
          <w:szCs w:val="24"/>
        </w:rPr>
        <w:t>A chronological split preserves the order of events. Both methods generate all 60 test forecasts using only information available at the training cutoff. Test closing prices are used solely to evaluate those forecasts.</w:t>
      </w:r>
    </w:p>
    <w:p w14:paraId="45244D88" w14:textId="77777777" w:rsidR="0011448B" w:rsidRPr="0011448B" w:rsidRDefault="0011448B" w:rsidP="0011448B">
      <w:pPr>
        <w:rPr>
          <w:sz w:val="32"/>
          <w:szCs w:val="32"/>
        </w:rPr>
      </w:pPr>
      <w:r w:rsidRPr="0011448B">
        <w:rPr>
          <w:b/>
          <w:bCs/>
          <w:sz w:val="32"/>
          <w:szCs w:val="32"/>
        </w:rPr>
        <w:lastRenderedPageBreak/>
        <w:t>4. Model Design and Justification</w:t>
      </w:r>
    </w:p>
    <w:p w14:paraId="1CBF2629" w14:textId="77777777" w:rsidR="0011448B" w:rsidRPr="0011448B" w:rsidRDefault="0011448B" w:rsidP="0011448B">
      <w:pPr>
        <w:rPr>
          <w:sz w:val="24"/>
          <w:szCs w:val="24"/>
        </w:rPr>
      </w:pPr>
      <w:r w:rsidRPr="0011448B">
        <w:rPr>
          <w:b/>
          <w:bCs/>
          <w:sz w:val="24"/>
          <w:szCs w:val="24"/>
        </w:rPr>
        <w:t>4.1 Selected Financial Indicator</w:t>
      </w:r>
    </w:p>
    <w:p w14:paraId="6C27BEDF" w14:textId="77777777" w:rsidR="0011448B" w:rsidRPr="0011448B" w:rsidRDefault="0011448B" w:rsidP="0011448B">
      <w:pPr>
        <w:rPr>
          <w:sz w:val="24"/>
          <w:szCs w:val="24"/>
        </w:rPr>
      </w:pPr>
      <w:r w:rsidRPr="0011448B">
        <w:rPr>
          <w:sz w:val="24"/>
          <w:szCs w:val="24"/>
        </w:rPr>
        <w:t>Closing stock price (Close), measured in USD, was selected because it provides a consistent daily measure of the stock’s price and was analysed during Week 1.</w:t>
      </w:r>
    </w:p>
    <w:p w14:paraId="4BD251E5" w14:textId="77777777" w:rsidR="0011448B" w:rsidRPr="0011448B" w:rsidRDefault="0011448B" w:rsidP="0011448B">
      <w:pPr>
        <w:rPr>
          <w:sz w:val="24"/>
          <w:szCs w:val="24"/>
        </w:rPr>
      </w:pPr>
      <w:r w:rsidRPr="0011448B">
        <w:rPr>
          <w:b/>
          <w:bCs/>
          <w:sz w:val="24"/>
          <w:szCs w:val="24"/>
        </w:rPr>
        <w:t>4.2 Naive Forecast — Benchmark</w:t>
      </w:r>
    </w:p>
    <w:p w14:paraId="5E9C92C9" w14:textId="77777777" w:rsidR="0011448B" w:rsidRPr="0011448B" w:rsidRDefault="0011448B" w:rsidP="0011448B">
      <w:pPr>
        <w:rPr>
          <w:sz w:val="24"/>
          <w:szCs w:val="24"/>
        </w:rPr>
      </w:pPr>
      <w:r w:rsidRPr="0011448B">
        <w:rPr>
          <w:sz w:val="24"/>
          <w:szCs w:val="24"/>
        </w:rPr>
        <w:t xml:space="preserve">The naive method uses the last training closing price, approximately </w:t>
      </w:r>
      <w:r w:rsidRPr="0011448B">
        <w:rPr>
          <w:b/>
          <w:bCs/>
          <w:sz w:val="24"/>
          <w:szCs w:val="24"/>
        </w:rPr>
        <w:t>$50.13</w:t>
      </w:r>
      <w:r w:rsidRPr="0011448B">
        <w:rPr>
          <w:sz w:val="24"/>
          <w:szCs w:val="24"/>
        </w:rPr>
        <w:t>, as the forecast for all 60 test sessions. This provides a simple benchmark for evaluating the average-based method.</w:t>
      </w:r>
    </w:p>
    <w:p w14:paraId="37B805A2" w14:textId="77777777" w:rsidR="0011448B" w:rsidRPr="0011448B" w:rsidRDefault="0011448B" w:rsidP="0011448B">
      <w:pPr>
        <w:rPr>
          <w:sz w:val="24"/>
          <w:szCs w:val="24"/>
        </w:rPr>
      </w:pPr>
      <w:r w:rsidRPr="0011448B">
        <w:rPr>
          <w:b/>
          <w:bCs/>
          <w:sz w:val="24"/>
          <w:szCs w:val="24"/>
        </w:rPr>
        <w:t>4.3 20-Session Average Forecast</w:t>
      </w:r>
    </w:p>
    <w:p w14:paraId="29BCDECF" w14:textId="77777777" w:rsidR="0011448B" w:rsidRPr="0011448B" w:rsidRDefault="0011448B" w:rsidP="0011448B">
      <w:pPr>
        <w:rPr>
          <w:sz w:val="24"/>
          <w:szCs w:val="24"/>
        </w:rPr>
      </w:pPr>
      <w:r w:rsidRPr="0011448B">
        <w:rPr>
          <w:sz w:val="24"/>
          <w:szCs w:val="24"/>
        </w:rPr>
        <w:t xml:space="preserve">This method calculates the mean of the final 20 closing prices in the training data. The resulting value, approximately </w:t>
      </w:r>
      <w:r w:rsidRPr="0011448B">
        <w:rPr>
          <w:b/>
          <w:bCs/>
          <w:sz w:val="24"/>
          <w:szCs w:val="24"/>
        </w:rPr>
        <w:t>$50.95</w:t>
      </w:r>
      <w:r w:rsidRPr="0011448B">
        <w:rPr>
          <w:sz w:val="24"/>
          <w:szCs w:val="24"/>
        </w:rPr>
        <w:t>, is used as a fixed forecast for all 60 test sessions.</w:t>
      </w:r>
    </w:p>
    <w:p w14:paraId="4DBC8590" w14:textId="77777777" w:rsidR="0011448B" w:rsidRPr="0011448B" w:rsidRDefault="0011448B" w:rsidP="0011448B">
      <w:pPr>
        <w:rPr>
          <w:sz w:val="24"/>
          <w:szCs w:val="24"/>
        </w:rPr>
      </w:pPr>
      <w:r w:rsidRPr="0011448B">
        <w:rPr>
          <w:b/>
          <w:bCs/>
          <w:sz w:val="24"/>
          <w:szCs w:val="24"/>
        </w:rPr>
        <w:t>Formula: Forecast = Sum of the last 20 observed closing prices ÷ 20</w:t>
      </w:r>
    </w:p>
    <w:p w14:paraId="545CC166" w14:textId="77777777" w:rsidR="0011448B" w:rsidRPr="0011448B" w:rsidRDefault="0011448B" w:rsidP="0011448B">
      <w:pPr>
        <w:rPr>
          <w:sz w:val="24"/>
          <w:szCs w:val="24"/>
        </w:rPr>
      </w:pPr>
      <w:r w:rsidRPr="0011448B">
        <w:rPr>
          <w:sz w:val="24"/>
          <w:szCs w:val="24"/>
        </w:rPr>
        <w:t>A 20-session window represents roughly one trading month. It gives equal weight to recent observations and reduces dependence on a single day’s price. The window was fixed before comparing test errors and was not tuned using the test results.</w:t>
      </w:r>
    </w:p>
    <w:p w14:paraId="057448F7" w14:textId="77777777" w:rsidR="0011448B" w:rsidRPr="0011448B" w:rsidRDefault="0011448B" w:rsidP="0011448B">
      <w:pPr>
        <w:rPr>
          <w:sz w:val="24"/>
          <w:szCs w:val="24"/>
        </w:rPr>
      </w:pPr>
      <w:r w:rsidRPr="0011448B">
        <w:rPr>
          <w:b/>
          <w:bCs/>
          <w:sz w:val="24"/>
          <w:szCs w:val="24"/>
        </w:rPr>
        <w:t>4.4 Model Assumptions</w:t>
      </w:r>
    </w:p>
    <w:p w14:paraId="591FD637" w14:textId="77777777" w:rsidR="0011448B" w:rsidRDefault="0011448B" w:rsidP="0011448B">
      <w:pPr>
        <w:rPr>
          <w:sz w:val="24"/>
          <w:szCs w:val="24"/>
        </w:rPr>
      </w:pPr>
      <w:r w:rsidRPr="0011448B">
        <w:rPr>
          <w:sz w:val="24"/>
          <w:szCs w:val="24"/>
        </w:rPr>
        <w:t>The average-based method assumes that the recent average price is a useful estimate for the forecast horizon. It does not explicitly model trends or daily fluctuations. Both methods keep their forecasts constant throughout the 60-session test period.</w:t>
      </w:r>
    </w:p>
    <w:p w14:paraId="5C6433ED" w14:textId="77777777" w:rsidR="00112A6E" w:rsidRPr="0011448B" w:rsidRDefault="00112A6E" w:rsidP="0011448B">
      <w:pPr>
        <w:rPr>
          <w:sz w:val="24"/>
          <w:szCs w:val="24"/>
        </w:rPr>
      </w:pPr>
    </w:p>
    <w:p w14:paraId="5A94BD6C" w14:textId="67D8E492" w:rsidR="00112A6E" w:rsidRDefault="00112A6E">
      <w:pPr>
        <w:rPr>
          <w:sz w:val="24"/>
          <w:szCs w:val="24"/>
        </w:rPr>
      </w:pPr>
      <w:r>
        <w:rPr>
          <w:sz w:val="24"/>
          <w:szCs w:val="24"/>
        </w:rPr>
        <w:br w:type="page"/>
      </w:r>
    </w:p>
    <w:p w14:paraId="6543512F" w14:textId="77777777" w:rsidR="00112A6E" w:rsidRPr="00112A6E" w:rsidRDefault="00112A6E" w:rsidP="00112A6E">
      <w:pPr>
        <w:rPr>
          <w:sz w:val="32"/>
          <w:szCs w:val="32"/>
        </w:rPr>
      </w:pPr>
      <w:r w:rsidRPr="00112A6E">
        <w:rPr>
          <w:b/>
          <w:bCs/>
          <w:sz w:val="32"/>
          <w:szCs w:val="32"/>
        </w:rPr>
        <w:lastRenderedPageBreak/>
        <w:t>5. Implementation and Model Evaluation</w:t>
      </w:r>
    </w:p>
    <w:p w14:paraId="628E5881" w14:textId="77777777" w:rsidR="00112A6E" w:rsidRPr="00112A6E" w:rsidRDefault="00112A6E" w:rsidP="00112A6E">
      <w:pPr>
        <w:rPr>
          <w:sz w:val="24"/>
          <w:szCs w:val="24"/>
        </w:rPr>
      </w:pPr>
      <w:r w:rsidRPr="00112A6E">
        <w:rPr>
          <w:sz w:val="24"/>
          <w:szCs w:val="24"/>
        </w:rPr>
        <w:t>The forecasting workflow was implemented in Python using Pandas for data preparation and calculations, and Matplotlib for visualisation. Predictions, absolute errors, model comparison metrics, and forecasts beyond the dataset were exported as CSV files.</w:t>
      </w:r>
    </w:p>
    <w:p w14:paraId="09E6444D" w14:textId="77777777" w:rsidR="00112A6E" w:rsidRPr="00112A6E" w:rsidRDefault="00112A6E" w:rsidP="00112A6E">
      <w:pPr>
        <w:rPr>
          <w:sz w:val="24"/>
          <w:szCs w:val="24"/>
        </w:rPr>
      </w:pPr>
      <w:r w:rsidRPr="00112A6E">
        <w:rPr>
          <w:sz w:val="24"/>
          <w:szCs w:val="24"/>
        </w:rPr>
        <w:t>Two metrics were used to evaluate forecasts on the same 60-session test period:</w:t>
      </w:r>
    </w:p>
    <w:p w14:paraId="61D705FA" w14:textId="77777777" w:rsidR="00112A6E" w:rsidRPr="00112A6E" w:rsidRDefault="00112A6E" w:rsidP="00112A6E">
      <w:pPr>
        <w:numPr>
          <w:ilvl w:val="0"/>
          <w:numId w:val="3"/>
        </w:numPr>
        <w:rPr>
          <w:sz w:val="24"/>
          <w:szCs w:val="24"/>
        </w:rPr>
      </w:pPr>
      <w:r w:rsidRPr="00112A6E">
        <w:rPr>
          <w:b/>
          <w:bCs/>
          <w:sz w:val="24"/>
          <w:szCs w:val="24"/>
        </w:rPr>
        <w:t>Mean Absolute Error (MAE):</w:t>
      </w:r>
      <w:r w:rsidRPr="00112A6E">
        <w:rPr>
          <w:sz w:val="24"/>
          <w:szCs w:val="24"/>
        </w:rPr>
        <w:t xml:space="preserve"> The average absolute difference between actual and forecast prices.</w:t>
      </w:r>
    </w:p>
    <w:p w14:paraId="110D3704" w14:textId="77777777" w:rsidR="00112A6E" w:rsidRPr="00112A6E" w:rsidRDefault="00112A6E" w:rsidP="00112A6E">
      <w:pPr>
        <w:numPr>
          <w:ilvl w:val="0"/>
          <w:numId w:val="3"/>
        </w:numPr>
        <w:rPr>
          <w:sz w:val="24"/>
          <w:szCs w:val="24"/>
        </w:rPr>
      </w:pPr>
      <w:r w:rsidRPr="00112A6E">
        <w:rPr>
          <w:b/>
          <w:bCs/>
          <w:sz w:val="24"/>
          <w:szCs w:val="24"/>
        </w:rPr>
        <w:t>Root Mean Squared Error (RMSE):</w:t>
      </w:r>
      <w:r w:rsidRPr="00112A6E">
        <w:rPr>
          <w:sz w:val="24"/>
          <w:szCs w:val="24"/>
        </w:rPr>
        <w:t xml:space="preserve"> The square root of the average squared errors. It gives greater weight to larger errors.</w:t>
      </w:r>
    </w:p>
    <w:p w14:paraId="43045D35" w14:textId="77777777" w:rsidR="00112A6E" w:rsidRPr="00112A6E" w:rsidRDefault="00112A6E" w:rsidP="00112A6E">
      <w:pPr>
        <w:rPr>
          <w:sz w:val="24"/>
          <w:szCs w:val="24"/>
        </w:rPr>
      </w:pPr>
      <w:r w:rsidRPr="00112A6E">
        <w:rPr>
          <w:sz w:val="24"/>
          <w:szCs w:val="24"/>
        </w:rPr>
        <w:t>Both metrics are expressed in USD. Lower values indicate better performance on the evaluated period.</w:t>
      </w:r>
    </w:p>
    <w:p w14:paraId="1978A268" w14:textId="77777777" w:rsidR="00112A6E" w:rsidRPr="00112A6E" w:rsidRDefault="00112A6E" w:rsidP="00112A6E">
      <w:pPr>
        <w:rPr>
          <w:sz w:val="24"/>
          <w:szCs w:val="24"/>
        </w:rPr>
      </w:pPr>
      <w:r w:rsidRPr="00112A6E">
        <w:rPr>
          <w:b/>
          <w:bCs/>
          <w:sz w:val="24"/>
          <w:szCs w:val="24"/>
        </w:rPr>
        <w:t>Evaluation Results</w:t>
      </w:r>
    </w:p>
    <w:p w14:paraId="43FB35B0" w14:textId="77777777" w:rsidR="00112A6E" w:rsidRPr="00112A6E" w:rsidRDefault="00112A6E" w:rsidP="00112A6E">
      <w:pPr>
        <w:numPr>
          <w:ilvl w:val="0"/>
          <w:numId w:val="4"/>
        </w:numPr>
        <w:rPr>
          <w:sz w:val="24"/>
          <w:szCs w:val="24"/>
        </w:rPr>
      </w:pPr>
      <w:r w:rsidRPr="00112A6E">
        <w:rPr>
          <w:b/>
          <w:bCs/>
          <w:sz w:val="24"/>
          <w:szCs w:val="24"/>
        </w:rPr>
        <w:t>Naive forecast:</w:t>
      </w:r>
      <w:r w:rsidRPr="00112A6E">
        <w:rPr>
          <w:sz w:val="24"/>
          <w:szCs w:val="24"/>
        </w:rPr>
        <w:t xml:space="preserve"> MAE = </w:t>
      </w:r>
      <w:r w:rsidRPr="00112A6E">
        <w:rPr>
          <w:b/>
          <w:bCs/>
          <w:sz w:val="24"/>
          <w:szCs w:val="24"/>
        </w:rPr>
        <w:t>$2.86</w:t>
      </w:r>
      <w:r w:rsidRPr="00112A6E">
        <w:rPr>
          <w:sz w:val="24"/>
          <w:szCs w:val="24"/>
        </w:rPr>
        <w:t xml:space="preserve">; RMSE = </w:t>
      </w:r>
      <w:r w:rsidRPr="00112A6E">
        <w:rPr>
          <w:b/>
          <w:bCs/>
          <w:sz w:val="24"/>
          <w:szCs w:val="24"/>
        </w:rPr>
        <w:t>$3.28</w:t>
      </w:r>
      <w:r w:rsidRPr="00112A6E">
        <w:rPr>
          <w:sz w:val="24"/>
          <w:szCs w:val="24"/>
        </w:rPr>
        <w:t>.</w:t>
      </w:r>
    </w:p>
    <w:p w14:paraId="17478CD6" w14:textId="77777777" w:rsidR="00112A6E" w:rsidRPr="00112A6E" w:rsidRDefault="00112A6E" w:rsidP="00112A6E">
      <w:pPr>
        <w:numPr>
          <w:ilvl w:val="0"/>
          <w:numId w:val="4"/>
        </w:numPr>
        <w:rPr>
          <w:sz w:val="24"/>
          <w:szCs w:val="24"/>
        </w:rPr>
      </w:pPr>
      <w:r w:rsidRPr="00112A6E">
        <w:rPr>
          <w:b/>
          <w:bCs/>
          <w:sz w:val="24"/>
          <w:szCs w:val="24"/>
        </w:rPr>
        <w:t>20-session average forecast:</w:t>
      </w:r>
      <w:r w:rsidRPr="00112A6E">
        <w:rPr>
          <w:sz w:val="24"/>
          <w:szCs w:val="24"/>
        </w:rPr>
        <w:t xml:space="preserve"> MAE = </w:t>
      </w:r>
      <w:r w:rsidRPr="00112A6E">
        <w:rPr>
          <w:b/>
          <w:bCs/>
          <w:sz w:val="24"/>
          <w:szCs w:val="24"/>
        </w:rPr>
        <w:t>$2.23</w:t>
      </w:r>
      <w:r w:rsidRPr="00112A6E">
        <w:rPr>
          <w:sz w:val="24"/>
          <w:szCs w:val="24"/>
        </w:rPr>
        <w:t xml:space="preserve">; RMSE = </w:t>
      </w:r>
      <w:r w:rsidRPr="00112A6E">
        <w:rPr>
          <w:b/>
          <w:bCs/>
          <w:sz w:val="24"/>
          <w:szCs w:val="24"/>
        </w:rPr>
        <w:t>$2.64</w:t>
      </w:r>
      <w:r w:rsidRPr="00112A6E">
        <w:rPr>
          <w:sz w:val="24"/>
          <w:szCs w:val="24"/>
        </w:rPr>
        <w:t>.</w:t>
      </w:r>
    </w:p>
    <w:p w14:paraId="2EF2B6CC" w14:textId="77777777" w:rsidR="00112A6E" w:rsidRDefault="00112A6E" w:rsidP="00112A6E">
      <w:pPr>
        <w:rPr>
          <w:sz w:val="24"/>
          <w:szCs w:val="24"/>
        </w:rPr>
      </w:pPr>
      <w:r w:rsidRPr="00112A6E">
        <w:rPr>
          <w:sz w:val="24"/>
          <w:szCs w:val="24"/>
        </w:rPr>
        <w:t>The 20-session average produced lower errors on both metrics and was therefore used for the forecast beyond the dataset. However, this comparison covers only one test period and does not establish that the method will consistently outperform the naive benchmark.</w:t>
      </w:r>
    </w:p>
    <w:p w14:paraId="4453F778" w14:textId="77777777" w:rsidR="00112A6E" w:rsidRDefault="00112A6E" w:rsidP="00112A6E">
      <w:pPr>
        <w:rPr>
          <w:sz w:val="24"/>
          <w:szCs w:val="24"/>
        </w:rPr>
      </w:pPr>
    </w:p>
    <w:p w14:paraId="06C59720" w14:textId="67EE3E29" w:rsidR="00112A6E" w:rsidRDefault="00112A6E">
      <w:pPr>
        <w:rPr>
          <w:sz w:val="24"/>
          <w:szCs w:val="24"/>
        </w:rPr>
      </w:pPr>
      <w:r>
        <w:rPr>
          <w:sz w:val="24"/>
          <w:szCs w:val="24"/>
        </w:rPr>
        <w:br w:type="page"/>
      </w:r>
    </w:p>
    <w:p w14:paraId="5D9FD5CC" w14:textId="58681B11" w:rsidR="00112A6E" w:rsidRPr="00112A6E" w:rsidRDefault="00112A6E" w:rsidP="00112A6E">
      <w:pPr>
        <w:rPr>
          <w:b/>
          <w:bCs/>
          <w:sz w:val="32"/>
          <w:szCs w:val="32"/>
        </w:rPr>
      </w:pPr>
      <w:r w:rsidRPr="00112A6E">
        <w:rPr>
          <w:b/>
          <w:bCs/>
          <w:sz w:val="32"/>
          <w:szCs w:val="32"/>
        </w:rPr>
        <w:lastRenderedPageBreak/>
        <w:t>6. Actual vs Forecast Analysis</w:t>
      </w:r>
    </w:p>
    <w:p w14:paraId="03342784" w14:textId="77777777" w:rsidR="00112A6E" w:rsidRPr="00112A6E" w:rsidRDefault="00112A6E" w:rsidP="00112A6E">
      <w:pPr>
        <w:rPr>
          <w:sz w:val="24"/>
          <w:szCs w:val="24"/>
        </w:rPr>
      </w:pPr>
      <w:r>
        <w:rPr>
          <w:sz w:val="24"/>
          <w:szCs w:val="24"/>
        </w:rPr>
        <w:br/>
      </w:r>
      <w:r w:rsidRPr="00112A6E">
        <w:rPr>
          <w:sz w:val="24"/>
          <w:szCs w:val="24"/>
        </w:rPr>
        <w:t>The chart compares actual closing prices with both fixed forecasts during the test period. Actual prices fluctuated but generally increased, reaching levels above $56 in December. Both forecasts underestimated prices during the later part of the period.</w:t>
      </w:r>
    </w:p>
    <w:p w14:paraId="02DCA10A" w14:textId="77777777" w:rsidR="00112A6E" w:rsidRPr="00112A6E" w:rsidRDefault="00112A6E" w:rsidP="00112A6E">
      <w:pPr>
        <w:rPr>
          <w:sz w:val="24"/>
          <w:szCs w:val="24"/>
        </w:rPr>
      </w:pPr>
      <w:r w:rsidRPr="00112A6E">
        <w:rPr>
          <w:sz w:val="24"/>
          <w:szCs w:val="24"/>
        </w:rPr>
        <w:t>The 20-session average forecast of approximately $50.95 was closer to actual prices overall than the naive forecast of $50.13, as reflected in its lower MAE and RMSE. However, neither method captured the upward trend because both produced constant forecasts.</w:t>
      </w:r>
    </w:p>
    <w:p w14:paraId="39D3A6AD" w14:textId="6292B35A" w:rsidR="00112A6E" w:rsidRDefault="00112A6E" w:rsidP="00273087">
      <w:pPr>
        <w:rPr>
          <w:sz w:val="24"/>
          <w:szCs w:val="24"/>
        </w:rPr>
      </w:pPr>
      <w:r>
        <w:rPr>
          <w:noProof/>
          <w:sz w:val="24"/>
          <w:szCs w:val="24"/>
        </w:rPr>
        <w:drawing>
          <wp:inline distT="0" distB="0" distL="0" distR="0" wp14:anchorId="40886A56" wp14:editId="6B7D9A27">
            <wp:extent cx="6263640" cy="3009900"/>
            <wp:effectExtent l="0" t="0" r="3810" b="0"/>
            <wp:docPr id="352531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218" name="Picture 352531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63640" cy="3009900"/>
                    </a:xfrm>
                    <a:prstGeom prst="rect">
                      <a:avLst/>
                    </a:prstGeom>
                  </pic:spPr>
                </pic:pic>
              </a:graphicData>
            </a:graphic>
          </wp:inline>
        </w:drawing>
      </w:r>
    </w:p>
    <w:p w14:paraId="30F7791C" w14:textId="77777777" w:rsidR="00112A6E" w:rsidRDefault="00112A6E">
      <w:pPr>
        <w:rPr>
          <w:sz w:val="24"/>
          <w:szCs w:val="24"/>
        </w:rPr>
      </w:pPr>
      <w:r>
        <w:rPr>
          <w:sz w:val="24"/>
          <w:szCs w:val="24"/>
        </w:rPr>
        <w:br w:type="page"/>
      </w:r>
    </w:p>
    <w:p w14:paraId="5E789739" w14:textId="77777777" w:rsidR="00112A6E" w:rsidRPr="00112A6E" w:rsidRDefault="00112A6E" w:rsidP="00112A6E">
      <w:pPr>
        <w:rPr>
          <w:sz w:val="32"/>
          <w:szCs w:val="32"/>
        </w:rPr>
      </w:pPr>
      <w:r w:rsidRPr="00112A6E">
        <w:rPr>
          <w:b/>
          <w:bCs/>
          <w:sz w:val="32"/>
          <w:szCs w:val="32"/>
        </w:rPr>
        <w:lastRenderedPageBreak/>
        <w:t>7. Forecast Beyond the Dataset</w:t>
      </w:r>
    </w:p>
    <w:p w14:paraId="534E6070" w14:textId="77777777" w:rsidR="00112A6E" w:rsidRPr="00112A6E" w:rsidRDefault="00112A6E" w:rsidP="00112A6E">
      <w:pPr>
        <w:rPr>
          <w:sz w:val="24"/>
          <w:szCs w:val="24"/>
        </w:rPr>
      </w:pPr>
      <w:r w:rsidRPr="00112A6E">
        <w:rPr>
          <w:sz w:val="24"/>
          <w:szCs w:val="24"/>
        </w:rPr>
        <w:t>After evaluation, the 20-session average was recalculated using the final 20 closing prices available in the complete dataset through 31 December 2025.</w:t>
      </w:r>
    </w:p>
    <w:p w14:paraId="00D696C3" w14:textId="77777777" w:rsidR="00112A6E" w:rsidRPr="00112A6E" w:rsidRDefault="00112A6E" w:rsidP="00112A6E">
      <w:pPr>
        <w:rPr>
          <w:sz w:val="24"/>
          <w:szCs w:val="24"/>
        </w:rPr>
      </w:pPr>
      <w:r w:rsidRPr="00112A6E">
        <w:rPr>
          <w:sz w:val="24"/>
          <w:szCs w:val="24"/>
        </w:rPr>
        <w:t xml:space="preserve">The resulting forecast is approximately </w:t>
      </w:r>
      <w:r w:rsidRPr="00112A6E">
        <w:rPr>
          <w:b/>
          <w:bCs/>
          <w:sz w:val="24"/>
          <w:szCs w:val="24"/>
        </w:rPr>
        <w:t>$54.85 for each of the next 60 trading sessions</w:t>
      </w:r>
      <w:r w:rsidRPr="00112A6E">
        <w:rPr>
          <w:sz w:val="24"/>
          <w:szCs w:val="24"/>
        </w:rPr>
        <w:t>.</w:t>
      </w:r>
    </w:p>
    <w:p w14:paraId="436263CC" w14:textId="77777777" w:rsidR="00112A6E" w:rsidRPr="00112A6E" w:rsidRDefault="00112A6E" w:rsidP="00112A6E">
      <w:pPr>
        <w:numPr>
          <w:ilvl w:val="0"/>
          <w:numId w:val="5"/>
        </w:numPr>
        <w:rPr>
          <w:sz w:val="24"/>
          <w:szCs w:val="24"/>
        </w:rPr>
      </w:pPr>
      <w:r w:rsidRPr="00112A6E">
        <w:rPr>
          <w:b/>
          <w:bCs/>
          <w:sz w:val="24"/>
          <w:szCs w:val="24"/>
        </w:rPr>
        <w:t>Forecast origin:</w:t>
      </w:r>
      <w:r w:rsidRPr="00112A6E">
        <w:rPr>
          <w:sz w:val="24"/>
          <w:szCs w:val="24"/>
        </w:rPr>
        <w:t xml:space="preserve"> 31 December 2025.</w:t>
      </w:r>
    </w:p>
    <w:p w14:paraId="309B625A" w14:textId="77777777" w:rsidR="00112A6E" w:rsidRPr="00112A6E" w:rsidRDefault="00112A6E" w:rsidP="00112A6E">
      <w:pPr>
        <w:numPr>
          <w:ilvl w:val="0"/>
          <w:numId w:val="5"/>
        </w:numPr>
        <w:rPr>
          <w:sz w:val="24"/>
          <w:szCs w:val="24"/>
        </w:rPr>
      </w:pPr>
      <w:r w:rsidRPr="00112A6E">
        <w:rPr>
          <w:b/>
          <w:bCs/>
          <w:sz w:val="24"/>
          <w:szCs w:val="24"/>
        </w:rPr>
        <w:t>Forecast horizon:</w:t>
      </w:r>
      <w:r w:rsidRPr="00112A6E">
        <w:rPr>
          <w:sz w:val="24"/>
          <w:szCs w:val="24"/>
        </w:rPr>
        <w:t xml:space="preserve"> 60 trading sessions.</w:t>
      </w:r>
    </w:p>
    <w:p w14:paraId="5418E272" w14:textId="77777777" w:rsidR="00112A6E" w:rsidRPr="00112A6E" w:rsidRDefault="00112A6E" w:rsidP="00112A6E">
      <w:pPr>
        <w:numPr>
          <w:ilvl w:val="0"/>
          <w:numId w:val="5"/>
        </w:numPr>
        <w:rPr>
          <w:sz w:val="24"/>
          <w:szCs w:val="24"/>
        </w:rPr>
      </w:pPr>
      <w:r w:rsidRPr="00112A6E">
        <w:rPr>
          <w:b/>
          <w:bCs/>
          <w:sz w:val="24"/>
          <w:szCs w:val="24"/>
        </w:rPr>
        <w:t>Method:</w:t>
      </w:r>
      <w:r w:rsidRPr="00112A6E">
        <w:rPr>
          <w:sz w:val="24"/>
          <w:szCs w:val="24"/>
        </w:rPr>
        <w:t xml:space="preserve"> Fixed average of the final 20 observed closing prices.</w:t>
      </w:r>
    </w:p>
    <w:p w14:paraId="59B421C1" w14:textId="77777777" w:rsidR="00112A6E" w:rsidRPr="00112A6E" w:rsidRDefault="00112A6E" w:rsidP="00112A6E">
      <w:pPr>
        <w:numPr>
          <w:ilvl w:val="0"/>
          <w:numId w:val="5"/>
        </w:numPr>
        <w:rPr>
          <w:sz w:val="24"/>
          <w:szCs w:val="24"/>
        </w:rPr>
      </w:pPr>
      <w:r w:rsidRPr="00112A6E">
        <w:rPr>
          <w:b/>
          <w:bCs/>
          <w:sz w:val="24"/>
          <w:szCs w:val="24"/>
        </w:rPr>
        <w:t>Output file:</w:t>
      </w:r>
      <w:r w:rsidRPr="00112A6E">
        <w:rPr>
          <w:sz w:val="24"/>
          <w:szCs w:val="24"/>
        </w:rPr>
        <w:t xml:space="preserve"> Week2_Future_Forecast.csv.</w:t>
      </w:r>
    </w:p>
    <w:p w14:paraId="6E7FC9FE" w14:textId="77777777" w:rsidR="00112A6E" w:rsidRPr="00112A6E" w:rsidRDefault="00112A6E" w:rsidP="00112A6E">
      <w:pPr>
        <w:rPr>
          <w:sz w:val="24"/>
          <w:szCs w:val="24"/>
        </w:rPr>
      </w:pPr>
      <w:r w:rsidRPr="00112A6E">
        <w:rPr>
          <w:sz w:val="24"/>
          <w:szCs w:val="24"/>
        </w:rPr>
        <w:t>All 60 forecasts have the same value because the method assumes a constant price level based on the recent average. This does not mean actual prices will remain unchanged.</w:t>
      </w:r>
    </w:p>
    <w:p w14:paraId="37751028" w14:textId="77777777" w:rsidR="00112A6E" w:rsidRPr="00112A6E" w:rsidRDefault="00112A6E" w:rsidP="00112A6E">
      <w:pPr>
        <w:rPr>
          <w:sz w:val="24"/>
          <w:szCs w:val="24"/>
        </w:rPr>
      </w:pPr>
      <w:r w:rsidRPr="00112A6E">
        <w:rPr>
          <w:sz w:val="24"/>
          <w:szCs w:val="24"/>
        </w:rPr>
        <w:t>Sessions are numbered 1–60 rather than assigned calendar dates, as exchange holidays and weekends must be considered when identifying trading dates.</w:t>
      </w:r>
    </w:p>
    <w:p w14:paraId="20F9A42D" w14:textId="77777777" w:rsidR="00112A6E" w:rsidRPr="00112A6E" w:rsidRDefault="00112A6E" w:rsidP="00112A6E">
      <w:pPr>
        <w:rPr>
          <w:sz w:val="24"/>
          <w:szCs w:val="24"/>
        </w:rPr>
      </w:pPr>
      <w:r w:rsidRPr="00112A6E">
        <w:rPr>
          <w:sz w:val="24"/>
          <w:szCs w:val="24"/>
        </w:rPr>
        <w:t>This forecast is based on the historical dataset cutoff, rather than current market data. Actual prices beyond the cutoff were not included, so the accuracy of this final forecast has not been measured.</w:t>
      </w:r>
    </w:p>
    <w:p w14:paraId="2A282EA8" w14:textId="77777777" w:rsidR="00273087" w:rsidRDefault="00273087" w:rsidP="00273087">
      <w:pPr>
        <w:rPr>
          <w:sz w:val="24"/>
          <w:szCs w:val="24"/>
        </w:rPr>
      </w:pPr>
    </w:p>
    <w:p w14:paraId="0D837007" w14:textId="77777777" w:rsidR="00631BF1" w:rsidRPr="00631BF1" w:rsidRDefault="00631BF1" w:rsidP="00631BF1">
      <w:pPr>
        <w:rPr>
          <w:sz w:val="32"/>
          <w:szCs w:val="32"/>
        </w:rPr>
      </w:pPr>
      <w:r w:rsidRPr="00631BF1">
        <w:rPr>
          <w:b/>
          <w:bCs/>
          <w:sz w:val="32"/>
          <w:szCs w:val="32"/>
        </w:rPr>
        <w:t>8. Limitations</w:t>
      </w:r>
    </w:p>
    <w:p w14:paraId="066D7C03" w14:textId="77777777" w:rsidR="00631BF1" w:rsidRPr="00631BF1" w:rsidRDefault="00631BF1" w:rsidP="00631BF1">
      <w:pPr>
        <w:numPr>
          <w:ilvl w:val="0"/>
          <w:numId w:val="6"/>
        </w:numPr>
        <w:rPr>
          <w:sz w:val="24"/>
          <w:szCs w:val="24"/>
        </w:rPr>
      </w:pPr>
      <w:r w:rsidRPr="00631BF1">
        <w:rPr>
          <w:sz w:val="24"/>
          <w:szCs w:val="24"/>
        </w:rPr>
        <w:t>Evaluation covers only one 60-session test period. Results may differ across other market conditions.</w:t>
      </w:r>
    </w:p>
    <w:p w14:paraId="313B2CCC" w14:textId="77777777" w:rsidR="00631BF1" w:rsidRPr="00631BF1" w:rsidRDefault="00631BF1" w:rsidP="00631BF1">
      <w:pPr>
        <w:numPr>
          <w:ilvl w:val="0"/>
          <w:numId w:val="6"/>
        </w:numPr>
        <w:rPr>
          <w:sz w:val="24"/>
          <w:szCs w:val="24"/>
        </w:rPr>
      </w:pPr>
      <w:r w:rsidRPr="00631BF1">
        <w:rPr>
          <w:sz w:val="24"/>
          <w:szCs w:val="24"/>
        </w:rPr>
        <w:t>Both methods produce constant forecasts and cannot capture future trends or daily price fluctuations.</w:t>
      </w:r>
    </w:p>
    <w:p w14:paraId="4632604E" w14:textId="77777777" w:rsidR="00631BF1" w:rsidRPr="00631BF1" w:rsidRDefault="00631BF1" w:rsidP="00631BF1">
      <w:pPr>
        <w:numPr>
          <w:ilvl w:val="0"/>
          <w:numId w:val="6"/>
        </w:numPr>
        <w:rPr>
          <w:sz w:val="24"/>
          <w:szCs w:val="24"/>
        </w:rPr>
      </w:pPr>
      <w:r w:rsidRPr="00631BF1">
        <w:rPr>
          <w:sz w:val="24"/>
          <w:szCs w:val="24"/>
        </w:rPr>
        <w:t>Only closing prices were used. News, economic indicators, trading volume, and company fundamentals were not included.</w:t>
      </w:r>
    </w:p>
    <w:p w14:paraId="15A57425" w14:textId="77777777" w:rsidR="00631BF1" w:rsidRPr="00631BF1" w:rsidRDefault="00631BF1" w:rsidP="00631BF1">
      <w:pPr>
        <w:numPr>
          <w:ilvl w:val="0"/>
          <w:numId w:val="6"/>
        </w:numPr>
        <w:rPr>
          <w:sz w:val="24"/>
          <w:szCs w:val="24"/>
        </w:rPr>
      </w:pPr>
      <w:r w:rsidRPr="00631BF1">
        <w:rPr>
          <w:sz w:val="24"/>
          <w:szCs w:val="24"/>
        </w:rPr>
        <w:t>The dataset ends on 31 December 2025, so the final forecast does not reflect current market information.</w:t>
      </w:r>
    </w:p>
    <w:p w14:paraId="076560D3" w14:textId="77777777" w:rsidR="00631BF1" w:rsidRPr="00631BF1" w:rsidRDefault="00631BF1" w:rsidP="00631BF1">
      <w:pPr>
        <w:numPr>
          <w:ilvl w:val="0"/>
          <w:numId w:val="6"/>
        </w:numPr>
        <w:rPr>
          <w:sz w:val="24"/>
          <w:szCs w:val="24"/>
        </w:rPr>
      </w:pPr>
      <w:r w:rsidRPr="00631BF1">
        <w:rPr>
          <w:sz w:val="24"/>
          <w:szCs w:val="24"/>
        </w:rPr>
        <w:t>Prediction intervals were not calculated; the forecasts do not quantify uncertainty.</w:t>
      </w:r>
    </w:p>
    <w:p w14:paraId="574026AA" w14:textId="77777777" w:rsidR="00631BF1" w:rsidRPr="00631BF1" w:rsidRDefault="00631BF1" w:rsidP="00631BF1">
      <w:pPr>
        <w:numPr>
          <w:ilvl w:val="0"/>
          <w:numId w:val="6"/>
        </w:numPr>
        <w:rPr>
          <w:sz w:val="24"/>
          <w:szCs w:val="24"/>
        </w:rPr>
      </w:pPr>
      <w:r w:rsidRPr="00631BF1">
        <w:rPr>
          <w:sz w:val="24"/>
          <w:szCs w:val="24"/>
        </w:rPr>
        <w:t>The final 60-session forecast has not been evaluated against subsequent actual prices.</w:t>
      </w:r>
    </w:p>
    <w:p w14:paraId="4199A9BC" w14:textId="7D8F7700" w:rsidR="00631BF1" w:rsidRDefault="00631BF1">
      <w:pPr>
        <w:rPr>
          <w:sz w:val="24"/>
          <w:szCs w:val="24"/>
        </w:rPr>
      </w:pPr>
      <w:r>
        <w:rPr>
          <w:sz w:val="24"/>
          <w:szCs w:val="24"/>
        </w:rPr>
        <w:br w:type="page"/>
      </w:r>
    </w:p>
    <w:p w14:paraId="0E66DE65" w14:textId="77777777" w:rsidR="00631BF1" w:rsidRPr="00631BF1" w:rsidRDefault="00631BF1" w:rsidP="00631BF1">
      <w:pPr>
        <w:rPr>
          <w:sz w:val="32"/>
          <w:szCs w:val="32"/>
        </w:rPr>
      </w:pPr>
      <w:r w:rsidRPr="00631BF1">
        <w:rPr>
          <w:b/>
          <w:bCs/>
          <w:sz w:val="32"/>
          <w:szCs w:val="32"/>
        </w:rPr>
        <w:lastRenderedPageBreak/>
        <w:t>9. Conclusion</w:t>
      </w:r>
    </w:p>
    <w:p w14:paraId="1B6E8576" w14:textId="77777777" w:rsidR="00631BF1" w:rsidRPr="00631BF1" w:rsidRDefault="00631BF1" w:rsidP="00631BF1">
      <w:pPr>
        <w:rPr>
          <w:sz w:val="24"/>
          <w:szCs w:val="24"/>
        </w:rPr>
      </w:pPr>
      <w:r w:rsidRPr="00631BF1">
        <w:rPr>
          <w:sz w:val="24"/>
          <w:szCs w:val="24"/>
        </w:rPr>
        <w:t xml:space="preserve">This project implemented and compared two simple methods for forecasting Bank of America’s closing stock price. On the selected test period, the 20-session average achieved an MAE of </w:t>
      </w:r>
      <w:r w:rsidRPr="00631BF1">
        <w:rPr>
          <w:b/>
          <w:bCs/>
          <w:sz w:val="24"/>
          <w:szCs w:val="24"/>
        </w:rPr>
        <w:t>$2.23</w:t>
      </w:r>
      <w:r w:rsidRPr="00631BF1">
        <w:rPr>
          <w:sz w:val="24"/>
          <w:szCs w:val="24"/>
        </w:rPr>
        <w:t xml:space="preserve"> and an RMSE of </w:t>
      </w:r>
      <w:r w:rsidRPr="00631BF1">
        <w:rPr>
          <w:b/>
          <w:bCs/>
          <w:sz w:val="24"/>
          <w:szCs w:val="24"/>
        </w:rPr>
        <w:t>$2.64</w:t>
      </w:r>
      <w:r w:rsidRPr="00631BF1">
        <w:rPr>
          <w:sz w:val="24"/>
          <w:szCs w:val="24"/>
        </w:rPr>
        <w:t xml:space="preserve">, compared with </w:t>
      </w:r>
      <w:r w:rsidRPr="00631BF1">
        <w:rPr>
          <w:b/>
          <w:bCs/>
          <w:sz w:val="24"/>
          <w:szCs w:val="24"/>
        </w:rPr>
        <w:t>$2.86</w:t>
      </w:r>
      <w:r w:rsidRPr="00631BF1">
        <w:rPr>
          <w:sz w:val="24"/>
          <w:szCs w:val="24"/>
        </w:rPr>
        <w:t xml:space="preserve"> and </w:t>
      </w:r>
      <w:r w:rsidRPr="00631BF1">
        <w:rPr>
          <w:b/>
          <w:bCs/>
          <w:sz w:val="24"/>
          <w:szCs w:val="24"/>
        </w:rPr>
        <w:t>$3.28</w:t>
      </w:r>
      <w:r w:rsidRPr="00631BF1">
        <w:rPr>
          <w:sz w:val="24"/>
          <w:szCs w:val="24"/>
        </w:rPr>
        <w:t xml:space="preserve"> for the naive benchmark.</w:t>
      </w:r>
    </w:p>
    <w:p w14:paraId="7A02BF41" w14:textId="77777777" w:rsidR="00631BF1" w:rsidRPr="00631BF1" w:rsidRDefault="00631BF1" w:rsidP="00631BF1">
      <w:pPr>
        <w:rPr>
          <w:sz w:val="24"/>
          <w:szCs w:val="24"/>
        </w:rPr>
      </w:pPr>
      <w:r w:rsidRPr="00631BF1">
        <w:rPr>
          <w:sz w:val="24"/>
          <w:szCs w:val="24"/>
        </w:rPr>
        <w:t xml:space="preserve">Although the average-based method produced lower errors, both methods underestimated prices during the later upward movement. Recalculating the average using the final 20 observations produced a fixed forecast of approximately </w:t>
      </w:r>
      <w:r w:rsidRPr="00631BF1">
        <w:rPr>
          <w:b/>
          <w:bCs/>
          <w:sz w:val="24"/>
          <w:szCs w:val="24"/>
        </w:rPr>
        <w:t>$54.85</w:t>
      </w:r>
      <w:r w:rsidRPr="00631BF1">
        <w:rPr>
          <w:sz w:val="24"/>
          <w:szCs w:val="24"/>
        </w:rPr>
        <w:t xml:space="preserve"> for each of the next 60 trading sessions beyond 31 December 2025.</w:t>
      </w:r>
    </w:p>
    <w:p w14:paraId="56701414" w14:textId="77777777" w:rsidR="00631BF1" w:rsidRPr="00631BF1" w:rsidRDefault="00631BF1" w:rsidP="00631BF1">
      <w:pPr>
        <w:rPr>
          <w:sz w:val="24"/>
          <w:szCs w:val="24"/>
        </w:rPr>
      </w:pPr>
      <w:r w:rsidRPr="00631BF1">
        <w:rPr>
          <w:sz w:val="24"/>
          <w:szCs w:val="24"/>
        </w:rPr>
        <w:t>The project demonstrates chronological evaluation, benchmark comparison, and interpretation of forecast errors. Further evaluation across multiple periods would be needed to assess reliability.</w:t>
      </w:r>
    </w:p>
    <w:p w14:paraId="03D5252D" w14:textId="77777777" w:rsidR="00631BF1" w:rsidRPr="00112A6E" w:rsidRDefault="00631BF1" w:rsidP="00273087">
      <w:pPr>
        <w:rPr>
          <w:sz w:val="24"/>
          <w:szCs w:val="24"/>
        </w:rPr>
      </w:pPr>
    </w:p>
    <w:sectPr w:rsidR="00631BF1" w:rsidRPr="00112A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D97C" w14:textId="77777777" w:rsidR="005F00D0" w:rsidRDefault="005F00D0" w:rsidP="005C36D2">
      <w:pPr>
        <w:spacing w:after="0" w:line="240" w:lineRule="auto"/>
      </w:pPr>
      <w:r>
        <w:separator/>
      </w:r>
    </w:p>
  </w:endnote>
  <w:endnote w:type="continuationSeparator" w:id="0">
    <w:p w14:paraId="0AA3179F" w14:textId="77777777" w:rsidR="005F00D0" w:rsidRDefault="005F00D0" w:rsidP="005C3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0DCA" w14:textId="77777777" w:rsidR="005F00D0" w:rsidRDefault="005F00D0" w:rsidP="005C36D2">
      <w:pPr>
        <w:spacing w:after="0" w:line="240" w:lineRule="auto"/>
      </w:pPr>
      <w:r>
        <w:separator/>
      </w:r>
    </w:p>
  </w:footnote>
  <w:footnote w:type="continuationSeparator" w:id="0">
    <w:p w14:paraId="62ADFEFE" w14:textId="77777777" w:rsidR="005F00D0" w:rsidRDefault="005F00D0" w:rsidP="005C3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E556B"/>
    <w:multiLevelType w:val="multilevel"/>
    <w:tmpl w:val="7D4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D6AB8"/>
    <w:multiLevelType w:val="multilevel"/>
    <w:tmpl w:val="DDB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6538F"/>
    <w:multiLevelType w:val="multilevel"/>
    <w:tmpl w:val="AAC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34229"/>
    <w:multiLevelType w:val="multilevel"/>
    <w:tmpl w:val="E29C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723EB"/>
    <w:multiLevelType w:val="multilevel"/>
    <w:tmpl w:val="504C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45094"/>
    <w:multiLevelType w:val="multilevel"/>
    <w:tmpl w:val="F11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490023">
    <w:abstractNumId w:val="3"/>
  </w:num>
  <w:num w:numId="2" w16cid:durableId="2047632825">
    <w:abstractNumId w:val="5"/>
  </w:num>
  <w:num w:numId="3" w16cid:durableId="1953054115">
    <w:abstractNumId w:val="1"/>
  </w:num>
  <w:num w:numId="4" w16cid:durableId="616108716">
    <w:abstractNumId w:val="4"/>
  </w:num>
  <w:num w:numId="5" w16cid:durableId="2109736192">
    <w:abstractNumId w:val="2"/>
  </w:num>
  <w:num w:numId="6" w16cid:durableId="74345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2E"/>
    <w:rsid w:val="000B167E"/>
    <w:rsid w:val="00112A6E"/>
    <w:rsid w:val="0011448B"/>
    <w:rsid w:val="00273087"/>
    <w:rsid w:val="005979BA"/>
    <w:rsid w:val="005C36D2"/>
    <w:rsid w:val="005F00D0"/>
    <w:rsid w:val="00631BF1"/>
    <w:rsid w:val="006F028C"/>
    <w:rsid w:val="007B50EB"/>
    <w:rsid w:val="00A3792E"/>
    <w:rsid w:val="00C61F7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A52C"/>
  <w15:chartTrackingRefBased/>
  <w15:docId w15:val="{88DE5D19-3AA5-48EE-B504-B6764B77F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2E"/>
    <w:rPr>
      <w:rFonts w:eastAsiaTheme="majorEastAsia" w:cstheme="majorBidi"/>
      <w:color w:val="272727" w:themeColor="text1" w:themeTint="D8"/>
    </w:rPr>
  </w:style>
  <w:style w:type="paragraph" w:styleId="Title">
    <w:name w:val="Title"/>
    <w:basedOn w:val="Normal"/>
    <w:next w:val="Normal"/>
    <w:link w:val="TitleChar"/>
    <w:uiPriority w:val="10"/>
    <w:qFormat/>
    <w:rsid w:val="00A37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2E"/>
    <w:pPr>
      <w:spacing w:before="160"/>
      <w:jc w:val="center"/>
    </w:pPr>
    <w:rPr>
      <w:i/>
      <w:iCs/>
      <w:color w:val="404040" w:themeColor="text1" w:themeTint="BF"/>
    </w:rPr>
  </w:style>
  <w:style w:type="character" w:customStyle="1" w:styleId="QuoteChar">
    <w:name w:val="Quote Char"/>
    <w:basedOn w:val="DefaultParagraphFont"/>
    <w:link w:val="Quote"/>
    <w:uiPriority w:val="29"/>
    <w:rsid w:val="00A3792E"/>
    <w:rPr>
      <w:i/>
      <w:iCs/>
      <w:color w:val="404040" w:themeColor="text1" w:themeTint="BF"/>
    </w:rPr>
  </w:style>
  <w:style w:type="paragraph" w:styleId="ListParagraph">
    <w:name w:val="List Paragraph"/>
    <w:basedOn w:val="Normal"/>
    <w:uiPriority w:val="34"/>
    <w:qFormat/>
    <w:rsid w:val="00A3792E"/>
    <w:pPr>
      <w:ind w:left="720"/>
      <w:contextualSpacing/>
    </w:pPr>
  </w:style>
  <w:style w:type="character" w:styleId="IntenseEmphasis">
    <w:name w:val="Intense Emphasis"/>
    <w:basedOn w:val="DefaultParagraphFont"/>
    <w:uiPriority w:val="21"/>
    <w:qFormat/>
    <w:rsid w:val="00A3792E"/>
    <w:rPr>
      <w:i/>
      <w:iCs/>
      <w:color w:val="0F4761" w:themeColor="accent1" w:themeShade="BF"/>
    </w:rPr>
  </w:style>
  <w:style w:type="paragraph" w:styleId="IntenseQuote">
    <w:name w:val="Intense Quote"/>
    <w:basedOn w:val="Normal"/>
    <w:next w:val="Normal"/>
    <w:link w:val="IntenseQuoteChar"/>
    <w:uiPriority w:val="30"/>
    <w:qFormat/>
    <w:rsid w:val="00A37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2E"/>
    <w:rPr>
      <w:i/>
      <w:iCs/>
      <w:color w:val="0F4761" w:themeColor="accent1" w:themeShade="BF"/>
    </w:rPr>
  </w:style>
  <w:style w:type="character" w:styleId="IntenseReference">
    <w:name w:val="Intense Reference"/>
    <w:basedOn w:val="DefaultParagraphFont"/>
    <w:uiPriority w:val="32"/>
    <w:qFormat/>
    <w:rsid w:val="00A3792E"/>
    <w:rPr>
      <w:b/>
      <w:bCs/>
      <w:smallCaps/>
      <w:color w:val="0F4761" w:themeColor="accent1" w:themeShade="BF"/>
      <w:spacing w:val="5"/>
    </w:rPr>
  </w:style>
  <w:style w:type="table" w:styleId="TableGrid">
    <w:name w:val="Table Grid"/>
    <w:basedOn w:val="TableNormal"/>
    <w:uiPriority w:val="39"/>
    <w:rsid w:val="00114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36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6D2"/>
  </w:style>
  <w:style w:type="paragraph" w:styleId="Footer">
    <w:name w:val="footer"/>
    <w:basedOn w:val="Normal"/>
    <w:link w:val="FooterChar"/>
    <w:uiPriority w:val="99"/>
    <w:unhideWhenUsed/>
    <w:rsid w:val="005C36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Preyash Gandhi</dc:creator>
  <cp:keywords/>
  <dc:description/>
  <cp:lastModifiedBy>Preyash Gandhi</cp:lastModifiedBy>
  <cp:revision>5</cp:revision>
  <dcterms:created xsi:type="dcterms:W3CDTF">2026-10-05T07:44:00Z</dcterms:created>
  <dcterms:modified xsi:type="dcterms:W3CDTF">2026-10-05T09:05:00Z</dcterms:modified>
</cp:coreProperties>
</file>