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38C9" w14:textId="77777777" w:rsidR="005C4F0B" w:rsidRDefault="00D87525">
      <w:pPr>
        <w:spacing w:after="50"/>
      </w:pPr>
      <w:r>
        <w:rPr>
          <w:b/>
          <w:bCs/>
          <w:color w:val="1B2A4A"/>
          <w:sz w:val="48"/>
          <w:szCs w:val="48"/>
        </w:rPr>
        <w:t>TWG</w:t>
      </w:r>
    </w:p>
    <w:p w14:paraId="79FB781E" w14:textId="77777777" w:rsidR="005C4F0B" w:rsidRDefault="00D87525">
      <w:pPr>
        <w:spacing w:after="60"/>
      </w:pPr>
      <w:r>
        <w:rPr>
          <w:b/>
          <w:bCs/>
          <w:color w:val="1B2A4A"/>
          <w:sz w:val="32"/>
          <w:szCs w:val="32"/>
        </w:rPr>
        <w:t>Website Changes Brief</w:t>
      </w:r>
    </w:p>
    <w:p w14:paraId="3F3C15E7" w14:textId="77777777" w:rsidR="005C4F0B" w:rsidRDefault="00D87525">
      <w:pPr>
        <w:spacing w:after="80"/>
      </w:pPr>
      <w:r>
        <w:rPr>
          <w:color w:val="C9A84C"/>
        </w:rPr>
        <w:t>For Joe · founding team feedback, sorted for the build</w:t>
      </w:r>
    </w:p>
    <w:p w14:paraId="7F211442" w14:textId="77777777" w:rsidR="005C4F0B" w:rsidRDefault="00D87525">
      <w:pPr>
        <w:pBdr>
          <w:bottom w:val="single" w:sz="6" w:space="8" w:color="1B2A4A"/>
        </w:pBdr>
        <w:spacing w:after="340"/>
      </w:pPr>
      <w:r>
        <w:rPr>
          <w:color w:val="7A7A7A"/>
          <w:sz w:val="20"/>
          <w:szCs w:val="20"/>
        </w:rPr>
        <w:t>31 July 2026   ·   thewastedgeneration.replit.app</w:t>
      </w:r>
    </w:p>
    <w:p w14:paraId="331323E9" w14:textId="77777777" w:rsidR="005C4F0B" w:rsidRDefault="00D87525">
      <w:pPr>
        <w:spacing w:before="55" w:after="100"/>
      </w:pPr>
      <w:r>
        <w:t>Joe, the site is looking strong and Simon and Brian both said so. This brief pulls their feedback together and sorts it into two groups: the things that need doing before we make the site public, and the improvements we can make either now or over the coming weeks. Each item says what to change in plain terms. Anything you want to talk through, just ask.</w:t>
      </w:r>
    </w:p>
    <w:p w14:paraId="005565E9" w14:textId="77777777" w:rsidR="005C4F0B" w:rsidRDefault="00D87525">
      <w:pPr>
        <w:pBdr>
          <w:left w:val="single" w:sz="14" w:space="8" w:color="1A6B3C"/>
        </w:pBdr>
        <w:shd w:val="clear" w:color="auto" w:fill="EAF7EF"/>
        <w:spacing w:before="120" w:after="120"/>
      </w:pPr>
      <w:r>
        <w:rPr>
          <w:b/>
          <w:bCs/>
          <w:color w:val="1A6B3C"/>
          <w:sz w:val="21"/>
          <w:szCs w:val="21"/>
        </w:rPr>
        <w:t>✔</w:t>
      </w:r>
      <w:r>
        <w:rPr>
          <w:b/>
          <w:bCs/>
          <w:color w:val="1A6B3C"/>
          <w:sz w:val="21"/>
          <w:szCs w:val="21"/>
        </w:rPr>
        <w:t xml:space="preserve">  The headline: three things must be fixed before the site goes live to the public. Everything else makes a good site better and can follow.</w:t>
      </w:r>
    </w:p>
    <w:p w14:paraId="67333AF6" w14:textId="77777777" w:rsidR="005C4F0B" w:rsidRDefault="00D87525">
      <w:pPr>
        <w:keepNext/>
        <w:pBdr>
          <w:bottom w:val="single" w:sz="3" w:space="6" w:color="C9A84C"/>
        </w:pBdr>
        <w:spacing w:before="400" w:after="120"/>
      </w:pPr>
      <w:r>
        <w:rPr>
          <w:b/>
          <w:bCs/>
          <w:color w:val="1B2A4A"/>
          <w:sz w:val="26"/>
          <w:szCs w:val="26"/>
        </w:rPr>
        <w:t>Part 1: Must Fix Before Launch</w:t>
      </w:r>
    </w:p>
    <w:p w14:paraId="3369ECBA" w14:textId="77777777" w:rsidR="005C4F0B" w:rsidRDefault="00D87525">
      <w:pPr>
        <w:spacing w:before="55" w:after="100"/>
      </w:pPr>
      <w:r>
        <w:t>These three are not polish. They are either broken, a legal requirement, or misleading if left as-is. The site should not go public until they are done.</w:t>
      </w:r>
    </w:p>
    <w:p w14:paraId="01AB5904" w14:textId="77777777" w:rsidR="005C4F0B" w:rsidRDefault="00D87525">
      <w:pPr>
        <w:keepNext/>
        <w:spacing w:before="240" w:after="70"/>
      </w:pPr>
      <w:r>
        <w:rPr>
          <w:b/>
          <w:bCs/>
          <w:color w:val="1B2A4A"/>
        </w:rPr>
        <w:t>1. Cookie and privacy (GDPR) notice</w:t>
      </w:r>
    </w:p>
    <w:p w14:paraId="25829FD5" w14:textId="77777777" w:rsidR="005C4F0B" w:rsidRDefault="00D87525">
      <w:pPr>
        <w:pBdr>
          <w:left w:val="single" w:sz="14" w:space="8" w:color="8B2020"/>
        </w:pBdr>
        <w:shd w:val="clear" w:color="auto" w:fill="FBEAEA"/>
        <w:spacing w:before="120" w:after="120"/>
      </w:pPr>
      <w:r>
        <w:rPr>
          <w:b/>
          <w:bCs/>
          <w:color w:val="8B2020"/>
          <w:sz w:val="21"/>
          <w:szCs w:val="21"/>
        </w:rPr>
        <w:t>⚠</w:t>
      </w:r>
      <w:r>
        <w:rPr>
          <w:b/>
          <w:bCs/>
          <w:color w:val="8B2020"/>
          <w:sz w:val="21"/>
          <w:szCs w:val="21"/>
        </w:rPr>
        <w:t xml:space="preserve">  Legal requirement. A public site with visitors from the UK, Europe, and the US needs a cookie banner and a privacy policy. Right now there is none.</w:t>
      </w:r>
    </w:p>
    <w:p w14:paraId="1F3A7CC2" w14:textId="77777777" w:rsidR="005C4F0B" w:rsidRDefault="00D87525">
      <w:pPr>
        <w:spacing w:before="55" w:after="100"/>
      </w:pPr>
      <w:r>
        <w:t>Add a cookie consent banner that appears on first visit and lets the visitor accept or decline non-essential cookies. Add a Privacy Policy page and a Cookie Policy page, linked in the footer. Because we will have US visitors (California in particular), the privacy policy needs to cover both UK/EU (GDPR) and California (CCPA) basics.</w:t>
      </w:r>
    </w:p>
    <w:p w14:paraId="21D0E8CF" w14:textId="77777777" w:rsidR="005C4F0B" w:rsidRDefault="00D87525">
      <w:pPr>
        <w:pBdr>
          <w:left w:val="single" w:sz="12" w:space="8" w:color="1B4F72"/>
        </w:pBdr>
        <w:shd w:val="clear" w:color="auto" w:fill="EAF4FB"/>
        <w:spacing w:before="120" w:after="120"/>
      </w:pPr>
      <w:r>
        <w:rPr>
          <w:color w:val="1B4F72"/>
          <w:sz w:val="20"/>
          <w:szCs w:val="20"/>
        </w:rPr>
        <w:t>ℹ</w:t>
      </w:r>
      <w:r>
        <w:rPr>
          <w:color w:val="1B4F72"/>
          <w:sz w:val="20"/>
          <w:szCs w:val="20"/>
        </w:rPr>
        <w:t xml:space="preserve">  This is the one item I would not launch without. Andrew will provide the policy wording, or we use a standard generator and tailor it. Joe: you just need to build the banner and the two linked pages, the words will come to you.</w:t>
      </w:r>
    </w:p>
    <w:p w14:paraId="668007DE" w14:textId="77777777" w:rsidR="005C4F0B" w:rsidRDefault="00D87525">
      <w:pPr>
        <w:keepNext/>
        <w:spacing w:before="240" w:after="70"/>
      </w:pPr>
      <w:r>
        <w:rPr>
          <w:b/>
          <w:bCs/>
          <w:color w:val="1B2A4A"/>
        </w:rPr>
        <w:t>2. Fee structure shown consistently</w:t>
      </w:r>
    </w:p>
    <w:p w14:paraId="58BAB21A" w14:textId="77777777" w:rsidR="005C4F0B" w:rsidRDefault="00D87525">
      <w:pPr>
        <w:spacing w:before="55" w:after="100"/>
      </w:pPr>
      <w:r>
        <w:t>The 5% introduction override and the 15% cap are not shown everywhere they should be. Simon flagged that the Organisations tab does not mention them, which could look misleading when a client later reads the full terms.</w:t>
      </w:r>
    </w:p>
    <w:p w14:paraId="0D4F8337" w14:textId="77777777" w:rsidR="005C4F0B" w:rsidRDefault="00D87525">
      <w:pPr>
        <w:spacing w:before="90" w:after="90"/>
      </w:pPr>
      <w:r>
        <w:rPr>
          <w:b/>
          <w:bCs/>
          <w:color w:val="1B2A4A"/>
        </w:rPr>
        <w:t xml:space="preserve">Change:  </w:t>
      </w:r>
      <w:r>
        <w:t>On the Organisations page, add a short line near the fee information:</w:t>
      </w:r>
    </w:p>
    <w:p w14:paraId="3E697A72" w14:textId="77777777" w:rsidR="005C4F0B" w:rsidRDefault="00D87525">
      <w:pPr>
        <w:pBdr>
          <w:left w:val="single" w:sz="10" w:space="6" w:color="C9A84C"/>
        </w:pBdr>
        <w:shd w:val="clear" w:color="auto" w:fill="F4F6F9"/>
        <w:spacing w:before="60" w:after="90"/>
        <w:ind w:left="340"/>
      </w:pPr>
      <w:r>
        <w:rPr>
          <w:i/>
          <w:iCs/>
          <w:sz w:val="21"/>
          <w:szCs w:val="21"/>
        </w:rPr>
        <w:t>A 5% introduction override and a 15% overall cap may apply. For full details, see our complete fee structure.</w:t>
      </w:r>
    </w:p>
    <w:p w14:paraId="6F8B3A5B" w14:textId="77777777" w:rsidR="005C4F0B" w:rsidRDefault="00D87525">
      <w:pPr>
        <w:spacing w:before="20" w:after="80"/>
        <w:ind w:left="340"/>
      </w:pPr>
      <w:r>
        <w:rPr>
          <w:i/>
          <w:iCs/>
          <w:color w:val="7A7A7A"/>
          <w:sz w:val="21"/>
          <w:szCs w:val="21"/>
        </w:rPr>
        <w:t>Link that line to wherever the full fee structure lives, so nothing is hidden.</w:t>
      </w:r>
    </w:p>
    <w:p w14:paraId="4B4AB82F" w14:textId="77777777" w:rsidR="005C4F0B" w:rsidRDefault="00D87525">
      <w:pPr>
        <w:keepNext/>
        <w:spacing w:before="240" w:after="70"/>
      </w:pPr>
      <w:r>
        <w:rPr>
          <w:b/>
          <w:bCs/>
          <w:color w:val="1B2A4A"/>
        </w:rPr>
        <w:t>3. Edit/feedback widget needs access for the team</w:t>
      </w:r>
    </w:p>
    <w:p w14:paraId="0C88B81F" w14:textId="77777777" w:rsidR="005C4F0B" w:rsidRDefault="00D87525">
      <w:pPr>
        <w:spacing w:before="55" w:after="100"/>
      </w:pPr>
      <w:r>
        <w:t>Simon and Brian could not use the on-page feedback widget because it asks for a login they do not have. Either give Simon and Brian login access to the widget, or for now let them send feedback by email and we take the widget off the public site before launch. The widget must not be visible or in the way for public visitors.</w:t>
      </w:r>
    </w:p>
    <w:p w14:paraId="740C36F4" w14:textId="77777777" w:rsidR="005C4F0B" w:rsidRDefault="005C4F0B">
      <w:pPr>
        <w:pBdr>
          <w:bottom w:val="single" w:sz="1" w:space="1" w:color="D8D8D8"/>
        </w:pBdr>
        <w:spacing w:before="200" w:after="200"/>
      </w:pPr>
    </w:p>
    <w:p w14:paraId="13A5299A" w14:textId="77777777" w:rsidR="005C4F0B" w:rsidRDefault="00D87525">
      <w:pPr>
        <w:keepNext/>
        <w:pBdr>
          <w:bottom w:val="single" w:sz="3" w:space="6" w:color="C9A84C"/>
        </w:pBdr>
        <w:spacing w:before="400" w:after="120"/>
      </w:pPr>
      <w:r>
        <w:rPr>
          <w:b/>
          <w:bCs/>
          <w:color w:val="1B2A4A"/>
          <w:sz w:val="26"/>
          <w:szCs w:val="26"/>
        </w:rPr>
        <w:lastRenderedPageBreak/>
        <w:t>Part 2: Improvements (now or soon)</w:t>
      </w:r>
    </w:p>
    <w:p w14:paraId="4239AF45" w14:textId="77777777" w:rsidR="005C4F0B" w:rsidRDefault="00D87525">
      <w:pPr>
        <w:spacing w:before="55" w:after="100"/>
      </w:pPr>
      <w:r>
        <w:t>None of these block launch. They make the site clearer and stronger. Do the quick ones now if you can, the rest can follow over the coming weeks. Grouped so you can pick them off easily.</w:t>
      </w:r>
    </w:p>
    <w:p w14:paraId="3A05B7FE" w14:textId="77777777" w:rsidR="005C4F0B" w:rsidRDefault="00D87525">
      <w:pPr>
        <w:keepNext/>
        <w:spacing w:before="240" w:after="70"/>
      </w:pPr>
      <w:r>
        <w:rPr>
          <w:b/>
          <w:bCs/>
          <w:color w:val="1B2A4A"/>
        </w:rPr>
        <w:t>Quick fixes, worth doing now</w:t>
      </w:r>
    </w:p>
    <w:p w14:paraId="08706185" w14:textId="77777777" w:rsidR="005C4F0B" w:rsidRDefault="00D87525">
      <w:pPr>
        <w:spacing w:before="90" w:after="90"/>
      </w:pPr>
      <w:r>
        <w:rPr>
          <w:b/>
          <w:bCs/>
          <w:color w:val="1B2A4A"/>
        </w:rPr>
        <w:t xml:space="preserve">Email address:  </w:t>
      </w:r>
      <w:r>
        <w:t>Andrew's email is shown directly on the site. Replace it with a simple contact form, because the team email addresses are about to change. Form submissions should route to Andrew for now.</w:t>
      </w:r>
    </w:p>
    <w:p w14:paraId="5A59E16A" w14:textId="77777777" w:rsidR="005C4F0B" w:rsidRDefault="00D87525">
      <w:pPr>
        <w:spacing w:before="90" w:after="90"/>
      </w:pPr>
      <w:r>
        <w:rPr>
          <w:b/>
          <w:bCs/>
          <w:color w:val="1B2A4A"/>
        </w:rPr>
        <w:t xml:space="preserve">Tab order:  </w:t>
      </w:r>
      <w:r>
        <w:t>The placing of “For Organisations” and “For Practitioners” reads inconsistently left to right in different places. Make the order the same everywhere it appears.</w:t>
      </w:r>
    </w:p>
    <w:p w14:paraId="45297EE4" w14:textId="77777777" w:rsidR="005C4F0B" w:rsidRDefault="00D87525">
      <w:pPr>
        <w:spacing w:before="90" w:after="90"/>
      </w:pPr>
      <w:r>
        <w:rPr>
          <w:b/>
          <w:bCs/>
          <w:color w:val="1B2A4A"/>
        </w:rPr>
        <w:t xml:space="preserve">US currency:  </w:t>
      </w:r>
      <w:r>
        <w:t>All figures currently show in UK pounds. Fine for UK visitors, but US visitors (via Brian) need to see dollars. At minimum, add a note that US pricing is available, or show dollars on the US-facing route once regional routing is in.</w:t>
      </w:r>
    </w:p>
    <w:p w14:paraId="63F5D36F" w14:textId="77777777" w:rsidR="005C4F0B" w:rsidRDefault="00D87525">
      <w:pPr>
        <w:keepNext/>
        <w:spacing w:before="240" w:after="70"/>
      </w:pPr>
      <w:r>
        <w:rPr>
          <w:b/>
          <w:bCs/>
          <w:color w:val="1B2A4A"/>
        </w:rPr>
        <w:t>Homepage messaging (Brian's suggestions)</w:t>
      </w:r>
    </w:p>
    <w:p w14:paraId="68BD24A9" w14:textId="77777777" w:rsidR="005C4F0B" w:rsidRDefault="00D87525">
      <w:pPr>
        <w:spacing w:before="90" w:after="90"/>
      </w:pPr>
      <w:r>
        <w:rPr>
          <w:b/>
          <w:bCs/>
          <w:color w:val="1B2A4A"/>
        </w:rPr>
        <w:t xml:space="preserve">Opening line:  </w:t>
      </w:r>
      <w:r>
        <w:t>Consider strengthening the headline by tying it straight to business. Brian suggested:</w:t>
      </w:r>
    </w:p>
    <w:p w14:paraId="3B345158" w14:textId="77777777" w:rsidR="005C4F0B" w:rsidRDefault="00D87525">
      <w:pPr>
        <w:pBdr>
          <w:left w:val="single" w:sz="10" w:space="6" w:color="C9A84C"/>
        </w:pBdr>
        <w:shd w:val="clear" w:color="auto" w:fill="F4F6F9"/>
        <w:spacing w:before="60" w:after="90"/>
        <w:ind w:left="340"/>
      </w:pPr>
      <w:r>
        <w:rPr>
          <w:i/>
          <w:iCs/>
          <w:sz w:val="21"/>
          <w:szCs w:val="21"/>
        </w:rPr>
        <w:t>Every business problem has been solved before. We connect you with the people who have already solved it.</w:t>
      </w:r>
    </w:p>
    <w:p w14:paraId="612170A9" w14:textId="77777777" w:rsidR="005C4F0B" w:rsidRDefault="00D87525">
      <w:pPr>
        <w:spacing w:before="90" w:after="90"/>
      </w:pPr>
      <w:r>
        <w:rPr>
          <w:b/>
          <w:bCs/>
          <w:color w:val="1B2A4A"/>
        </w:rPr>
        <w:t xml:space="preserve">Add a short intro for first-time visitors  </w:t>
      </w:r>
      <w:r>
        <w:t>so they do not have to work out the model. Something like:</w:t>
      </w:r>
    </w:p>
    <w:p w14:paraId="5AEBFF79" w14:textId="77777777" w:rsidR="005C4F0B" w:rsidRDefault="00D87525">
      <w:pPr>
        <w:pBdr>
          <w:left w:val="single" w:sz="10" w:space="6" w:color="C9A84C"/>
        </w:pBdr>
        <w:shd w:val="clear" w:color="auto" w:fill="F4F6F9"/>
        <w:spacing w:before="60" w:after="90"/>
        <w:ind w:left="340"/>
      </w:pPr>
      <w:r>
        <w:rPr>
          <w:i/>
          <w:iCs/>
          <w:sz w:val="21"/>
          <w:szCs w:val="21"/>
        </w:rPr>
        <w:t>TWG is a curated network of proven executives, specialists, and transformation leaders. We connect organisations facing complex business challenges with practitioners who have already solved those exact problems, backed by defined outcomes, transparent pricing, and mutual accountability.</w:t>
      </w:r>
    </w:p>
    <w:p w14:paraId="2AB4BD5E" w14:textId="77777777" w:rsidR="005C4F0B" w:rsidRDefault="00D87525">
      <w:pPr>
        <w:spacing w:before="90" w:after="90"/>
      </w:pPr>
      <w:r>
        <w:rPr>
          <w:b/>
          <w:bCs/>
          <w:color w:val="1B2A4A"/>
        </w:rPr>
        <w:t xml:space="preserve">Customer journey line  </w:t>
      </w:r>
      <w:r>
        <w:t>under “We match. We introduce. We deploy.” Add a plain explanation of what happens:</w:t>
      </w:r>
    </w:p>
    <w:p w14:paraId="72D19503" w14:textId="77777777" w:rsidR="005C4F0B" w:rsidRDefault="00D87525">
      <w:pPr>
        <w:pBdr>
          <w:left w:val="single" w:sz="10" w:space="6" w:color="C9A84C"/>
        </w:pBdr>
        <w:shd w:val="clear" w:color="auto" w:fill="F4F6F9"/>
        <w:spacing w:before="60" w:after="90"/>
        <w:ind w:left="340"/>
      </w:pPr>
      <w:r>
        <w:rPr>
          <w:i/>
          <w:iCs/>
          <w:sz w:val="21"/>
          <w:szCs w:val="21"/>
        </w:rPr>
        <w:t>Describe your challenge, and we will identify a practitioner who has delivered the same outcome. We manage the introduction, define the scope, and align expectations before work begins.</w:t>
      </w:r>
    </w:p>
    <w:p w14:paraId="6D4E9A6F" w14:textId="77777777" w:rsidR="005C4F0B" w:rsidRDefault="00D87525">
      <w:pPr>
        <w:keepNext/>
        <w:spacing w:before="240" w:after="70"/>
      </w:pPr>
      <w:r>
        <w:rPr>
          <w:b/>
          <w:bCs/>
          <w:color w:val="1B2A4A"/>
        </w:rPr>
        <w:t>Section headings (Brian's suggestions)</w:t>
      </w:r>
    </w:p>
    <w:p w14:paraId="7B878863" w14:textId="77777777" w:rsidR="005C4F0B" w:rsidRDefault="00D87525">
      <w:pPr>
        <w:spacing w:before="55" w:after="100"/>
      </w:pPr>
      <w:r>
        <w:t>Brian suggested some section names could be clearer. Options to consider, your and Andrew's call on wording:</w:t>
      </w:r>
    </w:p>
    <w:p w14:paraId="198825BE" w14:textId="77777777" w:rsidR="005C4F0B" w:rsidRDefault="00D87525">
      <w:pPr>
        <w:spacing w:before="90" w:after="90"/>
      </w:pPr>
      <w:r>
        <w:rPr>
          <w:b/>
          <w:bCs/>
          <w:color w:val="1B2A4A"/>
        </w:rPr>
        <w:t xml:space="preserve">“What This Is”  </w:t>
      </w:r>
      <w:r>
        <w:t>could become How It Works, Our Process, or How We Deliver Outcomes.</w:t>
      </w:r>
    </w:p>
    <w:p w14:paraId="171CB388" w14:textId="77777777" w:rsidR="005C4F0B" w:rsidRDefault="00D87525">
      <w:pPr>
        <w:spacing w:before="90" w:after="90"/>
      </w:pPr>
      <w:r>
        <w:rPr>
          <w:b/>
          <w:bCs/>
          <w:color w:val="1B2A4A"/>
        </w:rPr>
        <w:t xml:space="preserve">“Does This Sound Familiar”  </w:t>
      </w:r>
      <w:r>
        <w:t>could become Common Reasons Organisations Contact Us.</w:t>
      </w:r>
    </w:p>
    <w:p w14:paraId="43202326" w14:textId="77777777" w:rsidR="005C4F0B" w:rsidRDefault="00D87525">
      <w:pPr>
        <w:spacing w:before="90" w:after="90"/>
      </w:pPr>
      <w:r>
        <w:rPr>
          <w:b/>
          <w:bCs/>
          <w:color w:val="1B2A4A"/>
        </w:rPr>
        <w:t xml:space="preserve">“How We Work”  </w:t>
      </w:r>
      <w:r>
        <w:t>could become From Challenge to Outcome, or How Engagements Work.</w:t>
      </w:r>
    </w:p>
    <w:p w14:paraId="42F1523B" w14:textId="77777777" w:rsidR="005C4F0B" w:rsidRDefault="00D87525">
      <w:pPr>
        <w:keepNext/>
        <w:spacing w:before="240" w:after="70"/>
      </w:pPr>
      <w:r>
        <w:rPr>
          <w:b/>
          <w:bCs/>
          <w:color w:val="1B2A4A"/>
        </w:rPr>
        <w:t>Positioning to strengthen (Brian's suggestions)</w:t>
      </w:r>
    </w:p>
    <w:p w14:paraId="3EEC6AB7" w14:textId="77777777" w:rsidR="005C4F0B" w:rsidRDefault="00D87525">
      <w:pPr>
        <w:spacing w:before="90" w:after="90"/>
      </w:pPr>
      <w:r>
        <w:rPr>
          <w:b/>
          <w:bCs/>
          <w:color w:val="1B2A4A"/>
        </w:rPr>
        <w:t xml:space="preserve">Pricing as an advantage:  </w:t>
      </w:r>
      <w:r>
        <w:t>rather than just describing the fee, frame it as a differentiator. For example:</w:t>
      </w:r>
    </w:p>
    <w:p w14:paraId="0EC6BAB0" w14:textId="77777777" w:rsidR="005C4F0B" w:rsidRDefault="00D87525">
      <w:pPr>
        <w:pBdr>
          <w:left w:val="single" w:sz="10" w:space="6" w:color="C9A84C"/>
        </w:pBdr>
        <w:shd w:val="clear" w:color="auto" w:fill="F4F6F9"/>
        <w:spacing w:before="60" w:after="90"/>
        <w:ind w:left="340"/>
      </w:pPr>
      <w:r>
        <w:rPr>
          <w:i/>
          <w:iCs/>
          <w:sz w:val="21"/>
          <w:szCs w:val="21"/>
        </w:rPr>
        <w:t>Transparent pricing, no hidden margins. Traditional consulting firms often charge 20 to 35% above a practitioner's day rate, rarely transparently. TWG charges a published 10% fee, disclosed before any engagement begins.</w:t>
      </w:r>
    </w:p>
    <w:p w14:paraId="78F49AFF" w14:textId="77777777" w:rsidR="005C4F0B" w:rsidRDefault="00D87525">
      <w:pPr>
        <w:spacing w:before="90" w:after="90"/>
      </w:pPr>
      <w:r>
        <w:rPr>
          <w:b/>
          <w:bCs/>
          <w:color w:val="1B2A4A"/>
        </w:rPr>
        <w:t xml:space="preserve">Mutual accountability:  </w:t>
      </w:r>
      <w:r>
        <w:t>give the 360 evaluation more prominence, it is genuinely unique. Both sides evaluate each other at the end of every engagement, building a permanent reputation that improves every future match.</w:t>
      </w:r>
    </w:p>
    <w:p w14:paraId="5AEB1728" w14:textId="77777777" w:rsidR="005C4F0B" w:rsidRDefault="00D87525">
      <w:pPr>
        <w:spacing w:before="90" w:after="90"/>
      </w:pPr>
      <w:r>
        <w:rPr>
          <w:b/>
          <w:bCs/>
          <w:color w:val="1B2A4A"/>
        </w:rPr>
        <w:t xml:space="preserve">Replace “Coming Soon”  </w:t>
      </w:r>
      <w:r>
        <w:t>on case studies with something more intentional:</w:t>
      </w:r>
    </w:p>
    <w:p w14:paraId="07E43060" w14:textId="77777777" w:rsidR="005C4F0B" w:rsidRDefault="00D87525">
      <w:pPr>
        <w:pBdr>
          <w:left w:val="single" w:sz="10" w:space="6" w:color="C9A84C"/>
        </w:pBdr>
        <w:shd w:val="clear" w:color="auto" w:fill="F4F6F9"/>
        <w:spacing w:before="60" w:after="90"/>
        <w:ind w:left="340"/>
      </w:pPr>
      <w:r>
        <w:rPr>
          <w:i/>
          <w:iCs/>
          <w:sz w:val="21"/>
          <w:szCs w:val="21"/>
        </w:rPr>
        <w:lastRenderedPageBreak/>
        <w:t>Building our library of success stories. Client case studies will be published as engagements complete. In the meantime, we are happy to share relevant practitioner experience in an introductory conversation.</w:t>
      </w:r>
    </w:p>
    <w:p w14:paraId="58209A5B" w14:textId="77777777" w:rsidR="005C4F0B" w:rsidRDefault="00D87525">
      <w:pPr>
        <w:keepNext/>
        <w:spacing w:before="240" w:after="70"/>
      </w:pPr>
      <w:r>
        <w:rPr>
          <w:b/>
          <w:bCs/>
          <w:color w:val="1B2A4A"/>
        </w:rPr>
        <w:t>For later, as the network grows</w:t>
      </w:r>
    </w:p>
    <w:p w14:paraId="75CE79D6" w14:textId="77777777" w:rsidR="005C4F0B" w:rsidRDefault="00D87525">
      <w:pPr>
        <w:spacing w:before="55" w:after="100"/>
      </w:pPr>
      <w:r>
        <w:t>Brian suggested example lists of typical business challenges and ideal engagements (cloud migration, ERP, cybersecurity, AI adoption, M&amp;A integration, revenue growth, and so on) to help visitors self-identify. Good idea, but better once we have practitioners and case studies to back the claims. Park for a later revision.</w:t>
      </w:r>
    </w:p>
    <w:p w14:paraId="0D24EC59" w14:textId="77777777" w:rsidR="005C4F0B" w:rsidRDefault="00D87525">
      <w:pPr>
        <w:keepNext/>
        <w:spacing w:before="240" w:after="70"/>
      </w:pPr>
      <w:r>
        <w:rPr>
          <w:b/>
          <w:bCs/>
          <w:color w:val="1B2A4A"/>
        </w:rPr>
        <w:t>Flag for removal later, not now</w:t>
      </w:r>
    </w:p>
    <w:p w14:paraId="5C8BD17F" w14:textId="77777777" w:rsidR="005C4F0B" w:rsidRDefault="00D87525">
      <w:pPr>
        <w:spacing w:before="55" w:after="100"/>
      </w:pPr>
      <w:r>
        <w:t>Simon flagged the “TWG is a journey, not a launch” paragraph as right for now but needing removal once we have traction. Leave it in for launch, mark it to revisit.</w:t>
      </w:r>
    </w:p>
    <w:p w14:paraId="7AF0D3B1" w14:textId="77777777" w:rsidR="005C4F0B" w:rsidRDefault="005C4F0B">
      <w:pPr>
        <w:pBdr>
          <w:bottom w:val="single" w:sz="1" w:space="1" w:color="D8D8D8"/>
        </w:pBdr>
        <w:spacing w:before="200" w:after="200"/>
      </w:pPr>
    </w:p>
    <w:p w14:paraId="03F63659" w14:textId="77777777" w:rsidR="005C4F0B" w:rsidRDefault="00D87525">
      <w:pPr>
        <w:keepNext/>
        <w:pBdr>
          <w:bottom w:val="single" w:sz="3" w:space="6" w:color="C9A84C"/>
        </w:pBdr>
        <w:spacing w:before="400" w:after="120"/>
      </w:pPr>
      <w:r>
        <w:rPr>
          <w:b/>
          <w:bCs/>
          <w:color w:val="1B2A4A"/>
          <w:sz w:val="26"/>
          <w:szCs w:val="26"/>
        </w:rPr>
        <w:t>Part 3: Alongside the Site</w:t>
      </w:r>
    </w:p>
    <w:p w14:paraId="178FB05A" w14:textId="77777777" w:rsidR="005C4F0B" w:rsidRDefault="00D87525">
      <w:pPr>
        <w:spacing w:before="90" w:after="90"/>
      </w:pPr>
      <w:r>
        <w:rPr>
          <w:b/>
          <w:bCs/>
          <w:color w:val="1B2A4A"/>
        </w:rPr>
        <w:t xml:space="preserve">LinkedIn company page:  </w:t>
      </w:r>
      <w:r>
        <w:t>Simon has offered to set up the TWG LinkedIn company page, to launch at the same time as the site. The site needs a link to it in the footer and header. Simon builds the page, Joe adds the link when the URL is ready.</w:t>
      </w:r>
    </w:p>
    <w:p w14:paraId="7E6D3320" w14:textId="77777777" w:rsidR="005C4F0B" w:rsidRDefault="00D87525">
      <w:pPr>
        <w:spacing w:before="90" w:after="90"/>
      </w:pPr>
      <w:r>
        <w:rPr>
          <w:b/>
          <w:bCs/>
          <w:color w:val="1B2A4A"/>
        </w:rPr>
        <w:t xml:space="preserve">Fabricated practitioner profiles:  </w:t>
      </w:r>
      <w:r>
        <w:t>any placeholder or example practitioner profiles on the Network page must be removed before launch. Only real, confirmed people appear on the public site.</w:t>
      </w:r>
    </w:p>
    <w:p w14:paraId="3E4F48F0" w14:textId="77777777" w:rsidR="005C4F0B" w:rsidRDefault="005C4F0B">
      <w:pPr>
        <w:pBdr>
          <w:bottom w:val="single" w:sz="1" w:space="1" w:color="D8D8D8"/>
        </w:pBdr>
        <w:spacing w:before="200" w:after="200"/>
      </w:pPr>
    </w:p>
    <w:p w14:paraId="02ADF1D6" w14:textId="77777777" w:rsidR="005C4F0B" w:rsidRDefault="00D87525">
      <w:pPr>
        <w:pBdr>
          <w:left w:val="single" w:sz="14" w:space="8" w:color="1A6B3C"/>
        </w:pBdr>
        <w:shd w:val="clear" w:color="auto" w:fill="EAF7EF"/>
        <w:spacing w:before="120" w:after="120"/>
      </w:pPr>
      <w:r>
        <w:rPr>
          <w:b/>
          <w:bCs/>
          <w:color w:val="1A6B3C"/>
          <w:sz w:val="21"/>
          <w:szCs w:val="21"/>
        </w:rPr>
        <w:t>✔</w:t>
      </w:r>
      <w:r>
        <w:rPr>
          <w:b/>
          <w:bCs/>
          <w:color w:val="1A6B3C"/>
          <w:sz w:val="21"/>
          <w:szCs w:val="21"/>
        </w:rPr>
        <w:t xml:space="preserve">  Order of play: Part 1 (the three must-fixes) before we go public. Then the quick fixes in Part 2. Then the messaging and positioning changes as time allows. LinkedIn and profile cleanup happen alongside.</w:t>
      </w:r>
    </w:p>
    <w:p w14:paraId="66235FA1" w14:textId="77777777" w:rsidR="005C4F0B" w:rsidRDefault="00D87525">
      <w:pPr>
        <w:spacing w:before="200"/>
      </w:pPr>
      <w:r>
        <w:rPr>
          <w:i/>
          <w:iCs/>
          <w:color w:val="7A7A7A"/>
          <w:sz w:val="18"/>
          <w:szCs w:val="18"/>
        </w:rPr>
        <w:t>TWG Network   ·   Website Changes Brief   ·   For Joe   ·   31 July 2026</w:t>
      </w:r>
    </w:p>
    <w:sectPr w:rsidR="005C4F0B">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2065C"/>
    <w:multiLevelType w:val="hybridMultilevel"/>
    <w:tmpl w:val="EE8AC1B8"/>
    <w:lvl w:ilvl="0" w:tplc="4080BB02">
      <w:start w:val="1"/>
      <w:numFmt w:val="bullet"/>
      <w:lvlText w:val="●"/>
      <w:lvlJc w:val="left"/>
      <w:pPr>
        <w:ind w:left="720" w:hanging="360"/>
      </w:pPr>
    </w:lvl>
    <w:lvl w:ilvl="1" w:tplc="B2CE2828">
      <w:start w:val="1"/>
      <w:numFmt w:val="bullet"/>
      <w:lvlText w:val="○"/>
      <w:lvlJc w:val="left"/>
      <w:pPr>
        <w:ind w:left="1440" w:hanging="360"/>
      </w:pPr>
    </w:lvl>
    <w:lvl w:ilvl="2" w:tplc="EDF0D9DC">
      <w:start w:val="1"/>
      <w:numFmt w:val="bullet"/>
      <w:lvlText w:val="■"/>
      <w:lvlJc w:val="left"/>
      <w:pPr>
        <w:ind w:left="2160" w:hanging="360"/>
      </w:pPr>
    </w:lvl>
    <w:lvl w:ilvl="3" w:tplc="8C16B0DE">
      <w:start w:val="1"/>
      <w:numFmt w:val="bullet"/>
      <w:lvlText w:val="●"/>
      <w:lvlJc w:val="left"/>
      <w:pPr>
        <w:ind w:left="2880" w:hanging="360"/>
      </w:pPr>
    </w:lvl>
    <w:lvl w:ilvl="4" w:tplc="AEF6C8A8">
      <w:start w:val="1"/>
      <w:numFmt w:val="bullet"/>
      <w:lvlText w:val="○"/>
      <w:lvlJc w:val="left"/>
      <w:pPr>
        <w:ind w:left="3600" w:hanging="360"/>
      </w:pPr>
    </w:lvl>
    <w:lvl w:ilvl="5" w:tplc="681428F6">
      <w:start w:val="1"/>
      <w:numFmt w:val="bullet"/>
      <w:lvlText w:val="■"/>
      <w:lvlJc w:val="left"/>
      <w:pPr>
        <w:ind w:left="4320" w:hanging="360"/>
      </w:pPr>
    </w:lvl>
    <w:lvl w:ilvl="6" w:tplc="B59EEEF6">
      <w:start w:val="1"/>
      <w:numFmt w:val="bullet"/>
      <w:lvlText w:val="●"/>
      <w:lvlJc w:val="left"/>
      <w:pPr>
        <w:ind w:left="5040" w:hanging="360"/>
      </w:pPr>
    </w:lvl>
    <w:lvl w:ilvl="7" w:tplc="088C1C3E">
      <w:start w:val="1"/>
      <w:numFmt w:val="bullet"/>
      <w:lvlText w:val="●"/>
      <w:lvlJc w:val="left"/>
      <w:pPr>
        <w:ind w:left="5760" w:hanging="360"/>
      </w:pPr>
    </w:lvl>
    <w:lvl w:ilvl="8" w:tplc="EFAE9DAC">
      <w:start w:val="1"/>
      <w:numFmt w:val="bullet"/>
      <w:lvlText w:val="●"/>
      <w:lvlJc w:val="left"/>
      <w:pPr>
        <w:ind w:left="6480" w:hanging="360"/>
      </w:pPr>
    </w:lvl>
  </w:abstractNum>
  <w:num w:numId="1" w16cid:durableId="1755126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F0B"/>
    <w:rsid w:val="005C4F0B"/>
    <w:rsid w:val="00D87525"/>
    <w:rsid w:val="00F044FB"/>
    <w:rsid w:val="00F627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69C6"/>
  <w15:docId w15:val="{0E8C0AFA-224F-4126-9F83-E91F89BB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1020</Words>
  <Characters>5817</Characters>
  <Application>Microsoft Office Word</Application>
  <DocSecurity>0</DocSecurity>
  <Lines>48</Lines>
  <Paragraphs>13</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Engledow</cp:lastModifiedBy>
  <cp:revision>2</cp:revision>
  <dcterms:created xsi:type="dcterms:W3CDTF">2026-07-31T07:24:00Z</dcterms:created>
  <dcterms:modified xsi:type="dcterms:W3CDTF">2026-07-31T07:24:00Z</dcterms:modified>
</cp:coreProperties>
</file>